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Gordon Nancy</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Bakkt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480" w:type="dxa"/>
            <w:vAlign w:val="bottom"/>
            <w:tcBorders>
              <w:top w:val="single" w:sz="8" w:color="0000EE"/>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02/10/2023</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525"/>
        <w:spacing w:after="0"/>
        <w:rPr>
          <w:sz w:val="20"/>
          <w:szCs w:val="20"/>
          <w:color w:val="auto"/>
        </w:rPr>
      </w:pPr>
      <w:r>
        <w:rPr>
          <w:rFonts w:ascii="Times New Roman" w:cs="Times New Roman" w:eastAsia="Times New Roman" w:hAnsi="Times New Roman"/>
          <w:sz w:val="17"/>
          <w:szCs w:val="17"/>
          <w:color w:val="0000FF"/>
        </w:rPr>
        <w:t>Chief Product Officer, Loyalty</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30009</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02/10/2023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10,386</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283,155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on February 1, 2023, the issuer withheld Class A Common Stock that would otherwise have been issued to the reporting person to satisfy such person's tax withholding obligations. The number of shares withheld was determined based on the closing price per share of Class A Common Stock on February 1, 2023.</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192,328 shares of Class A Common Stock subject to restricted stock units that remain subject to vesting.</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Nancy</w:t>
      </w:r>
      <w:r>
        <w:rPr>
          <w:sz w:val="20"/>
          <w:szCs w:val="20"/>
          <w:color w:val="auto"/>
        </w:rPr>
        <w:tab/>
      </w:r>
      <w:r>
        <w:rPr>
          <w:rFonts w:ascii="Times New Roman" w:cs="Times New Roman" w:eastAsia="Times New Roman" w:hAnsi="Times New Roman"/>
          <w:sz w:val="17"/>
          <w:szCs w:val="17"/>
          <w:color w:val="0000FF"/>
        </w:rPr>
        <w:t>02/14/2023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59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591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3503"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2023-02-14T19:36:51Z</dcterms:created>
  <dcterms:modified xsi:type="dcterms:W3CDTF">2023-02-14T19:36:51Z</dcterms:modified>
</cp:coreProperties>
</file>