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8594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594725"/>
                    </a:xfrm>
                    <a:prstGeom prst="rect">
                      <a:avLst/>
                    </a:prstGeom>
                    <a:noFill/>
                  </pic:spPr>
                </pic:pic>
              </a:graphicData>
            </a:graphic>
          </wp:anchor>
        </w:drawing>
      </w:r>
    </w:p>
    <w:p>
      <w:pPr>
        <w:spacing w:after="0" w:line="1204" w:lineRule="exact"/>
        <w:rPr>
          <w:sz w:val="24"/>
          <w:szCs w:val="24"/>
          <w:color w:val="auto"/>
        </w:rPr>
      </w:pPr>
    </w:p>
    <w:p>
      <w:pPr>
        <w:sectPr>
          <w:pgSz w:w="11900" w:h="16897"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Intercontinental Exchange, Inc.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5660 NEW NORTHSIDE DRIVE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Bakkt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6" w:lineRule="exact"/>
        <w:rPr>
          <w:sz w:val="24"/>
          <w:szCs w:val="24"/>
          <w:color w:val="auto"/>
        </w:rPr>
      </w:pPr>
    </w:p>
    <w:p>
      <w:pPr>
        <w:sectPr>
          <w:pgSz w:w="11900" w:h="16897" w:orient="portrait"/>
          <w:cols w:equalWidth="0" w:num="3">
            <w:col w:w="3180" w:space="720"/>
            <w:col w:w="3115" w:space="720"/>
            <w:col w:w="3345"/>
          </w:cols>
          <w:pgMar w:left="460" w:top="216" w:right="359" w:bottom="0" w:gutter="0" w:footer="0" w:header="0"/>
          <w:type w:val="continuous"/>
        </w:sectPr>
      </w:pP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30328</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1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97"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3"/>
                <w:szCs w:val="13"/>
                <w:color w:val="auto"/>
              </w:rPr>
            </w:pPr>
          </w:p>
        </w:tc>
        <w:tc>
          <w:tcPr>
            <w:tcW w:w="1660" w:type="dxa"/>
            <w:vAlign w:val="bottom"/>
            <w:gridSpan w:val="4"/>
          </w:tcPr>
          <w:p>
            <w:pPr>
              <w:ind w:left="6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ind w:left="6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0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4"/>
          </w:tcPr>
          <w:p>
            <w:pPr>
              <w:ind w:left="62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right"/>
              <w:ind w:right="19"/>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4"/>
            <w:vMerge w:val="restart"/>
          </w:tcPr>
          <w:p>
            <w:pPr>
              <w:ind w:left="860"/>
              <w:spacing w:after="0"/>
              <w:rPr>
                <w:sz w:val="20"/>
                <w:szCs w:val="20"/>
                <w:color w:val="auto"/>
              </w:rPr>
            </w:pPr>
            <w:r>
              <w:rPr>
                <w:rFonts w:ascii="Times New Roman" w:cs="Times New Roman" w:eastAsia="Times New Roman" w:hAnsi="Times New Roman"/>
                <w:sz w:val="17"/>
                <w:szCs w:val="17"/>
                <w:color w:val="0000FF"/>
              </w:rPr>
              <w:t>12/03/2025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465,890</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1"/>
                <w:szCs w:val="2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7,919,002</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80" w:type="dxa"/>
            <w:vAlign w:val="bottom"/>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0" w:type="dxa"/>
            <w:vAlign w:val="bottom"/>
            <w:gridSpan w:val="13"/>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right"/>
              <w:ind w:right="19"/>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jc w:val="right"/>
              <w:ind w:right="339"/>
              <w:spacing w:after="0"/>
              <w:rPr>
                <w:sz w:val="20"/>
                <w:szCs w:val="20"/>
                <w:color w:val="auto"/>
              </w:rPr>
            </w:pPr>
            <w:r>
              <w:rPr>
                <w:rFonts w:ascii="Arial" w:cs="Arial" w:eastAsia="Arial" w:hAnsi="Arial"/>
                <w:sz w:val="11"/>
                <w:szCs w:val="11"/>
                <w:b w:val="1"/>
                <w:bCs w:val="1"/>
                <w:color w:val="auto"/>
                <w:w w:val="92"/>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gridSpan w:val="2"/>
            <w:vMerge w:val="restart"/>
          </w:tcPr>
          <w:p>
            <w:pPr>
              <w:jc w:val="center"/>
              <w:ind w:right="44"/>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20" w:type="dxa"/>
            <w:vAlign w:val="bottom"/>
          </w:tcPr>
          <w:p>
            <w:pPr>
              <w:spacing w:after="0"/>
              <w:rPr>
                <w:sz w:val="15"/>
                <w:szCs w:val="15"/>
                <w:color w:val="auto"/>
              </w:rPr>
            </w:pPr>
          </w:p>
        </w:tc>
        <w:tc>
          <w:tcPr>
            <w:tcW w:w="56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465,890</w:t>
            </w:r>
          </w:p>
        </w:tc>
        <w:tc>
          <w:tcPr>
            <w:tcW w:w="60" w:type="dxa"/>
            <w:vAlign w:val="bottom"/>
          </w:tcPr>
          <w:p>
            <w:pPr>
              <w:spacing w:after="0"/>
              <w:rPr>
                <w:sz w:val="15"/>
                <w:szCs w:val="15"/>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vMerge w:val="restart"/>
          </w:tcPr>
          <w:p>
            <w:pPr>
              <w:ind w:left="240"/>
              <w:spacing w:after="0" w:line="128" w:lineRule="exact"/>
              <w:rPr>
                <w:sz w:val="20"/>
                <w:szCs w:val="20"/>
                <w:color w:val="auto"/>
              </w:rPr>
            </w:pPr>
            <w:r>
              <w:rPr>
                <w:rFonts w:ascii="Times New Roman" w:cs="Times New Roman" w:eastAsia="Times New Roman" w:hAnsi="Times New Roman"/>
                <w:sz w:val="13"/>
                <w:szCs w:val="13"/>
                <w:color w:val="0000FF"/>
              </w:rPr>
              <w:t>12/03/2025</w:t>
            </w: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40" w:type="dxa"/>
            <w:vAlign w:val="bottom"/>
            <w:gridSpan w:val="2"/>
            <w:vMerge w:val="restart"/>
          </w:tcPr>
          <w:p>
            <w:pPr>
              <w:ind w:left="420"/>
              <w:spacing w:after="0" w:line="128" w:lineRule="exact"/>
              <w:rPr>
                <w:sz w:val="20"/>
                <w:szCs w:val="20"/>
                <w:color w:val="auto"/>
              </w:rPr>
            </w:pPr>
            <w:r>
              <w:rPr>
                <w:rFonts w:ascii="Times New Roman" w:cs="Times New Roman" w:eastAsia="Times New Roman" w:hAnsi="Times New Roman"/>
                <w:sz w:val="13"/>
                <w:szCs w:val="13"/>
                <w:color w:val="0000FF"/>
              </w:rPr>
              <w:t>465,890</w:t>
            </w:r>
          </w:p>
        </w:tc>
        <w:tc>
          <w:tcPr>
            <w:tcW w:w="80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gridSpan w:val="2"/>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vMerge w:val="restart"/>
          </w:tcPr>
          <w:p>
            <w:pPr>
              <w:jc w:val="center"/>
              <w:ind w:left="261"/>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4"/>
                <w:szCs w:val="4"/>
                <w:color w:val="auto"/>
              </w:rPr>
            </w:pPr>
          </w:p>
        </w:tc>
        <w:tc>
          <w:tcPr>
            <w:tcW w:w="600" w:type="dxa"/>
            <w:vAlign w:val="bottom"/>
            <w:vMerge w:val="restart"/>
          </w:tcPr>
          <w:p>
            <w:pPr>
              <w:ind w:left="36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700" w:type="dxa"/>
            <w:vAlign w:val="bottom"/>
            <w:gridSpan w:val="4"/>
          </w:tcPr>
          <w:p>
            <w:pPr>
              <w:jc w:val="right"/>
              <w:ind w:right="200"/>
              <w:spacing w:after="0" w:line="81" w:lineRule="exact"/>
              <w:rPr>
                <w:sz w:val="20"/>
                <w:szCs w:val="20"/>
                <w:color w:val="auto"/>
              </w:rPr>
            </w:pPr>
            <w:r>
              <w:rPr>
                <w:rFonts w:ascii="Times New Roman" w:cs="Times New Roman" w:eastAsia="Times New Roman" w:hAnsi="Times New Roman"/>
                <w:sz w:val="8"/>
                <w:szCs w:val="8"/>
                <w:color w:val="008000"/>
              </w:rPr>
              <w:t>(1)</w:t>
            </w: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ind w:left="480"/>
              <w:spacing w:after="0" w:line="81" w:lineRule="exact"/>
              <w:rPr>
                <w:sz w:val="20"/>
                <w:szCs w:val="20"/>
                <w:color w:val="auto"/>
              </w:rPr>
            </w:pPr>
            <w:r>
              <w:rPr>
                <w:rFonts w:ascii="Times New Roman" w:cs="Times New Roman" w:eastAsia="Times New Roman" w:hAnsi="Times New Roman"/>
                <w:sz w:val="8"/>
                <w:szCs w:val="8"/>
                <w:color w:val="008000"/>
              </w:rPr>
              <w:t>(2)</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right w:val="single" w:sz="8" w:color="2C2C2C"/>
            </w:tcBorders>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1</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spacing w:after="0" w:line="191" w:lineRule="exact"/>
              <w:rPr>
                <w:sz w:val="20"/>
                <w:szCs w:val="20"/>
                <w:color w:val="auto"/>
              </w:rPr>
            </w:pPr>
            <w:r>
              <w:rPr>
                <w:rFonts w:ascii="Times New Roman" w:cs="Times New Roman" w:eastAsia="Times New Roman" w:hAnsi="Times New Roman"/>
                <w:sz w:val="17"/>
                <w:szCs w:val="17"/>
                <w:color w:val="0000FF"/>
              </w:rPr>
              <w:t>230,680</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25.5</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gridSpan w:val="2"/>
            <w:vMerge w:val="restart"/>
          </w:tcPr>
          <w:p>
            <w:pPr>
              <w:jc w:val="center"/>
              <w:ind w:right="44"/>
              <w:spacing w:after="0" w:line="140" w:lineRule="exact"/>
              <w:rPr>
                <w:sz w:val="20"/>
                <w:szCs w:val="20"/>
                <w:color w:val="auto"/>
              </w:rPr>
            </w:pPr>
            <w:r>
              <w:rPr>
                <w:rFonts w:ascii="Times New Roman" w:cs="Times New Roman" w:eastAsia="Times New Roman" w:hAnsi="Times New Roman"/>
                <w:sz w:val="13"/>
                <w:szCs w:val="13"/>
                <w:color w:val="0000FF"/>
                <w:w w:val="97"/>
              </w:rPr>
              <w:t>11/03/2025</w:t>
            </w:r>
          </w:p>
        </w:tc>
        <w:tc>
          <w:tcPr>
            <w:tcW w:w="6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09/04/2029</w:t>
            </w:r>
          </w:p>
        </w:tc>
        <w:tc>
          <w:tcPr>
            <w:tcW w:w="680" w:type="dxa"/>
            <w:vAlign w:val="bottom"/>
            <w:gridSpan w:val="2"/>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230,680</w:t>
            </w:r>
          </w:p>
        </w:tc>
        <w:tc>
          <w:tcPr>
            <w:tcW w:w="60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tcPr>
          <w:p>
            <w:pPr>
              <w:ind w:left="60"/>
              <w:spacing w:after="0" w:line="64" w:lineRule="exact"/>
              <w:rPr>
                <w:sz w:val="20"/>
                <w:szCs w:val="20"/>
                <w:color w:val="auto"/>
              </w:rPr>
            </w:pPr>
            <w:r>
              <w:rPr>
                <w:rFonts w:ascii="Times New Roman" w:cs="Times New Roman" w:eastAsia="Times New Roman" w:hAnsi="Times New Roman"/>
                <w:sz w:val="7"/>
                <w:szCs w:val="7"/>
                <w:color w:val="0000FF"/>
              </w:rPr>
              <w:t>(right to</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tcPr>
          <w:p>
            <w:pPr>
              <w:ind w:left="60"/>
              <w:spacing w:after="0" w:line="64"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2</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spacing w:after="0" w:line="191" w:lineRule="exact"/>
              <w:rPr>
                <w:sz w:val="20"/>
                <w:szCs w:val="20"/>
                <w:color w:val="auto"/>
              </w:rPr>
            </w:pPr>
            <w:r>
              <w:rPr>
                <w:rFonts w:ascii="Times New Roman" w:cs="Times New Roman" w:eastAsia="Times New Roman" w:hAnsi="Times New Roman"/>
                <w:sz w:val="17"/>
                <w:szCs w:val="17"/>
                <w:color w:val="0000FF"/>
              </w:rPr>
              <w:t>230,680</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25.5</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gridSpan w:val="2"/>
            <w:vMerge w:val="restart"/>
          </w:tcPr>
          <w:p>
            <w:pPr>
              <w:jc w:val="center"/>
              <w:ind w:right="44"/>
              <w:spacing w:after="0" w:line="140" w:lineRule="exact"/>
              <w:rPr>
                <w:sz w:val="20"/>
                <w:szCs w:val="20"/>
                <w:color w:val="auto"/>
              </w:rPr>
            </w:pPr>
            <w:r>
              <w:rPr>
                <w:rFonts w:ascii="Times New Roman" w:cs="Times New Roman" w:eastAsia="Times New Roman" w:hAnsi="Times New Roman"/>
                <w:sz w:val="13"/>
                <w:szCs w:val="13"/>
                <w:color w:val="0000FF"/>
                <w:w w:val="97"/>
              </w:rPr>
              <w:t>11/03/2025</w:t>
            </w:r>
          </w:p>
        </w:tc>
        <w:tc>
          <w:tcPr>
            <w:tcW w:w="6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09/04/2029</w:t>
            </w:r>
          </w:p>
        </w:tc>
        <w:tc>
          <w:tcPr>
            <w:tcW w:w="680" w:type="dxa"/>
            <w:vAlign w:val="bottom"/>
            <w:gridSpan w:val="2"/>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230,680</w:t>
            </w:r>
          </w:p>
        </w:tc>
        <w:tc>
          <w:tcPr>
            <w:tcW w:w="60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tcPr>
          <w:p>
            <w:pPr>
              <w:ind w:left="60"/>
              <w:spacing w:after="0" w:line="64" w:lineRule="exact"/>
              <w:rPr>
                <w:sz w:val="20"/>
                <w:szCs w:val="20"/>
                <w:color w:val="auto"/>
              </w:rPr>
            </w:pPr>
            <w:r>
              <w:rPr>
                <w:rFonts w:ascii="Times New Roman" w:cs="Times New Roman" w:eastAsia="Times New Roman" w:hAnsi="Times New Roman"/>
                <w:sz w:val="7"/>
                <w:szCs w:val="7"/>
                <w:color w:val="0000FF"/>
              </w:rPr>
              <w:t>(right to</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tcPr>
          <w:p>
            <w:pPr>
              <w:ind w:left="60"/>
              <w:spacing w:after="0" w:line="64"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Intercontinental Exchange, Inc.</w:t>
              </w:r>
            </w:hyperlink>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5660 NEW NORTHSIDE DRIVE</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GA</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30328</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Intercontinental Exchange Holdings, Inc.</w:t>
              </w:r>
            </w:hyperlink>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5660 NEW NORTHSIDE DRIVE</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GA</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30328</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-5715000</wp:posOffset>
            </wp:positionV>
            <wp:extent cx="28575" cy="2618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2618105"/>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97" w:orient="portrait"/>
          <w:cols w:equalWidth="0" w:num="1">
            <w:col w:w="11080"/>
          </w:cols>
          <w:pgMar w:left="460" w:top="216" w:right="359" w:bottom="0" w:gutter="0" w:footer="0" w:header="0"/>
          <w:type w:val="continuous"/>
        </w:sectPr>
      </w:pPr>
    </w:p>
    <w:bookmarkStart w:id="1" w:name="page2"/>
    <w:bookmarkEnd w:id="1"/>
    <w:p>
      <w:pPr>
        <w:spacing w:after="0" w:line="232"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Issuer's November 3, 2025 reorganization, pursuant to the TRA Amendment and the Contribution Agreement, as amended (both as defined in the Form 8K12B filed by the Issuer on November 3, 2025), ICEH contributed its rights under the TRA (as defined in such Form 8K12B) to the Issuer in exchange for a cash payment from the Issuer equal to the amount which ICEH was otherwise entitled under the TRA and ICEH further contributed such cash to the Issuer in exchange for 465,890 shares of the Issuer's Series A Non-Voting Convertible Preferred Stock (the "Preferred Stock"). These shares of Preferred Stock automatically converted into shares of the Issuer's Class A Common Stock upon the early termination of the waiting period applicable to such conversion under the Hart-Scott-Rodin Antitrust Improvements Act of 1976, granted by the Federal Trade Commission on December 3, 2025.</w:t>
      </w:r>
    </w:p>
    <w:p>
      <w:pPr>
        <w:spacing w:after="0" w:line="27"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Intercontinental Exchange Holdings, Inc. ("ICEH") is the direct holder of the securities reflected in this Form 4. ICEH is a wholly owned subsidiary of Intercontinental Exchange, Inc.</w:t>
      </w:r>
    </w:p>
    <w:p>
      <w:pPr>
        <w:spacing w:after="0" w:line="6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Intercontinental Exchange,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343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By: /s/ Andrew Surdykowski,</w:t>
      </w:r>
      <w:r>
        <w:rPr>
          <w:sz w:val="20"/>
          <w:szCs w:val="20"/>
          <w:color w:val="auto"/>
        </w:rPr>
        <w:tab/>
      </w:r>
      <w:r>
        <w:rPr>
          <w:rFonts w:ascii="Times New Roman" w:cs="Times New Roman" w:eastAsia="Times New Roman" w:hAnsi="Times New Roman"/>
          <w:sz w:val="16"/>
          <w:szCs w:val="16"/>
          <w:color w:val="0000FF"/>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7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702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Intercontinental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1049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Holdings, Inc., By: /s/ Andrew</w:t>
      </w:r>
      <w:r>
        <w:rPr>
          <w:sz w:val="20"/>
          <w:szCs w:val="20"/>
          <w:color w:val="auto"/>
        </w:rPr>
        <w:tab/>
      </w:r>
      <w:r>
        <w:rPr>
          <w:rFonts w:ascii="Times New Roman" w:cs="Times New Roman" w:eastAsia="Times New Roman" w:hAnsi="Times New Roman"/>
          <w:sz w:val="16"/>
          <w:szCs w:val="16"/>
          <w:color w:val="0000FF"/>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7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Surdykowski,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309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27"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0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571949" TargetMode="External"/><Relationship Id="rId14" Type="http://schemas.openxmlformats.org/officeDocument/2006/relationships/hyperlink" Target="http://www.sec.gov/cgi-bin/browse-edgar?action=getcompany&amp;CIK=0001820302" TargetMode="External"/><Relationship Id="rId16" Type="http://schemas.openxmlformats.org/officeDocument/2006/relationships/hyperlink" Target="http://www.sec.gov/cgi-bin/browse-edgar?action=getcompany&amp;CIK=0001174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2025-12-05T17:26:14Z</dcterms:created>
  <dcterms:modified xsi:type="dcterms:W3CDTF">2025-12-05T17:26:14Z</dcterms:modified>
</cp:coreProperties>
</file>