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 Acquisition Holdings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Victory Park Capital Advisors, LLC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150 North Riverside Plaza, Suite 5200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60606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VPC Impact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Holdings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Correspondence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 June 24, 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Correspondence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 June 28,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333-254935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Zemnick: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June 17,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letter dated June 24,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Projected Financial Information, page 160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no. 2 from our June 17, 2021. We note that you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"sales of</w:t>
      </w:r>
    </w:p>
    <w:p>
      <w:pPr>
        <w:spacing w:after="0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cryptocurrency relate to transactions executed on Bakkt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consumer app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Bakkt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Marketplace, which activities are currently immaterial". You further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"The</w:t>
      </w:r>
    </w:p>
    <w:p>
      <w:pPr>
        <w:spacing w:after="0"/>
        <w:tabs>
          <w:tab w:leader="none" w:pos="5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activity relates to the launch of Bakkt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consumer app, which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became broadly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available in March 2021". Tell us how much Cryptocurrency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was recognized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first quarter and the amount you expect to be recognized in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second quarter.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whether this revenue is material to your revenues in these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spacing w:after="0"/>
        <w:tabs>
          <w:tab w:leader="none" w:pos="126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LastNameScott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R. Zemnick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Holdings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2, 2021NameVPC Impact Acquisition Holdings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2,2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periods. That is, tell us how you determined that this revenue 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immaterial.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response to prior comment 2, you state that the revenue projections attributable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Trades were based, among other things, on estimates of active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transacting user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base, transaction volume and the price of cryptocurrency. Please disclose the estimates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measure that you relied on and the material assumptions and limitations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underlying those estimates. In addition, explain in more detail how revenue activity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relating to the launch of Bakkt s consumer app, which became widely available in March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2021, was taken into account. We note that the projections were prepared on January 10,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letter dated June 28, 2021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LLC, page 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reconcile for us your disclosure that your performance obligation for customer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contracts for custody services is a stand ready obligation that is recognized quarterly over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related contract term with your assertion in response 2 that contract duration is a single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day. Please also revise your revenue recognition description for custody services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conform to the representations and acknowledgement included in response 2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 in ASC 606-10-50-1b and ASC 606-10-50-12. For example, revise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describe: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duration of the contract (that is, the contractual period) in which the parties to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 have present enforceable rights and obligations. See e.g., ASC 606-10-25-4.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 customer has a present contractual right to choose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distinct services that it purchases, and if so whether such options represent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rights, including the reason why or why not, and how you account for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options. See e.g., ASC 606-10-55-42.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significant payment terms for the contract, which you assert has a duration of one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day. For example, your disclosure references a fixed monthly fee invoiced quarterly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while your response references a fixed annual fee. See e.g., ASC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606-10-50-12.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response 2 is limited to the contracts you enter with institutional custody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customers, but that your disclosure suggests you provide custody services to high net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worth individuals, consumers and enterprises. See e.g., the description of Digital Asset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Marketplace on page 270. Please consider the need to further revise your revenue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recognition description for custody services to encompass these customers.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more fulsome accounting analysis in support of your conclusion that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not the principal in trade and clearing services. Include in your analysis, but do not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 it to, the following: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 description of how a cryptocurrency buy or sell order is entered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into and then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fulfilled through your app, including an understanding of how cryptocurrency and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spacing w:after="0"/>
        <w:tabs>
          <w:tab w:leader="none" w:pos="126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LastNameScott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R. Zemnick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Holdings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2, 2021NameVPC Impact Acquisition Holdings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2,3 2021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transfer between the involved parties.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considerations, in addition to a regulatory license, and analysis included in your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evaluation of ASC 606-10-55-36Ab.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consideration you gave to each of the indicators in ASC 606-10-55-39, including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700" w:right="1819" w:hanging="210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relevant facts and circumstances and how you evaluated them. The relevant terms and conditions under your contract with IFUS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ICUS that help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 your conclusion.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evaluation of the terms of service, including, but not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 to, for example</w:t>
      </w:r>
    </w:p>
    <w:p>
      <w:pPr>
        <w:ind w:left="1480"/>
        <w:spacing w:after="0"/>
        <w:tabs>
          <w:tab w:leader="none" w:pos="5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the Supplemental Terms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Cryptocurrency Purchase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 Terms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70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</w:t>
        <w:tab/>
        <w:t>Section 6 Role of Bakkt, which states in part,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buying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860" w:space="420"/>
            <w:col w:w="2859"/>
          </w:cols>
          <w:pgMar w:left="320" w:top="136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selling</w:t>
      </w:r>
    </w:p>
    <w:p>
      <w:pPr>
        <w:ind w:left="20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Cryptocurrencies, Bakkt will act as your counterparty,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meaning it will act as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seller when you buy Cryptocurrency, and it will act as buyer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you sell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700" w:right="2239" w:firstLine="31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Cryptocurrency. Bakkt will not be your agent or broker. o Section 7 Cryptocurrency Holdings, which states in part,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your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239" w:firstLine="2001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 of Cryptocurrency from Bakkt, all rights in the Cryptocurrency pass to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from Bakkt,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Section 5 Exchange Rates, which states in part,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Bakkt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1800" w:space="200"/>
            <w:col w:w="4960" w:space="420"/>
            <w:col w:w="2759"/>
          </w:cols>
          <w:pgMar w:left="320" w:top="136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determine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exchange rates for Cryptocurrencies in its sole discretion,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establishing</w:t>
      </w:r>
    </w:p>
    <w:p>
      <w:pPr>
        <w:ind w:left="20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rates, Bakkt is not required to act in your best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interest, and Bakkt has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 obligation to seek or provide the best available price at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given time,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and</w:t>
      </w:r>
    </w:p>
    <w:p>
      <w:pPr>
        <w:ind w:left="2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[T]he exchange rates offered to you may also include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markup, spread or other</w:t>
      </w: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 charged by Bakkt as compensation with respect to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cryptocurrency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Section 1 Buying Cryptocurrency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purchase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2000" w:space="0"/>
            <w:col w:w="3400" w:space="720"/>
            <w:col w:w="4019"/>
          </w:cols>
          <w:pgMar w:left="320" w:top="136" w:right="1440" w:bottom="0" w:gutter="0" w:footer="0" w:header="0"/>
          <w:type w:val="continuous"/>
        </w:sectPr>
      </w:pPr>
    </w:p>
    <w:p>
      <w:pPr>
        <w:jc w:val="center"/>
        <w:ind w:right="-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at the exchange rate provided by Bakkt at the time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sale. You may not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-1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transfer Cryptocurrencies from any external source into your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Cryptocurrencies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Section 3 Sending Cryptocurrency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not transfer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2000" w:space="0"/>
            <w:col w:w="3500" w:space="720"/>
            <w:col w:w="3919"/>
          </w:cols>
          <w:pgMar w:left="320" w:top="136" w:right="1440" w:bottom="0" w:gutter="0" w:footer="0" w:header="0"/>
          <w:type w:val="continuous"/>
        </w:sect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any external wallets or sources.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revenue recognition description for trade and clearing to address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following: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who your customers are. To the extent your customers are related parties,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also revise your financial statements to comply with Rule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4-08(k) of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SX.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clearly articulate the specific nature of your performance obligation for each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customer. For example, it does not appear that either trade execution/clearing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ind w:left="1480"/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novation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described in your filing. Please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risk management of open interest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are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380" w:space="0"/>
            <w:col w:w="3360" w:space="420"/>
            <w:col w:w="2979"/>
          </w:cols>
          <w:pgMar w:left="320" w:top="136" w:right="1440" w:bottom="0" w:gutter="0" w:footer="0" w:header="0"/>
          <w:type w:val="continuous"/>
        </w:sect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ensure the description is sufficiently clear to understand why they are satisfied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almost simultaneously when the trade is executed (by IFUS) and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cleared (by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ICUS).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the disclosures required by ASC 606-10-50-1b and 50-12.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0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clarify the significant payment terms for each performance</w:t>
            </w: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obligation, including a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more fulsome description of the nature and terms of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rebates</w:t>
            </w: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liquidity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2740" w:type="dxa"/>
            <w:vAlign w:val="bottom"/>
            <w:gridSpan w:val="4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Scott R. Zemnick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LastNameScott</w:t>
            </w:r>
          </w:p>
        </w:tc>
        <w:tc>
          <w:tcPr>
            <w:tcW w:w="306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R. Zemnick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VPC Impact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8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Acquisition Holdings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1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2, 2021NameVPC Impact Acquisition Holdings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July 2,4 2021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4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payments,</w:t>
            </w:r>
          </w:p>
        </w:tc>
        <w:tc>
          <w:tcPr>
            <w:tcW w:w="5380" w:type="dxa"/>
            <w:vAlign w:val="bottom"/>
            <w:gridSpan w:val="3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whether they are only provided to related parties,</w:t>
            </w: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how the nature and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8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terms relate to your statement that you</w:t>
            </w:r>
          </w:p>
        </w:tc>
        <w:tc>
          <w:tcPr>
            <w:tcW w:w="2320" w:type="dxa"/>
            <w:vAlign w:val="bottom"/>
            <w:gridSpan w:val="2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measure and resolve</w:t>
            </w:r>
          </w:p>
        </w:tc>
      </w:tr>
      <w:tr>
        <w:trPr>
          <w:trHeight w:val="203"/>
        </w:trPr>
        <w:tc>
          <w:tcPr>
            <w:tcW w:w="14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these rebates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within the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8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same reporting period.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amount of revenue earned from trading and clearing as well as the other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3" w:name="page4"/>
    <w:bookmarkEnd w:id="3"/>
    <w:p>
      <w:pPr>
        <w:spacing w:after="0" w:line="193" w:lineRule="auto"/>
        <w:framePr w:w="1760" w:h="146" w:wrap="auto" w:vAnchor="page" w:hAnchor="page" w:x="1760" w:y="142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revenue streams.</w:t>
      </w:r>
    </w:p>
    <w:p>
      <w:pPr>
        <w:spacing w:after="0" w:line="205" w:lineRule="auto"/>
        <w:framePr w:w="7880" w:h="349" w:wrap="auto" w:vAnchor="page" w:hAnchor="page" w:x="280" w:y="34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 Please describe for us, and consider the need for further revised disclosure related to, the</w:t>
      </w:r>
    </w:p>
    <w:p>
      <w:pPr>
        <w:ind w:firstLine="948"/>
        <w:spacing w:after="0" w:line="205" w:lineRule="auto"/>
        <w:framePr w:w="7560" w:h="349" w:wrap="auto" w:vAnchor="page" w:hAnchor="page" w:x="280" w:y="75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payment terms included in your contracts with your customers for trade and</w:t>
      </w:r>
    </w:p>
    <w:p>
      <w:pPr>
        <w:ind w:firstLine="948"/>
        <w:spacing w:after="0" w:line="205" w:lineRule="auto"/>
        <w:framePr w:w="8300" w:h="349" w:wrap="auto" w:vAnchor="page" w:hAnchor="page" w:x="280" w:y="115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clearing and what the transaction price is for each type of contract. For example, your</w:t>
      </w:r>
    </w:p>
    <w:p>
      <w:pPr>
        <w:ind w:firstLine="948"/>
        <w:spacing w:after="0" w:line="205" w:lineRule="auto"/>
        <w:framePr w:w="8400" w:h="349" w:wrap="auto" w:vAnchor="page" w:hAnchor="page" w:x="280" w:y="156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recognition description for trade and clearing services refers to both Note 7 as</w:t>
      </w:r>
    </w:p>
    <w:p>
      <w:pPr>
        <w:ind w:firstLine="948"/>
        <w:spacing w:after="0" w:line="205" w:lineRule="auto"/>
        <w:framePr w:w="7780" w:h="349" w:wrap="auto" w:vAnchor="page" w:hAnchor="page" w:x="280" w:y="196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well as to applicable commission rates, but it is unclear how or whether they relate to each</w:t>
      </w:r>
    </w:p>
    <w:p>
      <w:pPr>
        <w:ind w:firstLine="948"/>
        <w:spacing w:after="0" w:line="205" w:lineRule="auto"/>
        <w:framePr w:w="8300" w:h="349" w:wrap="auto" w:vAnchor="page" w:hAnchor="page" w:x="280" w:y="237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other. Further, it is unclear whether the Note 7 reference to payment to you of all trading</w:t>
      </w:r>
    </w:p>
    <w:p>
      <w:pPr>
        <w:ind w:firstLine="948"/>
        <w:spacing w:after="0" w:line="205" w:lineRule="auto"/>
        <w:framePr w:w="7560" w:h="349" w:wrap="auto" w:vAnchor="page" w:hAnchor="page" w:x="280" w:y="277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clearing revenues of ICUS and IFUS relates to the promised services you provide and</w:t>
      </w:r>
    </w:p>
    <w:p>
      <w:pPr>
        <w:ind w:firstLine="948"/>
        <w:spacing w:after="0" w:line="205" w:lineRule="auto"/>
        <w:framePr w:w="8200" w:h="349" w:wrap="auto" w:vAnchor="page" w:hAnchor="page" w:x="280" w:y="318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expenses incurred by IFUS and ICUS related to their exchange and clearing</w:t>
      </w:r>
    </w:p>
    <w:p>
      <w:pPr>
        <w:ind w:firstLine="948"/>
        <w:spacing w:after="0" w:line="205" w:lineRule="auto"/>
        <w:framePr w:w="8200" w:h="349" w:wrap="auto" w:vAnchor="page" w:hAnchor="page" w:x="280" w:y="358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services, which you record net of revenue, relate to the significant payment terms of and</w:t>
      </w:r>
    </w:p>
    <w:p>
      <w:pPr>
        <w:ind w:firstLine="948"/>
        <w:spacing w:after="0" w:line="205" w:lineRule="auto"/>
        <w:framePr w:w="7660" w:h="349" w:wrap="auto" w:vAnchor="page" w:hAnchor="page" w:x="280" w:y="399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price for the promised services you provide. Please provide us with a</w:t>
      </w:r>
    </w:p>
    <w:p>
      <w:pPr>
        <w:ind w:firstLine="948"/>
        <w:spacing w:after="0" w:line="205" w:lineRule="auto"/>
        <w:framePr w:w="8200" w:h="349" w:wrap="auto" w:vAnchor="page" w:hAnchor="page" w:x="280" w:y="4395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representative example of the flow of the payments upon execution of the trade and</w:t>
      </w:r>
    </w:p>
    <w:p>
      <w:pPr>
        <w:ind w:firstLine="948"/>
        <w:spacing w:after="0" w:line="193" w:lineRule="auto"/>
        <w:framePr w:w="7340" w:h="146" w:wrap="auto" w:vAnchor="page" w:hAnchor="page" w:x="1240" w:y="480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clearing services. The example should illustrate how your net revenue</w:t>
      </w:r>
    </w:p>
    <w:p>
      <w:pPr>
        <w:ind w:firstLine="948"/>
        <w:spacing w:after="0" w:line="193" w:lineRule="auto"/>
        <w:framePr w:w="1040" w:h="146" w:wrap="auto" w:vAnchor="page" w:hAnchor="page" w:x="280" w:y="5002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amount is</w:t>
      </w:r>
    </w:p>
    <w:p>
      <w:pPr>
        <w:ind w:firstLine="948"/>
        <w:spacing w:after="0" w:line="193" w:lineRule="auto"/>
        <w:framePr w:w="6820" w:h="146" w:wrap="auto" w:vAnchor="page" w:hAnchor="page" w:x="1240" w:y="5205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determined while showing the various components or payments that</w:t>
      </w:r>
    </w:p>
    <w:p>
      <w:pPr>
        <w:spacing w:after="0" w:line="5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5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5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5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5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5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5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5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5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5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5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occur.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 your May 25, 2021 response to prior comment no.8 you indicated that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may</w:t>
      </w:r>
    </w:p>
    <w:p>
      <w:pPr>
        <w:ind w:left="960"/>
        <w:spacing w:after="0"/>
        <w:tabs>
          <w:tab w:leader="none" w:pos="5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withdraw its bitcoin from Bakkt Trust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services through an external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transfer at any time</w:t>
      </w:r>
    </w:p>
    <w:p>
      <w:pPr>
        <w:ind w:left="960"/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for any reason.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address the following in the context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accounting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previously summarized as to whether: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Reconcile for us this statement with Sections 1 and 3 of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Supplemental Terms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Cryptocurrency Purchase and Sale Terms of Services.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prohibitions on external transfer exist, clarify for us how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prohibition when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with the other rights retained by the company, such as,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but not limited to,</w:t>
      </w:r>
    </w:p>
    <w:p>
      <w:pPr>
        <w:ind w:left="1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in Section 5 of the Supplemental that specify that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is not required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act in its customers best interest, impacts the accounting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described in your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25, 2021 response.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Clarify whether customer cryptocurrencies are held in one or more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omnibus wallets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controlled by the Company and whether such wallets at any time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 Company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cryptocurrencies.</w:t>
      </w:r>
    </w:p>
    <w:p>
      <w:pPr>
        <w:ind w:left="1380"/>
        <w:spacing w:after="0"/>
        <w:tabs>
          <w:tab w:leader="none" w:pos="5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the nature of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rights described in Section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7.3 of the general</w:t>
      </w:r>
    </w:p>
    <w:p>
      <w:pPr>
        <w:ind w:left="1380"/>
        <w:spacing w:after="0"/>
        <w:tabs>
          <w:tab w:leader="none" w:pos="6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service, which state in part that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Bakkt may add 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remove any Digital Asset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from the Services at any time and for any reason and will seek to provide you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advance notice of the addition or removal of any Digital Assets, unless such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notice is prohibited by law, governmental authority or other legal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process.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the customers to which the terms of service apply are parties to the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Digital Asset Warehouse Agreement described in your prior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Bakkt offers a monthly bitcoin futures contract (your page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273). Bakkt also offers bitcoin options based on this futures contract and a cash- settled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 Acquisition Holdings July 2,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Bitcoin futures contract traded on ICE Singapore. Please describe the company's role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issuing the monthly bitcoin futures contract. Provide your analysis of how you account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these transaction and indicate whether you are the principal. Cite the accounting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literature that supports your accounting.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Amanda Kim, Senior Staff Accountant, at (202) 551-3241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Stephen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Krikorian, Accounting Branch Chief, at (202) 551-3488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Matthew Crispino,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551-3456 or Jan Woo, Legal Branch Chief,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551-3453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LastNameScott R. Zemnick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NameVPC Impact Acquisition Holdings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2, 2021 Page 5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Era Anagnosti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9"/>
    </w:lvl>
  </w:abstractNum>
  <w:abstractNum w:abstractNumId="5">
    <w:nsid w:val="507ED7A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2022-03-08T21:50:09Z</dcterms:created>
  <dcterms:modified xsi:type="dcterms:W3CDTF">2022-03-08T21:50:09Z</dcterms:modified>
</cp:coreProperties>
</file>