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NOTIFICATION OF REMOVAL FROM LISTING</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AND/OR REGISTRATION UNDER SECTION 12(b)</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Commission File Number 001-39544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VPC Impact Acquisition Holdings</w:t>
      </w:r>
    </w:p>
    <w:p>
      <w:pPr>
        <w:spacing w:after="0" w:line="3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The Nasdaq Stock Market LLC</w:t>
      </w:r>
    </w:p>
    <w:p>
      <w:pPr>
        <w:spacing w:after="0" w:line="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Issuer as specified in its charter, and name of Exchange</w:t>
      </w:r>
    </w:p>
    <w:p>
      <w:pPr>
        <w:spacing w:after="0" w:line="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where security is listed and/or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Victory Park Capital Advisors, LLC</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150 North Riverside Plaza, Suite 5200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Chicago, IL, 60606</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+1(312) 701-1777</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including zip code, and telephone number, including area code, of Issuer’s principal executive offices)</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Units, each consisting of one Class A ordinary share, $0.0001 par value, and one-half of one</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Warrant to purchase one Class A ordinary share</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Class A ordinary shares, par value $0.0001 per share</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Warrants to purchase Class A ordinary shares</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(Description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44"/>
        <w:spacing w:after="0"/>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131" w:lineRule="exact"/>
        <w:rPr>
          <w:sz w:val="24"/>
          <w:szCs w:val="24"/>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240.12d2-2(a)(1)</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240.12d2-2(a)(2)</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240.12d2-2(a)(3)</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240.12d2-2(a)(4)</w:t>
      </w:r>
    </w:p>
    <w:p>
      <w:pPr>
        <w:spacing w:after="0" w:line="130" w:lineRule="exact"/>
        <w:rPr>
          <w:rFonts w:ascii="MS PGothic" w:cs="MS PGothic" w:eastAsia="MS PGothic" w:hAnsi="MS PGothic"/>
          <w:sz w:val="18"/>
          <w:szCs w:val="18"/>
          <w:color w:val="auto"/>
        </w:rPr>
      </w:pPr>
    </w:p>
    <w:p>
      <w:pPr>
        <w:ind w:left="964" w:right="180" w:hanging="532"/>
        <w:spacing w:after="0" w:line="277" w:lineRule="auto"/>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Pursuant to 17 CFR 240.12d2-2(b), the Exchange has complied with its rules to strike the class of securities from listing and/or withdraw registration on the Exchange.1</w:t>
      </w:r>
    </w:p>
    <w:p>
      <w:pPr>
        <w:spacing w:after="0" w:line="76" w:lineRule="exact"/>
        <w:rPr>
          <w:sz w:val="24"/>
          <w:szCs w:val="24"/>
          <w:color w:val="auto"/>
        </w:rPr>
      </w:pPr>
    </w:p>
    <w:p>
      <w:pPr>
        <w:ind w:left="964" w:right="100" w:hanging="532"/>
        <w:spacing w:after="0" w:line="277" w:lineRule="auto"/>
        <w:tabs>
          <w:tab w:leader="none" w:pos="96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Pursuant to 17 CFR 240.12d2-2(c), the Issuer has complied with the rules of the Exchange and the requirements of 17 CFR 240.12d2-2(c) governing the voluntary withdrawal of the class of securities from listing and registration on the Exchange.</w:t>
      </w:r>
    </w:p>
    <w:p>
      <w:pPr>
        <w:spacing w:after="0" w:line="170" w:lineRule="exact"/>
        <w:rPr>
          <w:sz w:val="24"/>
          <w:szCs w:val="24"/>
          <w:color w:val="auto"/>
        </w:rPr>
      </w:pPr>
    </w:p>
    <w:p>
      <w:pPr>
        <w:jc w:val="both"/>
        <w:ind w:left="4" w:right="240" w:firstLine="440"/>
        <w:spacing w:after="0" w:line="263" w:lineRule="auto"/>
        <w:rPr>
          <w:sz w:val="20"/>
          <w:szCs w:val="20"/>
          <w:color w:val="auto"/>
        </w:rPr>
      </w:pPr>
      <w:r>
        <w:rPr>
          <w:rFonts w:ascii="Arial" w:cs="Arial" w:eastAsia="Arial" w:hAnsi="Arial"/>
          <w:sz w:val="18"/>
          <w:szCs w:val="18"/>
          <w:color w:val="auto"/>
        </w:rPr>
        <w:t>Pursuant to the requirements of the Securities Exchange Act of 1934, VPC Impact Acquisition Holdings (Name of Issuer or Exchange) certifies that it has reasonable grounds to believe that it meets all of the requirements for filing the Form 25 and has caused this notification to be signed on its behalf by the undersigned duly authorized person.</w:t>
      </w:r>
    </w:p>
    <w:p>
      <w:pPr>
        <w:spacing w:after="0" w:line="211" w:lineRule="exact"/>
        <w:rPr>
          <w:sz w:val="24"/>
          <w:szCs w:val="24"/>
          <w:color w:val="auto"/>
        </w:rPr>
      </w:pPr>
    </w:p>
    <w:tbl>
      <w:tblPr>
        <w:tblLayout w:type="fixed"/>
        <w:tblInd w:w="4" w:type="dxa"/>
        <w:tblCellMar>
          <w:top w:w="0" w:type="dxa"/>
          <w:left w:w="0" w:type="dxa"/>
          <w:bottom w:w="0" w:type="dxa"/>
          <w:right w:w="0" w:type="dxa"/>
        </w:tblCellMar>
      </w:tblPr>
      <w:tr>
        <w:trPr>
          <w:trHeight w:val="230"/>
        </w:trPr>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October 15, 2021</w:t>
            </w:r>
          </w:p>
        </w:tc>
        <w:tc>
          <w:tcPr>
            <w:tcW w:w="1020" w:type="dxa"/>
            <w:vAlign w:val="bottom"/>
          </w:tcPr>
          <w:p>
            <w:pPr>
              <w:ind w:left="700"/>
              <w:spacing w:after="0"/>
              <w:rPr>
                <w:sz w:val="20"/>
                <w:szCs w:val="20"/>
                <w:color w:val="auto"/>
              </w:rPr>
            </w:pPr>
            <w:r>
              <w:rPr>
                <w:rFonts w:ascii="Arial" w:cs="Arial" w:eastAsia="Arial" w:hAnsi="Arial"/>
                <w:sz w:val="18"/>
                <w:szCs w:val="18"/>
                <w:color w:val="auto"/>
              </w:rPr>
              <w:t>By</w:t>
            </w:r>
          </w:p>
        </w:tc>
        <w:tc>
          <w:tcPr>
            <w:tcW w:w="33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/s/ Olibia Stamatoglou</w:t>
            </w:r>
          </w:p>
        </w:tc>
        <w:tc>
          <w:tcPr>
            <w:tcW w:w="420" w:type="dxa"/>
            <w:vAlign w:val="bottom"/>
          </w:tcPr>
          <w:p>
            <w:pPr>
              <w:spacing w:after="0"/>
              <w:rPr>
                <w:sz w:val="20"/>
                <w:szCs w:val="20"/>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180"/>
        </w:trPr>
        <w:tc>
          <w:tcPr>
            <w:tcW w:w="30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tcPr>
          <w:p>
            <w:pPr>
              <w:spacing w:after="0"/>
              <w:rPr>
                <w:sz w:val="15"/>
                <w:szCs w:val="15"/>
                <w:color w:val="auto"/>
              </w:rPr>
            </w:pPr>
          </w:p>
        </w:tc>
        <w:tc>
          <w:tcPr>
            <w:tcW w:w="3300" w:type="dxa"/>
            <w:vAlign w:val="bottom"/>
          </w:tcPr>
          <w:p>
            <w:pPr>
              <w:spacing w:after="0"/>
              <w:rPr>
                <w:sz w:val="20"/>
                <w:szCs w:val="20"/>
                <w:color w:val="auto"/>
              </w:rPr>
            </w:pPr>
            <w:r>
              <w:rPr>
                <w:rFonts w:ascii="Arial" w:cs="Arial" w:eastAsia="Arial" w:hAnsi="Arial"/>
                <w:sz w:val="14"/>
                <w:szCs w:val="14"/>
                <w:b w:val="1"/>
                <w:bCs w:val="1"/>
                <w:color w:val="auto"/>
              </w:rPr>
              <w:t>Name: Olibia Stamatoglou</w:t>
            </w:r>
          </w:p>
        </w:tc>
        <w:tc>
          <w:tcPr>
            <w:tcW w:w="420" w:type="dxa"/>
            <w:vAlign w:val="bottom"/>
          </w:tcPr>
          <w:p>
            <w:pPr>
              <w:spacing w:after="0"/>
              <w:rPr>
                <w:sz w:val="15"/>
                <w:szCs w:val="15"/>
                <w:color w:val="auto"/>
              </w:rPr>
            </w:pP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7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0" w:lineRule="exact"/>
        <w:rPr>
          <w:sz w:val="24"/>
          <w:szCs w:val="24"/>
          <w:color w:val="auto"/>
        </w:rPr>
      </w:pPr>
    </w:p>
    <w:p>
      <w:pPr>
        <w:ind w:left="424" w:hanging="424"/>
        <w:spacing w:after="0"/>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Form 25 and attached Notice will be considered compliance with the provisions of 17 CFR 240.19d-1 as applicable. See General Instructions.</w:t>
      </w:r>
    </w:p>
    <w:p>
      <w:pPr>
        <w:spacing w:after="0" w:line="271" w:lineRule="exact"/>
        <w:rPr>
          <w:sz w:val="24"/>
          <w:szCs w:val="24"/>
          <w:color w:val="auto"/>
        </w:rPr>
      </w:pPr>
    </w:p>
    <w:p>
      <w:pPr>
        <w:ind w:left="1664" w:right="200" w:hanging="1659"/>
        <w:spacing w:after="0" w:line="282" w:lineRule="auto"/>
        <w:tabs>
          <w:tab w:leader="none" w:pos="1644" w:val="left"/>
        </w:tabs>
        <w:rPr>
          <w:sz w:val="20"/>
          <w:szCs w:val="20"/>
          <w:color w:val="auto"/>
        </w:rPr>
      </w:pPr>
      <w:r>
        <w:rPr>
          <w:rFonts w:ascii="Arial" w:cs="Arial" w:eastAsia="Arial" w:hAnsi="Arial"/>
          <w:sz w:val="18"/>
          <w:szCs w:val="18"/>
          <w:color w:val="auto"/>
        </w:rPr>
        <w:t>SEC 1654 (03-06)</w:t>
      </w:r>
      <w:r>
        <w:rPr>
          <w:sz w:val="20"/>
          <w:szCs w:val="20"/>
          <w:color w:val="auto"/>
        </w:rPr>
        <w:tab/>
      </w: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122555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165735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1024"/>
      </w:cols>
      <w:pgMar w:left="436" w:top="36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2021-10-15T15:33:28Z</dcterms:created>
  <dcterms:modified xsi:type="dcterms:W3CDTF">2021-10-15T15:33:28Z</dcterms:modified>
</cp:coreProperties>
</file>