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November 14,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2024, Bakkt Holdings, Inc. (the “Company”) issued a press release regarding the Company’s results for the quarter ended September 30, 2024.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bkktq324earningsreleasefin.htm">
              <w:r>
                <w:rPr>
                  <w:rStyle w:val="InternetLink"/>
                  <w:rFonts w:ascii="Times New Roman;sans-serif" w:hAnsi="Times New Roman;sans-serif"/>
                  <w:b w:val="false"/>
                  <w:color w:val="000080"/>
                  <w:sz w:val="20"/>
                  <w:u w:val="single"/>
                </w:rPr>
                <w:t xml:space="preserve">Press release issued by Bakkt Holdings, Inc. on </w:t>
              </w:r>
            </w:hyperlink>
            <w:hyperlink w:anchor="bkktq324earningsreleasefin.htm">
              <w:r>
                <w:rPr>
                  <w:rStyle w:val="InternetLink"/>
                  <w:rFonts w:ascii="Times New Roman;sans-serif" w:hAnsi="Times New Roman;sans-serif"/>
                  <w:b w:val="false"/>
                  <w:color w:val="000080"/>
                  <w:sz w:val="20"/>
                  <w:u w:val="single"/>
                </w:rPr>
                <w:t>November</w:t>
              </w:r>
            </w:hyperlink>
            <w:hyperlink w:anchor="bkktq324earningsreleasefin.htm">
              <w:r>
                <w:rPr>
                  <w:rStyle w:val="InternetLink"/>
                  <w:rFonts w:ascii="Times New Roman;sans-serif" w:hAnsi="Times New Roman;sans-serif"/>
                  <w:b w:val="false"/>
                  <w:color w:val="000080"/>
                  <w:sz w:val="20"/>
                  <w:u w:val="single"/>
                </w:rPr>
                <w:t xml:space="preserve"> 14, 2024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November 14, 2024</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2477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47775" cy="457200"/>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68" w:before="0" w:after="0"/>
        <w:jc w:val="center"/>
        <w:rPr>
          <w:rFonts w:ascii="Calibri;sans-serif" w:hAnsi="Calibri;sans-serif"/>
          <w:b/>
          <w:color w:val="000000"/>
          <w:sz w:val="32"/>
        </w:rPr>
      </w:pPr>
      <w:r>
        <w:rPr>
          <w:rFonts w:ascii="Calibri;sans-serif" w:hAnsi="Calibri;sans-serif"/>
          <w:b/>
          <w:color w:val="000000"/>
          <w:sz w:val="32"/>
        </w:rPr>
        <w:t>Bakkt Reports Third Quarter 2024 Results</w:t>
      </w:r>
    </w:p>
    <w:p>
      <w:pPr>
        <w:pStyle w:val="TextBody"/>
        <w:bidi w:val="0"/>
        <w:spacing w:before="0" w:after="0"/>
        <w:jc w:val="left"/>
        <w:rPr/>
      </w:pPr>
      <w:r>
        <w:rPr/>
      </w:r>
    </w:p>
    <w:p>
      <w:pPr>
        <w:pStyle w:val="TextBody"/>
        <w:bidi w:val="0"/>
        <w:spacing w:lineRule="auto" w:line="268" w:before="0" w:after="0"/>
        <w:ind w:left="0" w:right="0" w:hanging="360"/>
        <w:jc w:val="center"/>
        <w:rPr/>
      </w:pPr>
      <w:r>
        <w:rPr>
          <w:color w:val="000000"/>
        </w:rPr>
        <w:t>•</w:t>
      </w:r>
      <w:r>
        <w:rPr>
          <w:rFonts w:ascii="Calibri;sans-serif" w:hAnsi="Calibri;sans-serif"/>
          <w:b w:val="false"/>
          <w:i/>
          <w:color w:val="000000"/>
          <w:sz w:val="22"/>
        </w:rPr>
        <w:t>BakktX successfully tested, institutional client rollout to begin Q4’24</w:t>
      </w:r>
    </w:p>
    <w:p>
      <w:pPr>
        <w:pStyle w:val="TextBody"/>
        <w:bidi w:val="0"/>
        <w:spacing w:lineRule="auto" w:line="360" w:before="0" w:after="0"/>
        <w:ind w:left="0" w:right="0" w:hanging="360"/>
        <w:jc w:val="center"/>
        <w:rPr/>
      </w:pPr>
      <w:r>
        <w:rPr>
          <w:color w:val="000000"/>
        </w:rPr>
        <w:t>•</w:t>
      </w:r>
      <w:r>
        <w:rPr>
          <w:rFonts w:ascii="Calibri;sans-serif" w:hAnsi="Calibri;sans-serif"/>
          <w:b w:val="false"/>
          <w:i/>
          <w:color w:val="000000"/>
          <w:sz w:val="22"/>
        </w:rPr>
        <w:t>Net loss improved 87.8% year-over-year</w:t>
      </w:r>
    </w:p>
    <w:p>
      <w:pPr>
        <w:pStyle w:val="TextBody"/>
        <w:bidi w:val="0"/>
        <w:spacing w:before="0" w:after="0"/>
        <w:jc w:val="left"/>
        <w:rPr/>
      </w:pPr>
      <w:r>
        <w:rPr/>
      </w:r>
    </w:p>
    <w:p>
      <w:pPr>
        <w:pStyle w:val="TextBody"/>
        <w:bidi w:val="0"/>
        <w:spacing w:lineRule="auto" w:line="268" w:before="0" w:after="0"/>
        <w:jc w:val="left"/>
        <w:rPr/>
      </w:pPr>
      <w:r>
        <w:rPr>
          <w:rFonts w:ascii="Calibri;sans-serif" w:hAnsi="Calibri;sans-serif"/>
          <w:b/>
          <w:color w:val="000000"/>
          <w:sz w:val="22"/>
        </w:rPr>
        <w:t>ALPHARETTA, GA – November 14, 2024</w:t>
      </w:r>
      <w:r>
        <w:rPr>
          <w:color w:val="000000"/>
        </w:rPr>
        <w:t xml:space="preserve"> – </w:t>
      </w:r>
      <w:r>
        <w:rPr>
          <w:rFonts w:ascii="Calibri;sans-serif" w:hAnsi="Calibri;sans-serif"/>
          <w:b w:val="false"/>
          <w:color w:val="000000"/>
          <w:sz w:val="22"/>
        </w:rPr>
        <w:t>Bakkt Holdings, Inc. (“Bakkt” or the “Company”) (NYSE: BKKT) announced its financial and operational results for the quarter ended September 30, 2024.</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CEO Comments:</w:t>
      </w:r>
    </w:p>
    <w:p>
      <w:pPr>
        <w:pStyle w:val="TextBody"/>
        <w:bidi w:val="0"/>
        <w:spacing w:lineRule="auto" w:line="276" w:before="0" w:after="0"/>
        <w:jc w:val="left"/>
        <w:rPr>
          <w:rFonts w:ascii="Calibri;sans-serif" w:hAnsi="Calibri;sans-serif"/>
          <w:b w:val="false"/>
          <w:color w:val="000000"/>
          <w:sz w:val="22"/>
        </w:rPr>
      </w:pPr>
      <w:r>
        <w:rPr>
          <w:rFonts w:ascii="Calibri;sans-serif" w:hAnsi="Calibri;sans-serif"/>
          <w:b w:val="false"/>
          <w:color w:val="000000"/>
          <w:sz w:val="22"/>
        </w:rPr>
        <w:t>"Since the U.S. Presidential election, we’ve seen a dramatic increase in trading volumes driven by favorable macro sentiment and rising crypto prices,” said Andy Main, President and CEO of Bakkt. “As of November 12th, we had transacted $279 million in volume, already surpassing October’s total of $165 million in just 12 days. These tailwinds align with the upcoming rollout of our institutional trading platform, BakktX, which marks a pivotal turning point for our business. Our combined efforts with Hidden Road, Crossover Markets and CoinRoutes are expected to deliver a powerful combination of Bakkt's security and compliance expertise with real-time risk management and operational support, high-performance technology, and a first-class trading interface and algorithm that we believe will put us in a strong position to win share in a rapidly growing market.”</w:t>
      </w:r>
    </w:p>
    <w:p>
      <w:pPr>
        <w:pStyle w:val="TextBody"/>
        <w:bidi w:val="0"/>
        <w:spacing w:lineRule="auto" w:line="276" w:before="0" w:after="0"/>
        <w:jc w:val="left"/>
        <w:rPr>
          <w:rFonts w:ascii="Calibri;sans-serif" w:hAnsi="Calibri;sans-serif"/>
          <w:b w:val="false"/>
          <w:color w:val="000000"/>
          <w:sz w:val="22"/>
        </w:rPr>
      </w:pPr>
      <w:r>
        <w:rPr>
          <w:rFonts w:ascii="Calibri;sans-serif" w:hAnsi="Calibri;sans-serif"/>
          <w:b w:val="false"/>
          <w:color w:val="000000"/>
          <w:sz w:val="22"/>
        </w:rPr>
        <w:t>Mr. Main continued, “In October, given the considerable margin compression we’ve seen in the custody space, we began investigating a possible wind-down and dissolution of Bakkt Trust due to its lack of market traction and high cost of capital due to regulatory requirements. As this process has progressed, we have also worked to find strategic alternatives for Bakkt Trust. We expect to have a lower regulatory capital requirement during the pendency of this process. This decision allows us to focus on our core business areas, including brokerage and institutional trading services, where we believe we have significant competitive advantages and growth opportunities. We’ve seen significant headwinds thus far in 2024 but looking forward, with the macro landscape improving, BakktX rolling out in the coming months, and broader coin offerings, we believe we are well-positioned to capitalize on high-growth opportunities across the digital asset ecosystem.”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Third Quarter 2024 Key Performance Indicators: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Crypto enabled accounts grew to 6.5 million, up 6.7% year-over-year.</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Notional traded volume increased 30.1% year-over-year to $476.5 million, primarily due to stronger crypto market activity.</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Assets under custody increased 85.5% year-over-year to $938.7 million, primarily due to higher trading prices for crypto assets.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Loyalty transacting accounts decreased 41.6% year-over-year to approximately 610,568, primarily due to a credit card program divestiture by a large loyalty client.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Third Quarter 2024 Financial Highlights (unaudited):</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Total revenues of $328.4 million reflect an increase in gross crypto services revenues driven by Bakkt Crypto. Net loyalty revenues of $12.1 million decreased 7.2% year-over-year driven by lower notionally traded volume and redemption.</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Total operating expenses of $355.8 million reflect an increase in crypto costs and execution, clearing and brokerage fees driven by Bakkt Crypto.</w:t>
      </w:r>
    </w:p>
    <w:p>
      <w:pPr>
        <w:pStyle w:val="TextBody"/>
        <w:bidi w:val="0"/>
        <w:spacing w:lineRule="auto" w:line="268"/>
        <w:ind w:left="0" w:right="0" w:hanging="360"/>
        <w:jc w:val="left"/>
        <w:rPr/>
      </w:pPr>
      <w:r>
        <w:rPr>
          <w:color w:val="000000"/>
        </w:rPr>
        <w:t>•</w:t>
      </w:r>
      <w:r>
        <w:rPr>
          <w:rFonts w:ascii="Calibri;sans-serif" w:hAnsi="Calibri;sans-serif"/>
          <w:b w:val="false"/>
          <w:color w:val="000000"/>
          <w:sz w:val="22"/>
        </w:rPr>
        <w:t>Total operating expenses excluding crypto costs and execution, clearing and brokerage fees decreased 39.7% year-over-year to $40.8 million primarily as a result of lower compensation expense related to the restructuring and reduction in headcount in the first quarter of 2024.</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Operating loss of $27.4 million improved 48.2% year-over-year primarily due to the lapse of a $23.3 million goodwill and intangible asset impairment in third quarter of 2023 along with higher crypto services revenue, and lower compensation, SG&amp;A and acquisition related costs.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Net loss improved 87.8% year-over-year to $6.3 million as the third quarter of 2024 benefited from a $20.0 million gain on the fair value of warrant liability.</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Adjusted EBITDA loss (non-GAAP) increased 9.7% year-over-year to $23.7 million as the second half of 2023 benefited from a temporary brokerage business revenue share adjustment with WeBull and a decrease in loyalty revenue.</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p>
    <w:tbl>
      <w:tblPr>
        <w:tblW w:w="9818" w:type="dxa"/>
        <w:jc w:val="left"/>
        <w:tblInd w:w="0" w:type="dxa"/>
        <w:tblLayout w:type="fixed"/>
        <w:tblCellMar>
          <w:top w:w="28" w:type="dxa"/>
          <w:left w:w="28" w:type="dxa"/>
          <w:bottom w:w="28" w:type="dxa"/>
          <w:right w:w="28" w:type="dxa"/>
        </w:tblCellMar>
      </w:tblPr>
      <w:tblGrid>
        <w:gridCol w:w="2575"/>
        <w:gridCol w:w="2260"/>
        <w:gridCol w:w="2275"/>
        <w:gridCol w:w="229"/>
        <w:gridCol w:w="229"/>
        <w:gridCol w:w="231"/>
        <w:gridCol w:w="114"/>
        <w:gridCol w:w="114"/>
        <w:gridCol w:w="114"/>
        <w:gridCol w:w="114"/>
        <w:gridCol w:w="114"/>
        <w:gridCol w:w="118"/>
        <w:gridCol w:w="109"/>
        <w:gridCol w:w="109"/>
        <w:gridCol w:w="109"/>
        <w:gridCol w:w="156"/>
        <w:gridCol w:w="156"/>
        <w:gridCol w:w="156"/>
        <w:gridCol w:w="156"/>
        <w:gridCol w:w="156"/>
        <w:gridCol w:w="224"/>
      </w:tblGrid>
      <w:tr>
        <w:trPr/>
        <w:tc>
          <w:tcPr>
            <w:tcW w:w="257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6" w:space="0" w:color="000000"/>
              <w:left w:val="single" w:sz="6" w:space="0" w:color="000000"/>
            </w:tcBorders>
            <w:shd w:fill="000000" w:val="clear"/>
            <w:tcMar>
              <w:top w:w="30" w:type="dxa"/>
              <w:left w:w="75" w:type="dxa"/>
              <w:bottom w:w="0" w:type="dxa"/>
              <w:right w:w="0" w:type="dxa"/>
            </w:tcMar>
            <w:vAlign w:val="center"/>
          </w:tcPr>
          <w:p>
            <w:pPr>
              <w:pStyle w:val="TableContents"/>
              <w:bidi w:val="0"/>
              <w:spacing w:lineRule="auto" w:line="321" w:before="0" w:after="283"/>
              <w:jc w:val="left"/>
              <w:rPr>
                <w:rFonts w:ascii="Calibri;sans-serif" w:hAnsi="Calibri;sans-serif"/>
                <w:b/>
                <w:color w:val="FFFFFF"/>
                <w:sz w:val="20"/>
              </w:rPr>
            </w:pPr>
            <w:r>
              <w:rPr>
                <w:rFonts w:ascii="Calibri;sans-serif" w:hAnsi="Calibri;sans-serif"/>
                <w:b/>
                <w:color w:val="FFFFFF"/>
                <w:sz w:val="20"/>
              </w:rPr>
              <w:t>$ in millions</w:t>
            </w:r>
          </w:p>
        </w:tc>
        <w:tc>
          <w:tcPr>
            <w:tcW w:w="1031" w:type="dxa"/>
            <w:gridSpan w:val="6"/>
            <w:tcBorders>
              <w:top w:val="single" w:sz="6" w:space="0" w:color="000000"/>
            </w:tcBorders>
            <w:shd w:fill="000000" w:val="clear"/>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FFFFFF"/>
                <w:sz w:val="20"/>
              </w:rPr>
            </w:pPr>
            <w:r>
              <w:rPr>
                <w:rFonts w:ascii="Calibri;sans-serif" w:hAnsi="Calibri;sans-serif"/>
                <w:b/>
                <w:color w:val="FFFFFF"/>
                <w:sz w:val="20"/>
              </w:rPr>
              <w:t>3Q24</w:t>
            </w:r>
          </w:p>
        </w:tc>
        <w:tc>
          <w:tcPr>
            <w:tcW w:w="673" w:type="dxa"/>
            <w:gridSpan w:val="6"/>
            <w:tcBorders>
              <w:top w:val="single" w:sz="6" w:space="0" w:color="000000"/>
            </w:tcBorders>
            <w:shd w:fill="000000" w:val="clear"/>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FFFFFF"/>
                <w:sz w:val="20"/>
              </w:rPr>
            </w:pPr>
            <w:r>
              <w:rPr>
                <w:rFonts w:ascii="Calibri;sans-serif" w:hAnsi="Calibri;sans-serif"/>
                <w:b/>
                <w:color w:val="FFFFFF"/>
                <w:sz w:val="20"/>
              </w:rPr>
              <w:t>3Q23</w:t>
            </w:r>
          </w:p>
        </w:tc>
        <w:tc>
          <w:tcPr>
            <w:tcW w:w="1004" w:type="dxa"/>
            <w:gridSpan w:val="6"/>
            <w:tcBorders>
              <w:top w:val="single" w:sz="6" w:space="0" w:color="000000"/>
              <w:right w:val="single" w:sz="6" w:space="0" w:color="000000"/>
            </w:tcBorders>
            <w:shd w:fill="000000" w:val="clear"/>
            <w:tcMar>
              <w:top w:w="30" w:type="dxa"/>
              <w:left w:w="0" w:type="dxa"/>
              <w:bottom w:w="0" w:type="dxa"/>
            </w:tcMar>
            <w:vAlign w:val="center"/>
          </w:tcPr>
          <w:p>
            <w:pPr>
              <w:pStyle w:val="TableContents"/>
              <w:bidi w:val="0"/>
              <w:spacing w:lineRule="auto" w:line="288" w:before="0" w:after="0"/>
              <w:jc w:val="center"/>
              <w:rPr/>
            </w:pPr>
            <w:r>
              <w:rPr>
                <w:rFonts w:ascii="Calibri;sans-serif" w:hAnsi="Calibri;sans-serif"/>
                <w:b/>
                <w:color w:val="FFFFFF"/>
                <w:sz w:val="20"/>
              </w:rPr>
              <w:t>Increase/</w:t>
            </w:r>
            <w:r>
              <w:rPr>
                <w:rFonts w:ascii="Aptos;san-serif" w:hAnsi="Aptos;san-serif"/>
                <w:b w:val="false"/>
                <w:color w:val="FFFFFF"/>
                <w:sz w:val="24"/>
              </w:rPr>
              <w:br/>
            </w:r>
            <w:r>
              <w:rPr>
                <w:rFonts w:ascii="Calibri;sans-serif" w:hAnsi="Calibri;sans-serif"/>
                <w:b/>
                <w:color w:val="FFFFFF"/>
                <w:sz w:val="20"/>
              </w:rPr>
              <w:t>(decrease)</w:t>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000000"/>
                <w:sz w:val="20"/>
              </w:rPr>
              <w:t>Total revenues</w:t>
            </w:r>
            <w:r>
              <w:rPr>
                <w:rFonts w:ascii="Calibri;sans-serif" w:hAnsi="Calibri;sans-serif"/>
                <w:b w:val="false"/>
                <w:color w:val="000000"/>
                <w:sz w:val="13"/>
              </w:rPr>
              <w:t>1</w:t>
            </w:r>
          </w:p>
        </w:tc>
        <w:tc>
          <w:tcPr>
            <w:tcW w:w="68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$328.4</w:t>
            </w:r>
          </w:p>
        </w:tc>
        <w:tc>
          <w:tcPr>
            <w:tcW w:w="688"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$204.8</w:t>
            </w:r>
          </w:p>
        </w:tc>
        <w:tc>
          <w:tcPr>
            <w:tcW w:w="795"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60.4%</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0"/>
              </w:rPr>
              <w:t>Crypto costs and execution, clearing and brokerage fees</w:t>
            </w:r>
          </w:p>
        </w:tc>
        <w:tc>
          <w:tcPr>
            <w:tcW w:w="68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315.0</w:t>
            </w:r>
          </w:p>
        </w:tc>
        <w:tc>
          <w:tcPr>
            <w:tcW w:w="688"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190.1</w:t>
            </w:r>
          </w:p>
        </w:tc>
        <w:tc>
          <w:tcPr>
            <w:tcW w:w="795"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65.8%</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7"/>
              <w:jc w:val="left"/>
              <w:rPr>
                <w:color w:val="000000"/>
              </w:rPr>
            </w:pPr>
            <w:r>
              <w:rPr>
                <w:color w:val="000000"/>
              </w:rPr>
              <w:t>   </w:t>
            </w:r>
            <w:r>
              <w:rPr>
                <w:rFonts w:ascii="Calibri;sans-serif" w:hAnsi="Calibri;sans-serif"/>
                <w:b w:val="false"/>
                <w:color w:val="000000"/>
                <w:sz w:val="20"/>
              </w:rPr>
              <w:t>Operating expenses, excluding crypto costs and execution, clearing and brokerage fees</w:t>
            </w:r>
          </w:p>
        </w:tc>
        <w:tc>
          <w:tcPr>
            <w:tcW w:w="68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40.8</w:t>
            </w:r>
          </w:p>
        </w:tc>
        <w:tc>
          <w:tcPr>
            <w:tcW w:w="68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67.5</w:t>
            </w:r>
          </w:p>
        </w:tc>
        <w:tc>
          <w:tcPr>
            <w:tcW w:w="79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(39.7%)</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6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355.8</w:t>
            </w:r>
          </w:p>
        </w:tc>
        <w:tc>
          <w:tcPr>
            <w:tcW w:w="68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257.6</w:t>
            </w:r>
          </w:p>
        </w:tc>
        <w:tc>
          <w:tcPr>
            <w:tcW w:w="79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38.1%</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6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(27.4</w:t>
            </w:r>
          </w:p>
        </w:tc>
        <w:tc>
          <w:tcPr>
            <w:tcW w:w="68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(52.9)</w:t>
            </w:r>
          </w:p>
        </w:tc>
        <w:tc>
          <w:tcPr>
            <w:tcW w:w="79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(48.2%)</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68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688"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(51.7)</w:t>
            </w:r>
          </w:p>
        </w:tc>
        <w:tc>
          <w:tcPr>
            <w:tcW w:w="795" w:type="dxa"/>
            <w:gridSpan w:val="6"/>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(87.8%)</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Calibri;sans-serif" w:hAnsi="Calibri;sans-serif"/>
                <w:b w:val="false"/>
                <w:color w:val="000000"/>
                <w:sz w:val="20"/>
              </w:rPr>
            </w:pPr>
            <w:r>
              <w:rPr>
                <w:rFonts w:ascii="Calibri;sans-serif" w:hAnsi="Calibri;sans-serif"/>
                <w:b w:val="false"/>
                <w:color w:val="000000"/>
                <w:sz w:val="20"/>
              </w:rPr>
              <w:t>Adjusted EBITDA loss (non-GAAP)</w:t>
            </w:r>
          </w:p>
        </w:tc>
        <w:tc>
          <w:tcPr>
            <w:tcW w:w="6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($23.7)</w:t>
            </w:r>
          </w:p>
        </w:tc>
        <w:tc>
          <w:tcPr>
            <w:tcW w:w="68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($21.6)</w:t>
            </w:r>
          </w:p>
        </w:tc>
        <w:tc>
          <w:tcPr>
            <w:tcW w:w="795"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321" w:before="0" w:after="283"/>
              <w:jc w:val="center"/>
              <w:rPr>
                <w:rFonts w:ascii="Calibri;sans-serif" w:hAnsi="Calibri;sans-serif"/>
                <w:b w:val="false"/>
                <w:color w:val="000000"/>
                <w:sz w:val="20"/>
              </w:rPr>
            </w:pPr>
            <w:r>
              <w:rPr>
                <w:rFonts w:ascii="Calibri;sans-serif" w:hAnsi="Calibri;sans-serif"/>
                <w:b w:val="false"/>
                <w:color w:val="000000"/>
                <w:sz w:val="20"/>
              </w:rPr>
              <w:t>(9.7%)</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Recent Operational Highlights:</w:t>
      </w:r>
    </w:p>
    <w:p>
      <w:pPr>
        <w:pStyle w:val="TextBody"/>
        <w:bidi w:val="0"/>
        <w:spacing w:lineRule="auto" w:line="268" w:before="0" w:after="0"/>
        <w:ind w:left="0" w:right="0" w:hanging="360"/>
        <w:jc w:val="left"/>
        <w:rPr/>
      </w:pPr>
      <w:r>
        <w:rPr>
          <w:color w:val="000000"/>
        </w:rPr>
        <w:t>•</w:t>
      </w:r>
      <w:r>
        <w:rPr>
          <w:rFonts w:ascii="Calibri;sans-serif" w:hAnsi="Calibri;sans-serif"/>
          <w:b/>
          <w:color w:val="000000"/>
          <w:sz w:val="22"/>
          <w:u w:val="single"/>
        </w:rPr>
        <w:t>BakktX ECN:</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Successfully tested and verified with Bakkt Custody Solutions (“BCS”) in Q3’24, rollout to commence in Q4’24 to institutional clients.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Aims to combine Bakkt’s security and compliance expertise with Crossover Markets’ high-performance technology, CoinRoute’s optimized trading interface and algorithms, and, once we have a definitive commercial agreement, Hidden Road’s extensive distribution capabilities.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Strategically designed to be the preferred platform for institutional traders, offering enhanced operational efficiency, comprehensive risk management, and capital optimization.</w:t>
      </w:r>
    </w:p>
    <w:p>
      <w:pPr>
        <w:pStyle w:val="TextBody"/>
        <w:bidi w:val="0"/>
        <w:spacing w:lineRule="auto" w:line="268" w:before="0" w:after="0"/>
        <w:ind w:left="0" w:right="0" w:hanging="360"/>
        <w:jc w:val="left"/>
        <w:rPr/>
      </w:pPr>
      <w:r>
        <w:rPr>
          <w:color w:val="000000"/>
        </w:rPr>
        <w:t>•</w:t>
      </w:r>
      <w:r>
        <w:rPr>
          <w:rFonts w:ascii="Calibri;sans-serif" w:hAnsi="Calibri;sans-serif"/>
          <w:b/>
          <w:color w:val="000000"/>
          <w:sz w:val="22"/>
          <w:u w:val="single"/>
        </w:rPr>
        <w:t>Strategic Partnerships: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Expanded relationship with Blockwyre, an AI-driven crypto-fintech platform, as a new institutional brokerage client, expanding Bakkt’s presence in B2B and B2B2C crypto payment solutions by providing end-to-end crypto brokerage infrastructure for Blockwyre’s spot crypto and stablecoin payments platform.</w:t>
      </w:r>
    </w:p>
    <w:p>
      <w:pPr>
        <w:pStyle w:val="TextBody"/>
        <w:bidi w:val="0"/>
        <w:spacing w:lineRule="auto" w:line="268" w:before="0" w:after="0"/>
        <w:ind w:left="0" w:right="0" w:hanging="360"/>
        <w:jc w:val="left"/>
        <w:rPr/>
      </w:pPr>
      <w:r>
        <w:rPr>
          <w:color w:val="000000"/>
        </w:rPr>
        <w:t>•</w:t>
      </w:r>
      <w:r>
        <w:rPr>
          <w:rFonts w:ascii="Calibri;sans-serif" w:hAnsi="Calibri;sans-serif"/>
          <w:b/>
          <w:color w:val="000000"/>
          <w:sz w:val="22"/>
          <w:u w:val="single"/>
        </w:rPr>
        <w:t>New Coin Listings: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Launched 9 new coins for trading in Q3’24, which contributed more than 10% to overall trading volume in September.</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Added an additional 6 coins in November.</w:t>
      </w:r>
    </w:p>
    <w:p>
      <w:pPr>
        <w:pStyle w:val="TextBody"/>
        <w:bidi w:val="0"/>
        <w:spacing w:lineRule="auto" w:line="268" w:before="0" w:after="0"/>
        <w:ind w:left="0" w:right="0" w:hanging="360"/>
        <w:jc w:val="left"/>
        <w:rPr/>
      </w:pPr>
      <w:r>
        <w:rPr>
          <w:color w:val="000000"/>
        </w:rPr>
        <w:t>•</w:t>
      </w:r>
      <w:r>
        <w:rPr>
          <w:rFonts w:ascii="Calibri;sans-serif" w:hAnsi="Calibri;sans-serif"/>
          <w:b/>
          <w:color w:val="000000"/>
          <w:sz w:val="22"/>
          <w:u w:val="single"/>
        </w:rPr>
        <w:t>Recent Trading Volume Increase:</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November 2024 trading volumes surged to $279 million as of November 12th, surpassing October's total of $165 million in just 12 days, driven by favorable macro sentiment and rising crypto prices.</w:t>
      </w:r>
    </w:p>
    <w:p>
      <w:pPr>
        <w:pStyle w:val="TextBody"/>
        <w:bidi w:val="0"/>
        <w:spacing w:before="0" w:after="0"/>
        <w:jc w:val="left"/>
        <w:rPr/>
      </w:pPr>
      <w:r>
        <w:rPr/>
      </w:r>
    </w:p>
    <w:p>
      <w:pPr>
        <w:pStyle w:val="TextBody"/>
        <w:bidi w:val="0"/>
        <w:spacing w:lineRule="auto" w:line="268"/>
        <w:jc w:val="left"/>
        <w:rPr/>
      </w:pPr>
      <w:r>
        <w:rPr>
          <w:rFonts w:ascii="Calibri;sans-serif" w:hAnsi="Calibri;sans-serif"/>
          <w:b/>
          <w:color w:val="000000"/>
          <w:sz w:val="22"/>
        </w:rPr>
        <w:t>2024 Guidance Update:</w:t>
      </w:r>
      <w:r>
        <w:rPr>
          <w:rFonts w:ascii="Calibri;sans-serif" w:hAnsi="Calibri;sans-serif"/>
          <w:b/>
          <w:color w:val="000000"/>
          <w:sz w:val="13"/>
        </w:rPr>
        <w:t>2</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Full year 2024 revenue from loyalty expected to be approximately $49 million - $50 million, lower than prior guidance primarily due to lower transaction revenue.</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Full year 2024 gross crypto revenue, less crypto costs and execution, clearing and brokerage costs, expected to be at the lower end of $10 million - $15 million range primarily due to timing of activations.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Full year 2024 cash used in operating activities expected to be ($84 million) – ($89 million) and free cash flow usage (non-GAAP) expected to be ($91 million) – ($96 million) due to reduction in revenue and higher expenses.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End of year available cash, cash equivalents and available-for-sale securities of $34 million – $39 million.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15"/>
        </w:rPr>
      </w:pPr>
      <w:r>
        <w:rPr>
          <w:rFonts w:ascii="Calibri;sans-serif" w:hAnsi="Calibri;sans-serif"/>
          <w:b w:val="false"/>
          <w:color w:val="000000"/>
          <w:sz w:val="15"/>
        </w:rPr>
        <w:t>1. In accordance with GAAP, crypto services revenue and crypto costs and execution, clearing and brokerage fees are presented on a gross basis as the Company is a principal in those transactions.</w:t>
      </w:r>
    </w:p>
    <w:p>
      <w:pPr>
        <w:pStyle w:val="TextBody"/>
        <w:bidi w:val="0"/>
        <w:spacing w:before="0" w:after="0"/>
        <w:jc w:val="left"/>
        <w:rPr/>
      </w:pPr>
      <w:r>
        <w:rPr/>
      </w:r>
    </w:p>
    <w:p>
      <w:pPr>
        <w:pStyle w:val="TextBody"/>
        <w:bidi w:val="0"/>
        <w:spacing w:lineRule="auto" w:line="256" w:before="0" w:after="0"/>
        <w:jc w:val="left"/>
        <w:rPr/>
      </w:pPr>
      <w:r>
        <w:rPr>
          <w:rFonts w:ascii="Calibri;sans-serif" w:hAnsi="Calibri;sans-serif"/>
          <w:b w:val="false"/>
          <w:color w:val="000000"/>
          <w:sz w:val="15"/>
        </w:rPr>
        <w:t xml:space="preserve">2. Given under the following updated key assumptions: </w:t>
      </w:r>
      <w:r>
        <w:rPr>
          <w:rFonts w:ascii="Calibri;sans-serif" w:hAnsi="Calibri;sans-serif"/>
          <w:b w:val="false"/>
          <w:i/>
          <w:color w:val="000000"/>
          <w:sz w:val="15"/>
        </w:rPr>
        <w:t>Gross Crypto Revenue, Crypto Costs and ECB</w:t>
      </w:r>
      <w:r>
        <w:rPr>
          <w:color w:val="000000"/>
        </w:rPr>
        <w:t xml:space="preserve"> </w:t>
      </w:r>
      <w:r>
        <w:rPr>
          <w:rFonts w:ascii="Calibri;sans-serif" w:hAnsi="Calibri;sans-serif"/>
          <w:b w:val="false"/>
          <w:color w:val="000000"/>
          <w:sz w:val="15"/>
        </w:rPr>
        <w:t xml:space="preserve">- revenue contribution from existing clients/accounts based on Q3’24 retail trading engagement metrics, decrease in loyalty revenues and overall trading volume, no inclusion of material revenue from BakktX, and Crypto Costs and ECB in line with gross crypto revenue. </w:t>
      </w:r>
      <w:r>
        <w:rPr>
          <w:rFonts w:ascii="Calibri;sans-serif" w:hAnsi="Calibri;sans-serif"/>
          <w:b w:val="false"/>
          <w:i/>
          <w:color w:val="000000"/>
          <w:sz w:val="15"/>
        </w:rPr>
        <w:t>End of year cash, cash equivalents and AFS securities</w:t>
      </w:r>
      <w:r>
        <w:rPr>
          <w:color w:val="000000"/>
        </w:rPr>
        <w:t xml:space="preserve"> – </w:t>
      </w:r>
      <w:r>
        <w:rPr>
          <w:rFonts w:ascii="Calibri;sans-serif" w:hAnsi="Calibri;sans-serif"/>
          <w:b w:val="false"/>
          <w:color w:val="000000"/>
          <w:sz w:val="15"/>
        </w:rPr>
        <w:t xml:space="preserve">updated estimate inclusive of the possible wind-down and dissolution of Bakkt Trust and the expected lower regulatory capital requirements during the pendency of the process.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Webcast and Conference Call Information</w:t>
      </w:r>
    </w:p>
    <w:p>
      <w:pPr>
        <w:pStyle w:val="TextBody"/>
        <w:bidi w:val="0"/>
        <w:spacing w:lineRule="auto" w:line="268" w:before="0" w:after="0"/>
        <w:jc w:val="left"/>
        <w:rPr/>
      </w:pPr>
      <w:r>
        <w:rPr>
          <w:rFonts w:ascii="Calibri;sans-serif" w:hAnsi="Calibri;sans-serif"/>
          <w:b w:val="false"/>
          <w:color w:val="000000"/>
          <w:sz w:val="22"/>
        </w:rPr>
        <w:t xml:space="preserve">Bakkt will host a conference call at 5:00 PM ET, November 14, 2024. The earnings conference call will be webcast live </w:t>
      </w:r>
      <w:r>
        <w:rPr>
          <w:rFonts w:ascii="Calibri;sans-serif" w:hAnsi="Calibri;sans-serif"/>
          <w:b w:val="false"/>
          <w:color w:val="467886"/>
          <w:sz w:val="22"/>
        </w:rPr>
        <w:t>here</w:t>
      </w:r>
      <w:r>
        <w:rPr>
          <w:color w:val="000000"/>
        </w:rPr>
        <w:t xml:space="preserve"> </w:t>
      </w:r>
      <w:r>
        <w:rPr>
          <w:rFonts w:ascii="Calibri;sans-serif" w:hAnsi="Calibri;sans-serif"/>
          <w:b w:val="false"/>
          <w:color w:val="000000"/>
          <w:sz w:val="22"/>
        </w:rPr>
        <w:t>and archived on the investor relations section of Bakkt’s corporate website under the ‘Events &amp; Presentations’ section, along with any related earnings materials.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Investors and analysts interested in participating in the call are invited to dial (833) 470-1428 or (404) 975-4839, and reference participant access code 597174 approximately ten minutes prior to the start of the call.</w:t>
      </w:r>
    </w:p>
    <w:p>
      <w:pPr>
        <w:pStyle w:val="TextBody"/>
        <w:bidi w:val="0"/>
        <w:spacing w:lineRule="auto" w:line="268" w:before="0" w:after="0"/>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About Bakkt</w: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Founded in 2018, Bakkt builds solutions that enable our clients to grow with the crypto economy. Through institutional-grade custody, trading, and onramp capabilities, our clients leverage technology that’s built for sustainable, long-term involvement in crypto.</w:t>
      </w:r>
    </w:p>
    <w:p>
      <w:pPr>
        <w:pStyle w:val="TextBody"/>
        <w:bidi w:val="0"/>
        <w:spacing w:before="0" w:after="0"/>
        <w:jc w:val="left"/>
        <w:rPr/>
      </w:pPr>
      <w:r>
        <w:rPr/>
      </w:r>
    </w:p>
    <w:p>
      <w:pPr>
        <w:pStyle w:val="TextBody"/>
        <w:bidi w:val="0"/>
        <w:spacing w:lineRule="auto" w:line="268" w:before="0" w:after="0"/>
        <w:jc w:val="left"/>
        <w:rPr/>
      </w:pPr>
      <w:r>
        <w:rPr>
          <w:rFonts w:ascii="Calibri;sans-serif" w:hAnsi="Calibri;sans-serif"/>
          <w:b w:val="false"/>
          <w:color w:val="000000"/>
          <w:sz w:val="22"/>
        </w:rPr>
        <w:t xml:space="preserve">Bakkt is headquartered in Alpharetta, GA. For more information, visit: </w:t>
      </w:r>
      <w:r>
        <w:rPr>
          <w:rFonts w:ascii="Calibri;sans-serif" w:hAnsi="Calibri;sans-serif"/>
          <w:b w:val="false"/>
          <w:color w:val="467886"/>
          <w:sz w:val="22"/>
        </w:rPr>
        <w:t>https://www.bakkt.com/</w:t>
      </w:r>
      <w:r>
        <w:rPr>
          <w:color w:val="000000"/>
        </w:rPr>
        <w:t xml:space="preserve"> </w:t>
      </w:r>
      <w:r>
        <w:rPr>
          <w:rFonts w:ascii="Calibri;sans-serif" w:hAnsi="Calibri;sans-serif"/>
          <w:b w:val="false"/>
          <w:color w:val="000000"/>
          <w:sz w:val="22"/>
        </w:rPr>
        <w:t xml:space="preserve">| </w:t>
      </w:r>
    </w:p>
    <w:p>
      <w:pPr>
        <w:pStyle w:val="TextBody"/>
        <w:bidi w:val="0"/>
        <w:spacing w:lineRule="auto" w:line="268" w:before="0" w:after="0"/>
        <w:jc w:val="left"/>
        <w:rPr/>
      </w:pPr>
      <w:r>
        <w:rPr>
          <w:rFonts w:ascii="Calibri;sans-serif" w:hAnsi="Calibri;sans-serif"/>
          <w:b w:val="false"/>
          <w:color w:val="000000"/>
          <w:sz w:val="22"/>
        </w:rPr>
        <w:t xml:space="preserve">X (Formerly Twitter) </w:t>
      </w:r>
      <w:r>
        <w:rPr>
          <w:rFonts w:ascii="Calibri;sans-serif" w:hAnsi="Calibri;sans-serif"/>
          <w:b w:val="false"/>
          <w:color w:val="467886"/>
          <w:sz w:val="22"/>
        </w:rPr>
        <w:t>@Bakkt</w:t>
      </w:r>
      <w:r>
        <w:rPr>
          <w:color w:val="000000"/>
        </w:rPr>
        <w:t xml:space="preserve"> </w:t>
      </w:r>
      <w:r>
        <w:rPr>
          <w:rFonts w:ascii="Calibri;sans-serif" w:hAnsi="Calibri;sans-serif"/>
          <w:b w:val="false"/>
          <w:color w:val="000000"/>
          <w:sz w:val="22"/>
        </w:rPr>
        <w:t xml:space="preserve">| LinkedIn </w:t>
      </w:r>
      <w:r>
        <w:rPr>
          <w:rFonts w:ascii="Calibri;sans-serif" w:hAnsi="Calibri;sans-serif"/>
          <w:b w:val="false"/>
          <w:color w:val="467886"/>
          <w:sz w:val="22"/>
        </w:rPr>
        <w:t>https://www.linkedin.com/company/bakkt/</w:t>
      </w:r>
      <w:r>
        <w:rPr>
          <w:rFonts w:ascii="Calibri;sans-serif" w:hAnsi="Calibri;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Bakkt-E</w:t>
      </w:r>
    </w:p>
    <w:p>
      <w:pPr>
        <w:pStyle w:val="TextBody"/>
        <w:bidi w:val="0"/>
        <w:spacing w:lineRule="auto" w:line="268" w:before="0" w:after="0"/>
        <w:jc w:val="left"/>
        <w:rPr>
          <w:rFonts w:ascii="Calibri;sans-serif" w:hAnsi="Calibri;sans-serif"/>
          <w:b w:val="false"/>
          <w:i/>
          <w:color w:val="000000"/>
          <w:sz w:val="18"/>
        </w:rPr>
      </w:pPr>
      <w:r>
        <w:rPr>
          <w:rFonts w:ascii="Calibri;sans-serif" w:hAnsi="Calibri;sans-serif"/>
          <w:b w:val="false"/>
          <w:i/>
          <w:color w:val="000000"/>
          <w:sz w:val="18"/>
        </w:rPr>
        <w:t>Source: Bakkt Holdings, Inc.</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Contacts</w:t>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Investor Relations</w:t>
      </w:r>
    </w:p>
    <w:p>
      <w:pPr>
        <w:pStyle w:val="TextBody"/>
        <w:bidi w:val="0"/>
        <w:spacing w:lineRule="auto" w:line="268" w:before="0" w:after="0"/>
        <w:jc w:val="left"/>
        <w:rPr>
          <w:rFonts w:ascii="Calibri;sans-serif" w:hAnsi="Calibri;sans-serif"/>
          <w:b w:val="false"/>
          <w:color w:val="467886"/>
          <w:sz w:val="22"/>
        </w:rPr>
      </w:pPr>
      <w:r>
        <w:rPr>
          <w:rFonts w:ascii="Calibri;sans-serif" w:hAnsi="Calibri;sans-serif"/>
          <w:b w:val="false"/>
          <w:color w:val="467886"/>
          <w:sz w:val="22"/>
        </w:rPr>
        <w:t>IR@bakkt.com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 xml:space="preserve">Media </w:t>
      </w:r>
    </w:p>
    <w:p>
      <w:pPr>
        <w:pStyle w:val="TextBody"/>
        <w:bidi w:val="0"/>
        <w:spacing w:lineRule="auto" w:line="268" w:before="0" w:after="0"/>
        <w:jc w:val="left"/>
        <w:rPr>
          <w:rFonts w:ascii="Calibri;sans-serif" w:hAnsi="Calibri;sans-serif"/>
          <w:b w:val="false"/>
          <w:color w:val="467886"/>
          <w:sz w:val="22"/>
        </w:rPr>
      </w:pPr>
      <w:r>
        <w:rPr>
          <w:rFonts w:ascii="Calibri;sans-serif" w:hAnsi="Calibri;sans-serif"/>
          <w:b w:val="false"/>
          <w:color w:val="467886"/>
          <w:sz w:val="22"/>
        </w:rPr>
        <w:t>press@bakkt.com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Note on Forward-Looking Statements</w:t>
      </w:r>
    </w:p>
    <w:p>
      <w:pPr>
        <w:pStyle w:val="TextBody"/>
        <w:bidi w:val="0"/>
        <w:spacing w:lineRule="auto" w:line="268"/>
        <w:jc w:val="left"/>
        <w:rPr>
          <w:rFonts w:ascii="Calibri;sans-serif" w:hAnsi="Calibri;sans-serif"/>
          <w:b w:val="false"/>
          <w:color w:val="000000"/>
          <w:sz w:val="22"/>
        </w:rPr>
      </w:pPr>
      <w:r>
        <w:rPr>
          <w:rFonts w:ascii="Calibri;sans-serif" w:hAnsi="Calibri;sans-serif"/>
          <w:b w:val="false"/>
          <w:color w:val="000000"/>
          <w:sz w:val="22"/>
        </w:rPr>
        <w:t xml:space="preserve">This press release contains “forward-looking statements” within the meaning of Section 27A of the Securities Act of 1933, as amended, and Section 21E of the Securities Exchange Act of 1934, as amended. Such statements include, but are not limited to, Bakkt’s guidance and outlook, including for the full fiscal year 2024, and the trends and assumptions underlying such guidance and outlook, statements regarding BakktX and its expected positioning as a preferred platform, Bakkt’s cost reduction strategy and expectations regarding cost savings, Bakkt’s plans and expectations, including statements about new products and features, partnerships, joint ventures and growth, Bakkt’s ability to enter into a definitive commercial agreement with Hidden Road, Bakkt’s expectations regarding crypto market growth, including from the recent positive macro sentiment and rising crypto prices, Bakkt’s ability to winddown or effect a strategic transaction involving Bakkt Trust, and Bakkt’s beliefs regarding its future goals, among others.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changes in the Company’s business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disruptions in the crypto market that subject the Company to additional risks, including the risk that banks may not provide banking services to the Company; the possibility that the Company may be adversely affected by other economic, business, and/or competitive factors; the inability to launch new services and products, including with the expected commercial partners, or to profitably expand into new markets and services; the inability to execute the Company’s growth strategies, including identifying and executing acquisitions and the Company’s initiatives to add new clients and selling or winding down certain product offerings; the Company’s failure to comply with extensive government regulation, oversight, licensure and appraisals; uncertain regulatory regime governing blockchain technologies and crypto; the inability to develop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other risks and uncertainties indicated in the Company’s filings with the Securities and Exchange Commission, including its most recent Annual Report on Form 10-K and its subsequently filed Quarter Reports on Form 10-Q.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u w:val="single"/>
        </w:rPr>
        <w:t>Crypto-enabled accounts</w:t>
      </w:r>
      <w:r>
        <w:rPr>
          <w:rFonts w:ascii="Calibri;sans-serif" w:hAnsi="Calibri;sans-serif"/>
          <w:b w:val="false"/>
          <w:color w:val="000000"/>
          <w:sz w:val="22"/>
        </w:rPr>
        <w:t>: total crypto accounts open.</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u w:val="single"/>
        </w:rPr>
        <w:t>Transacting accounts</w:t>
      </w:r>
      <w:r>
        <w:rPr>
          <w:rFonts w:ascii="Calibri;sans-serif" w:hAnsi="Calibri;sans-serif"/>
          <w:b w:val="false"/>
          <w:color w:val="000000"/>
          <w:sz w:val="22"/>
        </w:rPr>
        <w:t>: unique accounts that perform at least one transaction across crypto buy/sell and loyalty redemption each month. Monthly figures are de-duped for the month. Quarterly figure represents sum of all months in the quarter.</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u w:val="single"/>
        </w:rPr>
        <w:t>Notional traded volume</w:t>
      </w:r>
      <w:r>
        <w:rPr>
          <w:rFonts w:ascii="Calibri;sans-serif" w:hAnsi="Calibri;sans-serif"/>
          <w:b w:val="false"/>
          <w:color w:val="000000"/>
          <w:sz w:val="22"/>
        </w:rPr>
        <w:t>: total notional volume of transactions across crypto buy/sell and loyalty redemption. Figures represent gross values recorded as of order date.</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u w:val="single"/>
        </w:rPr>
        <w:t>Assets under custody</w:t>
      </w:r>
      <w:r>
        <w:rPr>
          <w:rFonts w:ascii="Calibri;sans-serif" w:hAnsi="Calibri;sans-serif"/>
          <w:b w:val="false"/>
          <w:color w:val="000000"/>
          <w:sz w:val="22"/>
        </w:rPr>
        <w:t>: the sum of coin quantities held by customers multiplied by the final quote for each coin on the last day of the quarter.</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center"/>
        <w:rPr>
          <w:rFonts w:ascii="Calibri;sans-serif" w:hAnsi="Calibri;sans-serif"/>
          <w:b/>
          <w:color w:val="000000"/>
          <w:sz w:val="22"/>
        </w:rPr>
      </w:pPr>
      <w:r>
        <w:rPr>
          <w:rFonts w:ascii="Calibri;sans-serif" w:hAnsi="Calibri;sans-serif"/>
          <w:b/>
          <w:color w:val="000000"/>
          <w:sz w:val="22"/>
        </w:rPr>
        <w:t>Bakkt Q3 2024 Financial Statements</w:t>
      </w:r>
    </w:p>
    <w:p>
      <w:pPr>
        <w:pStyle w:val="TextBody"/>
        <w:bidi w:val="0"/>
        <w:spacing w:before="0" w:after="0"/>
        <w:jc w:val="left"/>
        <w:rPr/>
      </w:pPr>
      <w:r>
        <w:rPr/>
      </w:r>
    </w:p>
    <w:p>
      <w:pPr>
        <w:pStyle w:val="TextBody"/>
        <w:bidi w:val="0"/>
        <w:spacing w:lineRule="auto" w:line="256" w:before="0" w:after="0"/>
        <w:jc w:val="center"/>
        <w:rPr>
          <w:rFonts w:ascii="Calibri;sans-serif" w:hAnsi="Calibri;sans-serif"/>
          <w:b/>
          <w:color w:val="000000"/>
          <w:sz w:val="22"/>
        </w:rPr>
      </w:pPr>
      <w:r>
        <w:rPr>
          <w:rFonts w:ascii="Calibri;sans-serif" w:hAnsi="Calibri;sans-serif"/>
          <w:b/>
          <w:color w:val="000000"/>
          <w:sz w:val="22"/>
        </w:rPr>
        <w:t xml:space="preserve">Consolidated Balance Sheets </w:t>
      </w:r>
    </w:p>
    <w:tbl>
      <w:tblPr>
        <w:tblW w:w="10205" w:type="dxa"/>
        <w:jc w:val="center"/>
        <w:tblInd w:w="0" w:type="dxa"/>
        <w:tblLayout w:type="fixed"/>
        <w:tblCellMar>
          <w:top w:w="28" w:type="dxa"/>
          <w:left w:w="28" w:type="dxa"/>
          <w:bottom w:w="28" w:type="dxa"/>
          <w:right w:w="28" w:type="dxa"/>
        </w:tblCellMar>
      </w:tblPr>
      <w:tblGrid>
        <w:gridCol w:w="2527"/>
        <w:gridCol w:w="2216"/>
        <w:gridCol w:w="2225"/>
        <w:gridCol w:w="666"/>
        <w:gridCol w:w="662"/>
        <w:gridCol w:w="664"/>
        <w:gridCol w:w="365"/>
        <w:gridCol w:w="358"/>
        <w:gridCol w:w="522"/>
      </w:tblGrid>
      <w:tr>
        <w:trPr/>
        <w:tc>
          <w:tcPr>
            <w:tcW w:w="252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FFFFFF"/>
                <w:sz w:val="18"/>
              </w:rPr>
            </w:pPr>
            <w:r>
              <w:rPr>
                <w:rFonts w:ascii="Calibri;sans-serif" w:hAnsi="Calibri;sans-serif"/>
                <w:b/>
                <w:color w:val="FFFFFF"/>
                <w:sz w:val="18"/>
              </w:rPr>
              <w:t>$ in millions except per share data</w:t>
            </w:r>
          </w:p>
        </w:tc>
        <w:tc>
          <w:tcPr>
            <w:tcW w:w="1992"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8"/>
              </w:rPr>
            </w:pPr>
            <w:r>
              <w:rPr>
                <w:rFonts w:ascii="Calibri;sans-serif" w:hAnsi="Calibri;sans-serif"/>
                <w:b/>
                <w:color w:val="FFFFFF"/>
                <w:sz w:val="18"/>
              </w:rPr>
              <w:t>As of 9/30/24 (unaudited)</w:t>
            </w:r>
          </w:p>
        </w:tc>
        <w:tc>
          <w:tcPr>
            <w:tcW w:w="1245"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As of 12/31/23</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Assets</w:t>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1992"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$29.0</w:t>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$52.9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Restricted cash</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35.3 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31.8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Customer funds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51.6 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32.9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Available-for-sale securities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6.7 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17.4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Accounts receivable, net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26.8 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29.7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Prepaid insurance</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5.6 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13.0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Safeguarding asset for crypto</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938.7 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701.6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current assets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4.1 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3.3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current assets</w:t>
            </w:r>
          </w:p>
        </w:tc>
        <w:tc>
          <w:tcPr>
            <w:tcW w:w="13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pPr>
            <w:r>
              <w:rPr>
                <w:rFonts w:ascii="Calibri;sans-serif" w:hAnsi="Calibri;sans-serif"/>
                <w:b/>
                <w:color w:val="000000"/>
                <w:sz w:val="18"/>
              </w:rPr>
              <w:t>1,097.8</w:t>
            </w:r>
            <w:r>
              <w:rPr>
                <w:color w:val="000000"/>
              </w:rPr>
              <w:t> </w:t>
            </w:r>
          </w:p>
        </w:tc>
        <w:tc>
          <w:tcPr>
            <w:tcW w:w="6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882.6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Property, equipment and software, net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1.8 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0.1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68.0 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68.0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2.9 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2.9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12.3 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13.3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assets</w:t>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$1,182.7</w:t>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$966.9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Liabilities and stockholders' equity</w:t>
            </w:r>
          </w:p>
        </w:tc>
        <w:tc>
          <w:tcPr>
            <w:tcW w:w="1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1992"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$41.8</w:t>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$55.4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Customer funds payable</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51.6 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32.9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Deferred revenue, current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4.3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Due to related party</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2.7 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3.2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Safeguarding obligation for crypto</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938.7 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701.6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Unsettled crypto trades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4.2 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3.7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current liabilities</w:t>
            </w:r>
          </w:p>
        </w:tc>
        <w:tc>
          <w:tcPr>
            <w:tcW w:w="13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1,041.9 </w:t>
            </w:r>
          </w:p>
        </w:tc>
        <w:tc>
          <w:tcPr>
            <w:tcW w:w="6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802.1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Deferred revenue, noncurrent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3.2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Warrant liability</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15.8 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2.4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Other noncurrent liabilities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20.4 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23.5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liabilities</w:t>
            </w:r>
          </w:p>
        </w:tc>
        <w:tc>
          <w:tcPr>
            <w:tcW w:w="13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pPr>
            <w:r>
              <w:rPr>
                <w:rFonts w:ascii="Calibri;sans-serif" w:hAnsi="Calibri;sans-serif"/>
                <w:b/>
                <w:color w:val="000000"/>
                <w:sz w:val="18"/>
              </w:rPr>
              <w:t>1,080.7</w:t>
            </w:r>
            <w:r>
              <w:rPr>
                <w:color w:val="000000"/>
              </w:rPr>
              <w:t> </w:t>
            </w:r>
          </w:p>
        </w:tc>
        <w:tc>
          <w:tcPr>
            <w:tcW w:w="6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$831.2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Stockholders' equity</w:t>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 xml:space="preserve">Class A Common Stock ($0.0001 par value, 30,000,000 shares authorized, 6,465,776 shares </w:t>
              <w:br/>
              <w:t xml:space="preserve">issued and outstanding as of September 30, 2024 and 3,793,837 shares issued and outstanding </w:t>
              <w:br/>
              <w:t>as of December 31, 2023)</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0.0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 xml:space="preserve">Class V Common Stock ($0.0001 par value, 10,000,000 shares authorized, 7,194,941 shares </w:t>
              <w:br/>
              <w:t xml:space="preserve">issued and outstanding as of September 30, 2024 and 7,200,064 shares issued and outstanding </w:t>
              <w:br/>
              <w:t>as of December 31, 2023)</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0.0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829.5 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799.7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Accumulated deficit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(778.8)</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(751.3)</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stockholders' equity</w:t>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50.5 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48.3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Noncontrolling interest</w:t>
            </w:r>
          </w:p>
        </w:tc>
        <w:tc>
          <w:tcPr>
            <w:tcW w:w="1328"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51.5 </w:t>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 xml:space="preserve">87.4 </w:t>
            </w:r>
          </w:p>
        </w:tc>
      </w:tr>
      <w:tr>
        <w:trPr/>
        <w:tc>
          <w:tcPr>
            <w:tcW w:w="6968"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8"/>
              </w:rPr>
            </w:pPr>
            <w:r>
              <w:rPr>
                <w:rFonts w:ascii="Calibri;sans-serif" w:hAnsi="Calibri;sans-serif"/>
                <w:b/>
                <w:color w:val="000000"/>
                <w:sz w:val="18"/>
              </w:rPr>
              <w:t>Total equity</w:t>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102.0 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135.7 </w:t>
            </w:r>
          </w:p>
        </w:tc>
      </w:tr>
      <w:tr>
        <w:trPr/>
        <w:tc>
          <w:tcPr>
            <w:tcW w:w="6968"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Total liabilities and stockholders' equity</w:t>
            </w:r>
          </w:p>
        </w:tc>
        <w:tc>
          <w:tcPr>
            <w:tcW w:w="19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$1,182.7</w:t>
            </w:r>
          </w:p>
        </w:tc>
        <w:tc>
          <w:tcPr>
            <w:tcW w:w="12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 xml:space="preserve">$966.9 </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rFonts w:ascii="Calibri;sans-serif" w:hAnsi="Calibri;sans-serif"/>
          <w:b/>
          <w:color w:val="000000"/>
          <w:sz w:val="22"/>
        </w:rPr>
      </w:pPr>
      <w:r>
        <w:rPr>
          <w:rFonts w:ascii="Calibri;sans-serif" w:hAnsi="Calibri;sans-serif"/>
          <w:b/>
          <w:color w:val="000000"/>
          <w:sz w:val="22"/>
        </w:rPr>
        <w:t>Consolidated Statements of Operations (unaudited)</w:t>
      </w:r>
    </w:p>
    <w:tbl>
      <w:tblPr>
        <w:tblW w:w="6400" w:type="dxa"/>
        <w:jc w:val="left"/>
        <w:tblInd w:w="0" w:type="dxa"/>
        <w:tblLayout w:type="fixed"/>
        <w:tblCellMar>
          <w:top w:w="28" w:type="dxa"/>
          <w:left w:w="28" w:type="dxa"/>
          <w:bottom w:w="28" w:type="dxa"/>
          <w:right w:w="28" w:type="dxa"/>
        </w:tblCellMar>
      </w:tblPr>
      <w:tblGrid>
        <w:gridCol w:w="1739"/>
        <w:gridCol w:w="1535"/>
        <w:gridCol w:w="1541"/>
        <w:gridCol w:w="278"/>
        <w:gridCol w:w="278"/>
        <w:gridCol w:w="203"/>
        <w:gridCol w:w="278"/>
        <w:gridCol w:w="278"/>
        <w:gridCol w:w="270"/>
      </w:tblGrid>
      <w:tr>
        <w:trPr/>
        <w:tc>
          <w:tcPr>
            <w:tcW w:w="173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FFFFFF"/>
                <w:sz w:val="18"/>
              </w:rPr>
            </w:pPr>
            <w:r>
              <w:rPr>
                <w:rFonts w:ascii="Calibri;sans-serif" w:hAnsi="Calibri;sans-serif"/>
                <w:b/>
                <w:color w:val="FFFFFF"/>
                <w:sz w:val="18"/>
              </w:rPr>
              <w:t>$ in millions except per share data</w:t>
            </w:r>
          </w:p>
        </w:tc>
        <w:tc>
          <w:tcPr>
            <w:tcW w:w="759"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3Q24</w:t>
            </w:r>
          </w:p>
        </w:tc>
        <w:tc>
          <w:tcPr>
            <w:tcW w:w="826"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3Q23</w:t>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services</w:t>
            </w:r>
          </w:p>
        </w:tc>
        <w:tc>
          <w:tcPr>
            <w:tcW w:w="75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$316.3</w:t>
            </w:r>
          </w:p>
        </w:tc>
        <w:tc>
          <w:tcPr>
            <w:tcW w:w="826"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$191.8</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Loyalty services, net</w:t>
            </w:r>
          </w:p>
        </w:tc>
        <w:tc>
          <w:tcPr>
            <w:tcW w:w="75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12.1</w:t>
            </w:r>
          </w:p>
        </w:tc>
        <w:tc>
          <w:tcPr>
            <w:tcW w:w="826"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13.0</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328.4</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204.8</w:t>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Operating expenses: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costs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312.8 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189.4 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Execution, clearing and brokerage fees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0.7 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21.1 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24.6 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Professional services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Technology and communication</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8.5 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7.4 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Acquisition-related expenses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Related party expenses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Goodwill and intangible assets impairments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23.3 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Restructuring expenses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operating expenses</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355.8 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257.6 </w:t>
            </w:r>
          </w:p>
        </w:tc>
        <w:tc>
          <w:tcPr>
            <w:tcW w:w="2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Operating loss</w:t>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(27.4)</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(52.9)</w:t>
            </w:r>
          </w:p>
        </w:tc>
        <w:tc>
          <w:tcPr>
            <w:tcW w:w="2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Interest income, net</w:t>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2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Gain (loss) from change in fair value of warrant liability</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Loss before income taxes</w:t>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(6.4)</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(51.5)</w:t>
            </w:r>
          </w:p>
        </w:tc>
        <w:tc>
          <w:tcPr>
            <w:tcW w:w="2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Income tax expense</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Net loss</w:t>
            </w:r>
          </w:p>
        </w:tc>
        <w:tc>
          <w:tcPr>
            <w:tcW w:w="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(6.3)</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(51.7)</w:t>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Less: Net loss attributable to noncontrolling interest</w:t>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(34.4)</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Net loss attributable to Bakkt Holdings, Inc.</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($2.89)</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($17.33)</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Net loss per share attributable to Class A Common Stockholders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Basic</w:t>
            </w:r>
          </w:p>
        </w:tc>
        <w:tc>
          <w:tcPr>
            <w:tcW w:w="75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($0.45)</w:t>
            </w:r>
          </w:p>
        </w:tc>
        <w:tc>
          <w:tcPr>
            <w:tcW w:w="826"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($4.74)</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Diluted</w:t>
            </w:r>
          </w:p>
        </w:tc>
        <w:tc>
          <w:tcPr>
            <w:tcW w:w="75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($0.45)</w:t>
            </w:r>
          </w:p>
        </w:tc>
        <w:tc>
          <w:tcPr>
            <w:tcW w:w="826"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($4.74)</w:t>
            </w:r>
          </w:p>
        </w:tc>
      </w:tr>
      <w:tr>
        <w:trPr/>
        <w:tc>
          <w:tcPr>
            <w:tcW w:w="4815"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4" w:before="0" w:after="160"/>
        <w:jc w:val="center"/>
        <w:rPr>
          <w:rFonts w:ascii="Calibri;sans-serif" w:hAnsi="Calibri;sans-serif"/>
          <w:b/>
          <w:color w:val="000000"/>
          <w:sz w:val="22"/>
        </w:rPr>
      </w:pPr>
      <w:r>
        <w:rPr>
          <w:rFonts w:ascii="Calibri;sans-serif" w:hAnsi="Calibri;sans-serif"/>
          <w:b/>
          <w:color w:val="000000"/>
          <w:sz w:val="22"/>
        </w:rPr>
        <w:t>Consolidated Statements of Cash Flows (unaudited)</w:t>
      </w:r>
    </w:p>
    <w:tbl>
      <w:tblPr>
        <w:tblW w:w="10124" w:type="dxa"/>
        <w:jc w:val="left"/>
        <w:tblInd w:w="0" w:type="dxa"/>
        <w:tblLayout w:type="fixed"/>
        <w:tblCellMar>
          <w:top w:w="28" w:type="dxa"/>
          <w:left w:w="28" w:type="dxa"/>
          <w:bottom w:w="28" w:type="dxa"/>
          <w:right w:w="28" w:type="dxa"/>
        </w:tblCellMar>
      </w:tblPr>
      <w:tblGrid>
        <w:gridCol w:w="3126"/>
        <w:gridCol w:w="2759"/>
        <w:gridCol w:w="2769"/>
        <w:gridCol w:w="269"/>
        <w:gridCol w:w="271"/>
        <w:gridCol w:w="181"/>
        <w:gridCol w:w="242"/>
        <w:gridCol w:w="224"/>
        <w:gridCol w:w="283"/>
      </w:tblGrid>
      <w:tr>
        <w:trPr/>
        <w:tc>
          <w:tcPr>
            <w:tcW w:w="312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8654" w:type="dxa"/>
            <w:gridSpan w:val="3"/>
            <w:tcBorders>
              <w:top w:val="single" w:sz="6" w:space="0" w:color="000000"/>
              <w:left w:val="single" w:sz="6" w:space="0" w:color="000000"/>
            </w:tcBorders>
            <w:shd w:fill="000000" w:val="clear"/>
            <w:tcMar>
              <w:top w:w="30" w:type="dxa"/>
              <w:left w:w="75" w:type="dxa"/>
              <w:bottom w:w="0" w:type="dxa"/>
              <w:right w:w="0" w:type="dxa"/>
            </w:tcMar>
            <w:vAlign w:val="center"/>
          </w:tcPr>
          <w:p>
            <w:pPr>
              <w:pStyle w:val="TableContents"/>
              <w:bidi w:val="0"/>
              <w:spacing w:lineRule="auto" w:line="321" w:before="0" w:after="283"/>
              <w:jc w:val="left"/>
              <w:rPr>
                <w:rFonts w:ascii="Calibri;sans-serif" w:hAnsi="Calibri;sans-serif"/>
                <w:b/>
                <w:color w:val="FFFFFF"/>
                <w:sz w:val="18"/>
              </w:rPr>
            </w:pPr>
            <w:r>
              <w:rPr>
                <w:rFonts w:ascii="Calibri;sans-serif" w:hAnsi="Calibri;sans-serif"/>
                <w:b/>
                <w:color w:val="FFFFFF"/>
                <w:sz w:val="18"/>
              </w:rPr>
              <w:t>$ in millions</w:t>
            </w:r>
          </w:p>
        </w:tc>
        <w:tc>
          <w:tcPr>
            <w:tcW w:w="721" w:type="dxa"/>
            <w:gridSpan w:val="3"/>
            <w:tcBorders>
              <w:top w:val="single" w:sz="6" w:space="0" w:color="000000"/>
              <w:left w:val="single" w:sz="6" w:space="0" w:color="000000"/>
            </w:tcBorders>
            <w:shd w:fill="000000" w:val="clear"/>
            <w:tcMar>
              <w:top w:w="3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3Q24</w:t>
            </w:r>
          </w:p>
        </w:tc>
        <w:tc>
          <w:tcPr>
            <w:tcW w:w="749" w:type="dxa"/>
            <w:gridSpan w:val="3"/>
            <w:tcBorders>
              <w:top w:val="single" w:sz="6" w:space="0" w:color="000000"/>
              <w:left w:val="single" w:sz="6" w:space="0" w:color="000000"/>
            </w:tcBorders>
            <w:shd w:fill="000000" w:val="clear"/>
            <w:tcMar>
              <w:top w:w="3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3Q23</w:t>
            </w:r>
          </w:p>
        </w:tc>
      </w:tr>
      <w:tr>
        <w:trPr/>
        <w:tc>
          <w:tcPr>
            <w:tcW w:w="86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7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7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($6.3)</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($51.7)</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18"/>
              </w:rPr>
              <w:t>Adjustments to reconcile net loss to net cash provided by (used in) operating activities:</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Non-cash lease expense</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Unit-based compensation expense</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Forfeiture and cancellation of common units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Goodwill and intangible assets impairments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23.3 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Loss on disposal of assets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(Gain) loss from change in fair value of warrant liability</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Changes in operating assets and liabilities:</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(2.4)</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(0.7)</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Prepaid insurance</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3.9</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15.2</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Unsettled crypto trades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(3.1)</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Due to related party</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(0.5)</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Deferred revenue</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0.8</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(0.5)</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Customer funds payable</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(0.8)</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Other assets and liabilities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(1.8)</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27.7</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operating activities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0.6</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(25.1)</w:t>
            </w:r>
          </w:p>
        </w:tc>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(24.6)</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Capitalized internal-use software development costs and other capital expenditures</w:t>
            </w:r>
          </w:p>
        </w:tc>
        <w:tc>
          <w:tcPr>
            <w:tcW w:w="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Purchase of available-for-sale securities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(0.5)</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(1.9)</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Proceeds from the settlement of available-for-sale securities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(8.0)</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(17.6)</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Acquisition of Bumped Financial, LLC</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14.4</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10.0</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18"/>
              </w:rPr>
              <w:t>Acquisition of Apex Crypto LLC, net of cash acquired</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investing activities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5.9</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(9.4)</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Proceeds from Concurrent Offerings, net of issuance costs</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Proceeds from the exercise of warrants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Class A Common Stock</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financing activities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Effect of exchange rate changes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Net increase (decrease) in cash, cash equivalents, restricted cash, cash held in escrow, customer funds and deposits</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(19.0)</w:t>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14.8 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customer funds and deposits at the beginning of the period</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$136.5</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$109.9</w:t>
            </w:r>
          </w:p>
        </w:tc>
      </w:tr>
      <w:tr>
        <w:trPr/>
        <w:tc>
          <w:tcPr>
            <w:tcW w:w="865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customer funds and deposits at the end of the period</w:t>
            </w:r>
          </w:p>
        </w:tc>
        <w:tc>
          <w:tcPr>
            <w:tcW w:w="7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$117.5</w:t>
            </w:r>
          </w:p>
        </w:tc>
        <w:tc>
          <w:tcPr>
            <w:tcW w:w="74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$124.7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Reconciliation of Non-GAAP Financial Measures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shd w:fill="FFFFFF" w:val="clear"/>
        </w:rPr>
      </w:pPr>
      <w:r>
        <w:rPr>
          <w:rFonts w:ascii="Calibri;sans-serif" w:hAnsi="Calibri;sans-serif"/>
          <w:b/>
          <w:color w:val="000000"/>
          <w:sz w:val="22"/>
          <w:shd w:fill="FFFFFF" w:val="clear"/>
        </w:rPr>
        <w:t>Non-GAAP Financial Measures – Adjusted EBITDA</w:t>
      </w:r>
    </w:p>
    <w:p>
      <w:pPr>
        <w:pStyle w:val="TextBody"/>
        <w:bidi w:val="0"/>
        <w:spacing w:lineRule="auto" w:line="288" w:before="0" w:after="0"/>
        <w:jc w:val="left"/>
        <w:rPr>
          <w:rFonts w:ascii="Calibri;sans-serif" w:hAnsi="Calibri;sans-serif"/>
          <w:b w:val="false"/>
          <w:color w:val="000000"/>
          <w:sz w:val="22"/>
          <w:shd w:fill="FFFFFF" w:val="clear"/>
        </w:rPr>
      </w:pPr>
      <w:r>
        <w:rPr>
          <w:rFonts w:ascii="Calibri;sans-serif" w:hAnsi="Calibri;sans-serif"/>
          <w:b w:val="false"/>
          <w:color w:val="000000"/>
          <w:sz w:val="22"/>
          <w:shd w:fill="FFFFFF" w:val="clear"/>
        </w:rPr>
        <w:t>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shd w:fill="FFFFFF" w:val="clear"/>
        </w:rPr>
      </w:pPr>
      <w:r>
        <w:rPr>
          <w:rFonts w:ascii="Calibri;sans-serif" w:hAnsi="Calibri;sans-serif"/>
          <w:b w:val="false"/>
          <w:color w:val="000000"/>
          <w:sz w:val="22"/>
          <w:shd w:fill="FFFFFF" w:val="clear"/>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shd w:fill="FFFFFF" w:val="clear"/>
        </w:rPr>
      </w:pPr>
      <w:r>
        <w:rPr>
          <w:rFonts w:ascii="Calibri;sans-serif" w:hAnsi="Calibri;sans-serif"/>
          <w:b w:val="false"/>
          <w:color w:val="000000"/>
          <w:sz w:val="22"/>
          <w:shd w:fill="FFFFFF" w:val="clear"/>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pStyle w:val="TextBody"/>
        <w:bidi w:val="0"/>
        <w:spacing w:before="0" w:after="0"/>
        <w:jc w:val="left"/>
        <w:rPr/>
      </w:pPr>
      <w:r>
        <w:rPr/>
      </w:r>
    </w:p>
    <w:tbl>
      <w:tblPr>
        <w:tblW w:w="6012" w:type="dxa"/>
        <w:jc w:val="left"/>
        <w:tblInd w:w="0" w:type="dxa"/>
        <w:tblLayout w:type="fixed"/>
        <w:tblCellMar>
          <w:top w:w="28" w:type="dxa"/>
          <w:left w:w="28" w:type="dxa"/>
          <w:bottom w:w="28" w:type="dxa"/>
          <w:right w:w="28" w:type="dxa"/>
        </w:tblCellMar>
      </w:tblPr>
      <w:tblGrid>
        <w:gridCol w:w="1522"/>
        <w:gridCol w:w="1341"/>
        <w:gridCol w:w="1352"/>
        <w:gridCol w:w="278"/>
        <w:gridCol w:w="262"/>
        <w:gridCol w:w="181"/>
        <w:gridCol w:w="109"/>
        <w:gridCol w:w="109"/>
        <w:gridCol w:w="109"/>
        <w:gridCol w:w="233"/>
        <w:gridCol w:w="233"/>
        <w:gridCol w:w="283"/>
      </w:tblGrid>
      <w:tr>
        <w:trPr/>
        <w:tc>
          <w:tcPr>
            <w:tcW w:w="15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4" w:space="0" w:color="000000"/>
              <w:left w:val="single" w:sz="4" w:space="0" w:color="000000"/>
            </w:tcBorders>
            <w:shd w:fill="000000" w:val="clear"/>
            <w:tcMar>
              <w:top w:w="30" w:type="dxa"/>
              <w:left w:w="75" w:type="dxa"/>
              <w:bottom w:w="0" w:type="dxa"/>
              <w:right w:w="0" w:type="dxa"/>
            </w:tcMar>
            <w:vAlign w:val="center"/>
          </w:tcPr>
          <w:p>
            <w:pPr>
              <w:pStyle w:val="TableContents"/>
              <w:bidi w:val="0"/>
              <w:spacing w:lineRule="auto" w:line="321" w:before="0" w:after="283"/>
              <w:jc w:val="left"/>
              <w:rPr>
                <w:rFonts w:ascii="Calibri;sans-serif" w:hAnsi="Calibri;sans-serif"/>
                <w:b/>
                <w:i/>
                <w:color w:val="FFFFFF"/>
                <w:sz w:val="18"/>
              </w:rPr>
            </w:pPr>
            <w:r>
              <w:rPr>
                <w:rFonts w:ascii="Calibri;sans-serif" w:hAnsi="Calibri;sans-serif"/>
                <w:b/>
                <w:i/>
                <w:color w:val="FFFFFF"/>
                <w:sz w:val="18"/>
              </w:rPr>
              <w:t>$mm's</w:t>
            </w:r>
          </w:p>
        </w:tc>
        <w:tc>
          <w:tcPr>
            <w:tcW w:w="721"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3Q24</w:t>
            </w:r>
          </w:p>
        </w:tc>
        <w:tc>
          <w:tcPr>
            <w:tcW w:w="327"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21" w:before="0" w:after="283"/>
              <w:jc w:val="right"/>
              <w:rPr>
                <w:color w:val="FFFFFF"/>
              </w:rPr>
            </w:pPr>
            <w:r>
              <w:rPr>
                <w:color w:val="FFFFFF"/>
              </w:rPr>
              <w:t> </w:t>
            </w:r>
          </w:p>
        </w:tc>
        <w:tc>
          <w:tcPr>
            <w:tcW w:w="749" w:type="dxa"/>
            <w:gridSpan w:val="3"/>
            <w:tcBorders>
              <w:top w:val="single" w:sz="4" w:space="0" w:color="000000"/>
              <w:left w:val="single" w:sz="4" w:space="0" w:color="000000"/>
              <w:right w:val="single" w:sz="4" w:space="0" w:color="000000"/>
            </w:tcBorders>
            <w:shd w:fill="000000" w:val="clear"/>
            <w:tcMar>
              <w:top w:w="30" w:type="dxa"/>
              <w:bottom w:w="0" w:type="dxa"/>
              <w:right w:w="75" w:type="dxa"/>
            </w:tcMar>
            <w:vAlign w:val="center"/>
          </w:tcPr>
          <w:p>
            <w:pPr>
              <w:pStyle w:val="TableContents"/>
              <w:bidi w:val="0"/>
              <w:spacing w:lineRule="auto" w:line="321" w:before="0" w:after="283"/>
              <w:jc w:val="right"/>
              <w:rPr>
                <w:rFonts w:ascii="Calibri;sans-serif" w:hAnsi="Calibri;sans-serif"/>
                <w:b/>
                <w:color w:val="FFFFFF"/>
                <w:sz w:val="18"/>
              </w:rPr>
            </w:pPr>
            <w:r>
              <w:rPr>
                <w:rFonts w:ascii="Calibri;sans-serif" w:hAnsi="Calibri;sans-serif"/>
                <w:b/>
                <w:color w:val="FFFFFF"/>
                <w:sz w:val="18"/>
              </w:rPr>
              <w:t>3Q23</w:t>
            </w:r>
          </w:p>
        </w:tc>
      </w:tr>
      <w:tr>
        <w:trPr/>
        <w:tc>
          <w:tcPr>
            <w:tcW w:w="42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Net loss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$(6.3)</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$(51.7)</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4.0 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Interest income, net</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Income tax expense</w:t>
            </w:r>
          </w:p>
        </w:tc>
        <w:tc>
          <w:tcPr>
            <w:tcW w:w="721" w:type="dxa"/>
            <w:gridSpan w:val="3"/>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EBITDA</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$(48.7)</w:t>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Acquisition-related expenses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Share-based and unit-based compensation expense</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3.3 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Loss (gain) from change in fair value of warrant liability</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(20.0)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Goodwill and intangible assets impairments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23.3 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Restructuring expenses</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0.4 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Transition services expense</w:t>
            </w:r>
          </w:p>
        </w:tc>
        <w:tc>
          <w:tcPr>
            <w:tcW w:w="5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Adjusted EBITDA loss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Calibri;sans-serif" w:hAnsi="Calibri;sans-serif"/>
                <w:b/>
                <w:color w:val="000000"/>
                <w:sz w:val="18"/>
              </w:rPr>
            </w:pPr>
            <w:r>
              <w:rPr>
                <w:rFonts w:ascii="Calibri;sans-serif" w:hAnsi="Calibri;sans-serif"/>
                <w:b/>
                <w:color w:val="000000"/>
                <w:sz w:val="18"/>
              </w:rPr>
              <w:t>($21.6)</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Free Cash Flow is a non-GAAP financial measure. Free Cash Flow is cash flow from operations adjusted for “capitalized internal use software development costs and other capital expenditures” and “interest income.” We adjust for capitalized expenses associated with internally developed software for our technology platforms given they are a large component of our ongoing expense base given our position as a technology platform company.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 provide Free Cash Flow because we believe that Free Cash Flow, when viewed with our results under GAAP, provides useful information for the reasons noted above. However, Free Cash Flow is not a measure of liquidity under GAAP and, accordingly, should not be considered as an alternative to net cash used in operating activities as an indicator of liquidity.</w:t>
      </w:r>
    </w:p>
    <w:p>
      <w:pPr>
        <w:pStyle w:val="TextBody"/>
        <w:bidi w:val="0"/>
        <w:spacing w:before="0" w:after="0"/>
        <w:jc w:val="left"/>
        <w:rPr/>
      </w:pPr>
      <w:r>
        <w:rPr/>
      </w:r>
    </w:p>
    <w:tbl>
      <w:tblPr>
        <w:tblW w:w="4109" w:type="dxa"/>
        <w:jc w:val="left"/>
        <w:tblInd w:w="0" w:type="dxa"/>
        <w:tblLayout w:type="fixed"/>
        <w:tblCellMar>
          <w:top w:w="28" w:type="dxa"/>
          <w:left w:w="28" w:type="dxa"/>
          <w:bottom w:w="28" w:type="dxa"/>
          <w:right w:w="28" w:type="dxa"/>
        </w:tblCellMar>
      </w:tblPr>
      <w:tblGrid>
        <w:gridCol w:w="1012"/>
        <w:gridCol w:w="890"/>
        <w:gridCol w:w="903"/>
        <w:gridCol w:w="208"/>
        <w:gridCol w:w="208"/>
        <w:gridCol w:w="213"/>
        <w:gridCol w:w="196"/>
        <w:gridCol w:w="196"/>
        <w:gridCol w:w="283"/>
      </w:tblGrid>
      <w:tr>
        <w:trPr/>
        <w:tc>
          <w:tcPr>
            <w:tcW w:w="101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05" w:type="dxa"/>
            <w:gridSpan w:val="3"/>
            <w:vMerge w:val="restart"/>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i/>
                <w:color w:val="FFFFFF"/>
                <w:sz w:val="18"/>
              </w:rPr>
            </w:pPr>
            <w:r>
              <w:rPr>
                <w:rFonts w:ascii="Calibri;sans-serif" w:hAnsi="Calibri;sans-serif"/>
                <w:b w:val="false"/>
                <w:i/>
                <w:color w:val="FFFFFF"/>
                <w:sz w:val="18"/>
              </w:rPr>
              <w:t>$mm's</w:t>
            </w:r>
          </w:p>
        </w:tc>
        <w:tc>
          <w:tcPr>
            <w:tcW w:w="1304" w:type="dxa"/>
            <w:gridSpan w:val="6"/>
            <w:tcBorders/>
            <w:shd w:fill="000000" w:val="clear"/>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FFFFFF"/>
                <w:sz w:val="18"/>
              </w:rPr>
            </w:pPr>
            <w:r>
              <w:rPr>
                <w:rFonts w:ascii="Calibri;sans-serif" w:hAnsi="Calibri;sans-serif"/>
                <w:b w:val="false"/>
                <w:color w:val="FFFFFF"/>
                <w:sz w:val="18"/>
              </w:rPr>
              <w:t>FY2024</w:t>
            </w:r>
          </w:p>
        </w:tc>
      </w:tr>
      <w:tr>
        <w:trPr/>
        <w:tc>
          <w:tcPr>
            <w:tcW w:w="2805"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29"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FFFFFF"/>
                <w:sz w:val="18"/>
              </w:rPr>
            </w:pPr>
            <w:r>
              <w:rPr>
                <w:rFonts w:ascii="Calibri;sans-serif" w:hAnsi="Calibri;sans-serif"/>
                <w:b w:val="false"/>
                <w:color w:val="FFFFFF"/>
                <w:sz w:val="18"/>
              </w:rPr>
              <w:t>Low</w:t>
            </w:r>
          </w:p>
        </w:tc>
        <w:tc>
          <w:tcPr>
            <w:tcW w:w="675"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FFFFFF"/>
                <w:sz w:val="18"/>
              </w:rPr>
            </w:pPr>
            <w:r>
              <w:rPr>
                <w:rFonts w:ascii="Calibri;sans-serif" w:hAnsi="Calibri;sans-serif"/>
                <w:b w:val="false"/>
                <w:color w:val="FFFFFF"/>
                <w:sz w:val="18"/>
              </w:rPr>
              <w:t>High</w:t>
            </w:r>
          </w:p>
        </w:tc>
      </w:tr>
      <w:tr>
        <w:trPr/>
        <w:tc>
          <w:tcPr>
            <w:tcW w:w="280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Net cash used in operating activities</w:t>
            </w:r>
          </w:p>
        </w:tc>
        <w:tc>
          <w:tcPr>
            <w:tcW w:w="62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000000"/>
                <w:sz w:val="18"/>
              </w:rPr>
            </w:pPr>
            <w:r>
              <w:rPr>
                <w:rFonts w:ascii="Calibri;sans-serif" w:hAnsi="Calibri;sans-serif"/>
                <w:b/>
                <w:color w:val="000000"/>
                <w:sz w:val="18"/>
              </w:rPr>
              <w:t>($84.0)</w:t>
            </w:r>
          </w:p>
        </w:tc>
        <w:tc>
          <w:tcPr>
            <w:tcW w:w="675"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000000"/>
                <w:sz w:val="18"/>
              </w:rPr>
            </w:pPr>
            <w:r>
              <w:rPr>
                <w:rFonts w:ascii="Calibri;sans-serif" w:hAnsi="Calibri;sans-serif"/>
                <w:b/>
                <w:color w:val="000000"/>
                <w:sz w:val="18"/>
              </w:rPr>
              <w:t>($89.0)</w:t>
            </w:r>
          </w:p>
        </w:tc>
      </w:tr>
      <w:tr>
        <w:trPr/>
        <w:tc>
          <w:tcPr>
            <w:tcW w:w="280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Capex</w:t>
            </w:r>
          </w:p>
        </w:tc>
        <w:tc>
          <w:tcPr>
            <w:tcW w:w="62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18"/>
              </w:rPr>
            </w:pPr>
            <w:r>
              <w:rPr>
                <w:rFonts w:ascii="Calibri;sans-serif" w:hAnsi="Calibri;sans-serif"/>
                <w:b w:val="false"/>
                <w:color w:val="000000"/>
                <w:sz w:val="18"/>
              </w:rPr>
              <w:t>(3.1)</w:t>
            </w:r>
          </w:p>
        </w:tc>
        <w:tc>
          <w:tcPr>
            <w:tcW w:w="675"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18"/>
              </w:rPr>
            </w:pPr>
            <w:r>
              <w:rPr>
                <w:rFonts w:ascii="Calibri;sans-serif" w:hAnsi="Calibri;sans-serif"/>
                <w:b w:val="false"/>
                <w:color w:val="000000"/>
                <w:sz w:val="18"/>
              </w:rPr>
              <w:t>(3.3)</w:t>
            </w:r>
          </w:p>
        </w:tc>
      </w:tr>
      <w:tr>
        <w:trPr/>
        <w:tc>
          <w:tcPr>
            <w:tcW w:w="280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val="false"/>
                <w:color w:val="000000"/>
                <w:sz w:val="18"/>
              </w:rPr>
            </w:pPr>
            <w:r>
              <w:rPr>
                <w:rFonts w:ascii="Calibri;sans-serif" w:hAnsi="Calibri;sans-serif"/>
                <w:b w:val="false"/>
                <w:color w:val="000000"/>
                <w:sz w:val="18"/>
              </w:rPr>
              <w:t>Interest income, net</w:t>
            </w:r>
          </w:p>
        </w:tc>
        <w:tc>
          <w:tcPr>
            <w:tcW w:w="62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18"/>
              </w:rPr>
            </w:pPr>
            <w:r>
              <w:rPr>
                <w:rFonts w:ascii="Calibri;sans-serif" w:hAnsi="Calibri;sans-serif"/>
                <w:b w:val="false"/>
                <w:color w:val="000000"/>
                <w:sz w:val="18"/>
              </w:rPr>
              <w:t>(3.8)</w:t>
            </w:r>
          </w:p>
        </w:tc>
        <w:tc>
          <w:tcPr>
            <w:tcW w:w="675"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val="false"/>
                <w:color w:val="000000"/>
                <w:sz w:val="18"/>
              </w:rPr>
            </w:pPr>
            <w:r>
              <w:rPr>
                <w:rFonts w:ascii="Calibri;sans-serif" w:hAnsi="Calibri;sans-serif"/>
                <w:b w:val="false"/>
                <w:color w:val="000000"/>
                <w:sz w:val="18"/>
              </w:rPr>
              <w:t>(4.0)</w:t>
            </w:r>
          </w:p>
        </w:tc>
      </w:tr>
      <w:tr>
        <w:trPr/>
        <w:tc>
          <w:tcPr>
            <w:tcW w:w="280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Calibri;sans-serif" w:hAnsi="Calibri;sans-serif"/>
                <w:b/>
                <w:color w:val="000000"/>
                <w:sz w:val="18"/>
              </w:rPr>
            </w:pPr>
            <w:r>
              <w:rPr>
                <w:rFonts w:ascii="Calibri;sans-serif" w:hAnsi="Calibri;sans-serif"/>
                <w:b/>
                <w:color w:val="000000"/>
                <w:sz w:val="18"/>
              </w:rPr>
              <w:t>Free Cash Flow</w:t>
            </w:r>
          </w:p>
        </w:tc>
        <w:tc>
          <w:tcPr>
            <w:tcW w:w="629"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000000"/>
                <w:sz w:val="18"/>
              </w:rPr>
            </w:pPr>
            <w:r>
              <w:rPr>
                <w:rFonts w:ascii="Calibri;sans-serif" w:hAnsi="Calibri;sans-serif"/>
                <w:b/>
                <w:color w:val="000000"/>
                <w:sz w:val="18"/>
              </w:rPr>
              <w:t>($90.9)</w:t>
            </w:r>
          </w:p>
        </w:tc>
        <w:tc>
          <w:tcPr>
            <w:tcW w:w="675"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Calibri;sans-serif" w:hAnsi="Calibri;sans-serif"/>
                <w:b/>
                <w:color w:val="000000"/>
                <w:sz w:val="18"/>
              </w:rPr>
            </w:pPr>
            <w:r>
              <w:rPr>
                <w:rFonts w:ascii="Calibri;sans-serif" w:hAnsi="Calibri;sans-serif"/>
                <w:b/>
                <w:color w:val="000000"/>
                <w:sz w:val="18"/>
              </w:rPr>
              <w:t>($96.3)</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3637</Words>
  <Characters>21302</Characters>
  <CharactersWithSpaces>24605</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