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November 10,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Holdings,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41-2324812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721" w:type="dxa"/>
        <w:jc w:val="center"/>
        <w:tblInd w:w="0" w:type="dxa"/>
        <w:tblLayout w:type="fixed"/>
        <w:tblCellMar>
          <w:top w:w="28" w:type="dxa"/>
          <w:left w:w="28" w:type="dxa"/>
          <w:bottom w:w="28" w:type="dxa"/>
          <w:right w:w="28" w:type="dxa"/>
        </w:tblCellMar>
      </w:tblPr>
      <w:tblGrid>
        <w:gridCol w:w="1253"/>
        <w:gridCol w:w="1104"/>
        <w:gridCol w:w="1108"/>
        <w:gridCol w:w="109"/>
        <w:gridCol w:w="109"/>
        <w:gridCol w:w="109"/>
        <w:gridCol w:w="272"/>
        <w:gridCol w:w="272"/>
        <w:gridCol w:w="385"/>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One Liberty Plaza</w:t>
              <w:br/>
              <w:t>1 Liberty Street, Floor 3, Suite 305-306,</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10006</w:t>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(678) 534-5849</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10, 2025, Bakkt Holdings, Inc. (the “Company”) issued a press release regarding the Company’s results for the quarter ended September 30, 2025. A copy of the press release is attached hereto as Exhibit 99.1 and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ind w:left="0" w:right="0" w:firstLine="72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2025-1110xbkktxq325earnin.htm">
              <w:r>
                <w:rPr>
                  <w:rStyle w:val="InternetLink"/>
                  <w:rFonts w:ascii="Times New Roman;serif" w:hAnsi="Times New Roman;serif"/>
                  <w:b w:val="false"/>
                  <w:color w:val="000000"/>
                  <w:sz w:val="20"/>
                  <w:u w:val="single"/>
                </w:rPr>
                <w:t>99.1</w:t>
              </w:r>
            </w:hyperlink>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a2025-1110xbkktxq325earnin.htm">
              <w:r>
                <w:rPr>
                  <w:rStyle w:val="InternetLink"/>
                  <w:rFonts w:ascii="Times New Roman;serif" w:hAnsi="Times New Roman;serif"/>
                  <w:b w:val="false"/>
                  <w:color w:val="000080"/>
                  <w:sz w:val="20"/>
                  <w:u w:val="single"/>
                </w:rPr>
                <w:t xml:space="preserve">Press release issued by Bakkt Holdings, Inc. on </w:t>
              </w:r>
            </w:hyperlink>
            <w:hyperlink w:anchor="a2025-1110xbkktxq325earnin.htm">
              <w:r>
                <w:rPr>
                  <w:rStyle w:val="InternetLink"/>
                  <w:rFonts w:ascii="Times New Roman;serif" w:hAnsi="Times New Roman;serif"/>
                  <w:b w:val="false"/>
                  <w:color w:val="000080"/>
                  <w:sz w:val="20"/>
                  <w:u w:val="single"/>
                </w:rPr>
                <w:t>November 10, 2025</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Dated: November 10, 2025</w:t>
      </w:r>
    </w:p>
    <w:tbl>
      <w:tblPr>
        <w:tblW w:w="4104" w:type="dxa"/>
        <w:jc w:val="left"/>
        <w:tblInd w:w="0" w:type="dxa"/>
        <w:tblLayout w:type="fixed"/>
        <w:tblCellMar>
          <w:top w:w="28" w:type="dxa"/>
          <w:left w:w="28" w:type="dxa"/>
          <w:bottom w:w="28" w:type="dxa"/>
          <w:right w:w="28" w:type="dxa"/>
        </w:tblCellMar>
      </w:tblPr>
      <w:tblGrid>
        <w:gridCol w:w="124"/>
        <w:gridCol w:w="109"/>
        <w:gridCol w:w="109"/>
        <w:gridCol w:w="374"/>
        <w:gridCol w:w="374"/>
        <w:gridCol w:w="374"/>
        <w:gridCol w:w="766"/>
        <w:gridCol w:w="766"/>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247775" cy="457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247775" cy="4572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Bakkt Reports Third Quarter 2025 Results</w:t>
      </w:r>
    </w:p>
    <w:p>
      <w:pPr>
        <w:pStyle w:val="TextBody"/>
        <w:bidi w:val="0"/>
        <w:spacing w:before="0" w:after="0"/>
        <w:jc w:val="left"/>
        <w:rPr/>
      </w:pPr>
      <w:r>
        <w:rPr/>
      </w:r>
    </w:p>
    <w:p>
      <w:pPr>
        <w:pStyle w:val="TextBody"/>
        <w:bidi w:val="0"/>
        <w:spacing w:lineRule="auto" w:line="288" w:before="0" w:after="0"/>
        <w:ind w:left="0" w:right="0" w:hanging="360"/>
        <w:jc w:val="center"/>
        <w:rPr/>
      </w:pPr>
      <w:r>
        <w:rPr>
          <w:rFonts w:ascii="sans-serif" w:hAnsi="sans-serif"/>
          <w:b w:val="false"/>
          <w:color w:val="000000"/>
          <w:sz w:val="24"/>
        </w:rPr>
        <w:t>-</w:t>
      </w:r>
      <w:r>
        <w:rPr>
          <w:rFonts w:ascii="sans-serif" w:hAnsi="sans-serif"/>
          <w:b w:val="false"/>
          <w:i/>
          <w:color w:val="000000"/>
          <w:sz w:val="22"/>
        </w:rPr>
        <w:t>GAAP revenue</w:t>
      </w:r>
      <w:r>
        <w:rPr>
          <w:rFonts w:ascii="sans-serif" w:hAnsi="sans-serif"/>
          <w:b w:val="false"/>
          <w:i/>
          <w:color w:val="000000"/>
          <w:sz w:val="14"/>
        </w:rPr>
        <w:t>1</w:t>
      </w:r>
      <w:r>
        <w:rPr>
          <w:color w:val="000000"/>
        </w:rPr>
        <w:t xml:space="preserve"> </w:t>
      </w:r>
      <w:r>
        <w:rPr>
          <w:rFonts w:ascii="sans-serif" w:hAnsi="sans-serif"/>
          <w:b w:val="false"/>
          <w:i/>
          <w:color w:val="000000"/>
          <w:sz w:val="22"/>
        </w:rPr>
        <w:t>of $402.2 million, up 27% year-over-year</w:t>
      </w:r>
    </w:p>
    <w:p>
      <w:pPr>
        <w:pStyle w:val="TextBody"/>
        <w:bidi w:val="0"/>
        <w:spacing w:lineRule="auto" w:line="288" w:before="0" w:after="0"/>
        <w:ind w:left="0" w:right="0" w:hanging="360"/>
        <w:jc w:val="center"/>
        <w:rPr/>
      </w:pPr>
      <w:r>
        <w:rPr>
          <w:rFonts w:ascii="sans-serif" w:hAnsi="sans-serif"/>
          <w:b w:val="false"/>
          <w:color w:val="000000"/>
          <w:sz w:val="24"/>
        </w:rPr>
        <w:t>-</w:t>
      </w:r>
      <w:r>
        <w:rPr>
          <w:rFonts w:ascii="sans-serif" w:hAnsi="sans-serif"/>
          <w:b w:val="false"/>
          <w:i/>
          <w:color w:val="000000"/>
          <w:sz w:val="22"/>
        </w:rPr>
        <w:t>GAAP net loss of $23.2 million, primarily due to 2024 registered direct offering warrant liability mark-to-market</w:t>
      </w:r>
    </w:p>
    <w:p>
      <w:pPr>
        <w:pStyle w:val="TextBody"/>
        <w:bidi w:val="0"/>
        <w:spacing w:lineRule="auto" w:line="288" w:before="0" w:after="0"/>
        <w:ind w:left="0" w:right="0" w:hanging="360"/>
        <w:jc w:val="center"/>
        <w:rPr/>
      </w:pPr>
      <w:r>
        <w:rPr>
          <w:rFonts w:ascii="sans-serif" w:hAnsi="sans-serif"/>
          <w:b w:val="false"/>
          <w:color w:val="000000"/>
          <w:sz w:val="24"/>
        </w:rPr>
        <w:t>-</w:t>
      </w:r>
      <w:r>
        <w:rPr>
          <w:rFonts w:ascii="sans-serif" w:hAnsi="sans-serif"/>
          <w:b w:val="false"/>
          <w:i/>
          <w:color w:val="000000"/>
          <w:sz w:val="22"/>
        </w:rPr>
        <w:t>Adjusted EBITDA of $28.7 million, up 241% year-over-year</w:t>
      </w:r>
    </w:p>
    <w:p>
      <w:pPr>
        <w:pStyle w:val="TextBody"/>
        <w:bidi w:val="0"/>
        <w:spacing w:lineRule="auto" w:line="288" w:before="0" w:after="0"/>
        <w:ind w:left="0" w:right="0" w:hanging="360"/>
        <w:jc w:val="center"/>
        <w:rPr/>
      </w:pPr>
      <w:r>
        <w:rPr>
          <w:rFonts w:ascii="sans-serif" w:hAnsi="sans-serif"/>
          <w:b w:val="false"/>
          <w:color w:val="000000"/>
          <w:sz w:val="24"/>
        </w:rPr>
        <w:t>-</w:t>
      </w:r>
      <w:r>
        <w:rPr>
          <w:rFonts w:ascii="sans-serif" w:hAnsi="sans-serif"/>
          <w:b w:val="false"/>
          <w:i/>
          <w:color w:val="000000"/>
          <w:sz w:val="22"/>
        </w:rPr>
        <w:t>Ended the quarter with $64.4 million in cash and restricted cash with no long-term debt</w:t>
      </w:r>
    </w:p>
    <w:p>
      <w:pPr>
        <w:pStyle w:val="TextBody"/>
        <w:bidi w:val="0"/>
        <w:spacing w:lineRule="auto" w:line="288" w:before="0" w:after="0"/>
        <w:ind w:left="0" w:right="0" w:hanging="360"/>
        <w:jc w:val="center"/>
        <w:rPr/>
      </w:pPr>
      <w:r>
        <w:rPr>
          <w:rFonts w:ascii="sans-serif" w:hAnsi="sans-serif"/>
          <w:b w:val="false"/>
          <w:color w:val="000000"/>
          <w:sz w:val="24"/>
        </w:rPr>
        <w:t>-</w:t>
      </w:r>
      <w:r>
        <w:rPr>
          <w:rFonts w:ascii="sans-serif" w:hAnsi="sans-serif"/>
          <w:b w:val="false"/>
          <w:i/>
          <w:color w:val="000000"/>
          <w:sz w:val="22"/>
        </w:rPr>
        <w:t>Completed sale of Loyalty business October 1, 2025</w:t>
      </w:r>
    </w:p>
    <w:p>
      <w:pPr>
        <w:pStyle w:val="TextBody"/>
        <w:bidi w:val="0"/>
        <w:spacing w:lineRule="auto" w:line="288" w:before="0" w:after="0"/>
        <w:ind w:left="0" w:right="0" w:hanging="360"/>
        <w:jc w:val="center"/>
        <w:rPr/>
      </w:pPr>
      <w:r>
        <w:rPr>
          <w:rFonts w:ascii="sans-serif" w:hAnsi="sans-serif"/>
          <w:b w:val="false"/>
          <w:color w:val="000000"/>
          <w:sz w:val="24"/>
        </w:rPr>
        <w:t>-</w:t>
      </w:r>
      <w:r>
        <w:rPr>
          <w:rFonts w:ascii="sans-serif" w:hAnsi="sans-serif"/>
          <w:b w:val="false"/>
          <w:i/>
          <w:color w:val="000000"/>
          <w:sz w:val="22"/>
        </w:rPr>
        <w:t>Closed Up-C collapse on November 3</w:t>
      </w:r>
      <w:r>
        <w:rPr>
          <w:rFonts w:ascii="sans-serif" w:hAnsi="sans-serif"/>
          <w:b w:val="false"/>
          <w:i/>
          <w:color w:val="000000"/>
          <w:sz w:val="14"/>
        </w:rPr>
        <w:t>rd</w:t>
      </w:r>
      <w:r>
        <w:rPr>
          <w:rFonts w:ascii="sans-serif" w:hAnsi="sans-serif"/>
          <w:b w:val="false"/>
          <w:i/>
          <w:color w:val="000000"/>
          <w:sz w:val="22"/>
        </w:rPr>
        <w:t>, 2025, simplifying governance with single share class</w:t>
      </w:r>
    </w:p>
    <w:p>
      <w:pPr>
        <w:pStyle w:val="TextBody"/>
        <w:bidi w:val="0"/>
        <w:spacing w:lineRule="auto" w:line="288" w:before="0" w:after="0"/>
        <w:ind w:left="0" w:right="0" w:hanging="360"/>
        <w:jc w:val="center"/>
        <w:rPr/>
      </w:pPr>
      <w:r>
        <w:rPr>
          <w:rFonts w:ascii="sans-serif" w:hAnsi="sans-serif"/>
          <w:b w:val="false"/>
          <w:color w:val="000000"/>
          <w:sz w:val="24"/>
        </w:rPr>
        <w:t>-</w:t>
      </w:r>
      <w:r>
        <w:rPr>
          <w:rFonts w:ascii="sans-serif" w:hAnsi="sans-serif"/>
          <w:b w:val="false"/>
          <w:i/>
          <w:color w:val="000000"/>
          <w:sz w:val="22"/>
        </w:rPr>
        <w:t>Appointed Richard Galvin to Board of Directors</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ALPHARETTA, GA – November 10, 2025</w:t>
      </w:r>
      <w:r>
        <w:rPr>
          <w:color w:val="000000"/>
        </w:rPr>
        <w:t xml:space="preserve"> – </w:t>
      </w:r>
      <w:r>
        <w:rPr>
          <w:rFonts w:ascii="sans-serif" w:hAnsi="sans-serif"/>
          <w:b w:val="false"/>
          <w:color w:val="000000"/>
          <w:sz w:val="22"/>
        </w:rPr>
        <w:t>Bakkt Holdings, Inc. (“Bakkt,” “Company,” “we” or “us”) (NYSE: BKKT) announced its financial and operational results for the quarter ended September 30, 2025 and provided an update on certain business developments.</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2"/>
          <w:u w:val="single"/>
        </w:rPr>
      </w:pPr>
      <w:r>
        <w:rPr>
          <w:rFonts w:ascii="sans-serif" w:hAnsi="sans-serif"/>
          <w:b/>
          <w:color w:val="000000"/>
          <w:sz w:val="22"/>
          <w:u w:val="single"/>
        </w:rPr>
        <w:t>Q3 2025 Financial Highlights</w:t>
      </w:r>
    </w:p>
    <w:tbl>
      <w:tblPr>
        <w:tblW w:w="10205" w:type="dxa"/>
        <w:jc w:val="left"/>
        <w:tblInd w:w="0" w:type="dxa"/>
        <w:tblLayout w:type="fixed"/>
        <w:tblCellMar>
          <w:top w:w="28" w:type="dxa"/>
          <w:left w:w="28" w:type="dxa"/>
          <w:bottom w:w="28" w:type="dxa"/>
          <w:right w:w="28" w:type="dxa"/>
        </w:tblCellMar>
      </w:tblPr>
      <w:tblGrid>
        <w:gridCol w:w="2472"/>
        <w:gridCol w:w="2078"/>
        <w:gridCol w:w="2089"/>
        <w:gridCol w:w="193"/>
        <w:gridCol w:w="193"/>
        <w:gridCol w:w="198"/>
        <w:gridCol w:w="225"/>
        <w:gridCol w:w="225"/>
        <w:gridCol w:w="226"/>
        <w:gridCol w:w="353"/>
        <w:gridCol w:w="353"/>
        <w:gridCol w:w="288"/>
        <w:gridCol w:w="383"/>
        <w:gridCol w:w="383"/>
        <w:gridCol w:w="546"/>
      </w:tblGrid>
      <w:tr>
        <w:trPr/>
        <w:tc>
          <w:tcPr>
            <w:tcW w:w="247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7223" w:type="dxa"/>
            <w:gridSpan w:val="6"/>
            <w:tcBorders>
              <w:top w:val="single" w:sz="4" w:space="0" w:color="000000"/>
              <w:left w:val="single" w:sz="4" w:space="0" w:color="000000"/>
            </w:tcBorders>
            <w:shd w:fill="000000" w:val="clear"/>
            <w:tcMar>
              <w:top w:w="30" w:type="dxa"/>
              <w:left w:w="75" w:type="dxa"/>
              <w:bottom w:w="0" w:type="dxa"/>
              <w:right w:w="0" w:type="dxa"/>
            </w:tcMar>
            <w:vAlign w:val="center"/>
          </w:tcPr>
          <w:p>
            <w:pPr>
              <w:pStyle w:val="TableContents"/>
              <w:bidi w:val="0"/>
              <w:spacing w:lineRule="auto" w:line="321" w:before="0" w:after="283"/>
              <w:jc w:val="left"/>
              <w:rPr>
                <w:rFonts w:ascii="sans-serif" w:hAnsi="sans-serif"/>
                <w:b w:val="false"/>
                <w:color w:val="FFFFFF"/>
                <w:sz w:val="20"/>
              </w:rPr>
            </w:pPr>
            <w:r>
              <w:rPr>
                <w:rFonts w:ascii="sans-serif" w:hAnsi="sans-serif"/>
                <w:b w:val="false"/>
                <w:color w:val="FFFFFF"/>
                <w:sz w:val="20"/>
              </w:rPr>
              <w:t>$ in millions</w:t>
            </w:r>
          </w:p>
        </w:tc>
        <w:tc>
          <w:tcPr>
            <w:tcW w:w="676"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20"/>
              </w:rPr>
            </w:pPr>
            <w:r>
              <w:rPr>
                <w:rFonts w:ascii="sans-serif" w:hAnsi="sans-serif"/>
                <w:b/>
                <w:color w:val="FFFFFF"/>
                <w:sz w:val="20"/>
              </w:rPr>
              <w:t>3Q25</w:t>
            </w:r>
          </w:p>
        </w:tc>
        <w:tc>
          <w:tcPr>
            <w:tcW w:w="994"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20"/>
              </w:rPr>
            </w:pPr>
            <w:r>
              <w:rPr>
                <w:rFonts w:ascii="sans-serif" w:hAnsi="sans-serif"/>
                <w:b/>
                <w:color w:val="FFFFFF"/>
                <w:sz w:val="20"/>
              </w:rPr>
              <w:t>3Q24</w:t>
            </w:r>
          </w:p>
        </w:tc>
        <w:tc>
          <w:tcPr>
            <w:tcW w:w="1312" w:type="dxa"/>
            <w:gridSpan w:val="3"/>
            <w:tcBorders>
              <w:top w:val="single" w:sz="4" w:space="0" w:color="000000"/>
              <w:right w:val="single" w:sz="4" w:space="0" w:color="000000"/>
            </w:tcBorders>
            <w:shd w:fill="000000" w:val="clear"/>
            <w:tcMar>
              <w:top w:w="30" w:type="dxa"/>
              <w:left w:w="0" w:type="dxa"/>
              <w:bottom w:w="0" w:type="dxa"/>
            </w:tcMar>
            <w:vAlign w:val="center"/>
          </w:tcPr>
          <w:p>
            <w:pPr>
              <w:pStyle w:val="TableContents"/>
              <w:bidi w:val="0"/>
              <w:spacing w:lineRule="auto" w:line="288" w:before="0" w:after="0"/>
              <w:jc w:val="right"/>
              <w:rPr/>
            </w:pPr>
            <w:r>
              <w:rPr>
                <w:rFonts w:ascii="sans-serif" w:hAnsi="sans-serif"/>
                <w:b/>
                <w:color w:val="FFFFFF"/>
                <w:sz w:val="20"/>
              </w:rPr>
              <w:t>Increase/</w:t>
            </w:r>
            <w:r>
              <w:rPr>
                <w:rFonts w:ascii="Aptos;san-serif" w:hAnsi="Aptos;san-serif"/>
                <w:b w:val="false"/>
                <w:color w:val="FFFFFF"/>
                <w:sz w:val="20"/>
              </w:rPr>
              <w:br/>
            </w:r>
            <w:r>
              <w:rPr>
                <w:rFonts w:ascii="sans-serif" w:hAnsi="sans-serif"/>
                <w:b/>
                <w:color w:val="FFFFFF"/>
                <w:sz w:val="20"/>
              </w:rPr>
              <w:t>(decrease)</w:t>
            </w:r>
          </w:p>
        </w:tc>
      </w:tr>
      <w:tr>
        <w:trPr/>
        <w:tc>
          <w:tcPr>
            <w:tcW w:w="6639" w:type="dxa"/>
            <w:gridSpan w:val="3"/>
            <w:tcBorders>
              <w:left w:val="single" w:sz="4" w:space="0" w:color="000000"/>
            </w:tcBorders>
            <w:shd w:fill="F2F2F2" w:val="clear"/>
            <w:tcMar>
              <w:top w:w="0" w:type="dxa"/>
              <w:bottom w:w="0" w:type="dxa"/>
              <w:right w:w="0" w:type="dxa"/>
            </w:tcMar>
            <w:vAlign w:val="center"/>
          </w:tcPr>
          <w:p>
            <w:pPr>
              <w:pStyle w:val="TableContents"/>
              <w:bidi w:val="0"/>
              <w:spacing w:lineRule="auto" w:line="288" w:before="0" w:after="0"/>
              <w:jc w:val="left"/>
              <w:rPr/>
            </w:pPr>
            <w:r>
              <w:rPr>
                <w:rFonts w:ascii="sans-serif" w:hAnsi="sans-serif"/>
                <w:b/>
                <w:color w:val="000000"/>
                <w:sz w:val="20"/>
              </w:rPr>
              <w:t>GAAP revenue</w:t>
            </w:r>
            <w:r>
              <w:rPr>
                <w:rFonts w:ascii="sans-serif" w:hAnsi="sans-serif"/>
                <w:b/>
                <w:color w:val="000000"/>
                <w:sz w:val="13"/>
              </w:rPr>
              <w:t>1</w:t>
            </w:r>
          </w:p>
        </w:tc>
        <w:tc>
          <w:tcPr>
            <w:tcW w:w="1260" w:type="dxa"/>
            <w:gridSpan w:val="6"/>
            <w:tcBorders/>
            <w:shd w:fill="F2F2F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$402.2</w:t>
            </w:r>
          </w:p>
        </w:tc>
        <w:tc>
          <w:tcPr>
            <w:tcW w:w="99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$316.3</w:t>
            </w:r>
          </w:p>
        </w:tc>
        <w:tc>
          <w:tcPr>
            <w:tcW w:w="1312" w:type="dxa"/>
            <w:gridSpan w:val="3"/>
            <w:tcBorders>
              <w:right w:val="single" w:sz="4" w:space="0" w:color="000000"/>
            </w:tcBorders>
            <w:shd w:fill="F2F2F2" w:val="clear"/>
            <w:tcMar>
              <w:top w:w="0" w:type="dxa"/>
              <w:left w:w="0" w:type="dxa"/>
              <w:bottom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27.1%</w:t>
            </w:r>
          </w:p>
        </w:tc>
      </w:tr>
      <w:tr>
        <w:trPr/>
        <w:tc>
          <w:tcPr>
            <w:tcW w:w="6639" w:type="dxa"/>
            <w:gridSpan w:val="3"/>
            <w:tcBorders>
              <w:left w:val="single" w:sz="4" w:space="0" w:color="000000"/>
            </w:tcBorders>
            <w:tcMar>
              <w:top w:w="0" w:type="dxa"/>
              <w:left w:w="75"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val="false"/>
                <w:color w:val="000000"/>
                <w:sz w:val="20"/>
              </w:rPr>
              <w:t>Crypto costs and execution, clearing and brokerage fees</w:t>
            </w:r>
          </w:p>
        </w:tc>
        <w:tc>
          <w:tcPr>
            <w:tcW w:w="1034" w:type="dxa"/>
            <w:gridSpan w:val="5"/>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400.8 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315.0 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right w:val="single" w:sz="4" w:space="0" w:color="000000"/>
            </w:tcBorders>
            <w:tcMar>
              <w:top w:w="0" w:type="dxa"/>
              <w:left w:w="0" w:type="dxa"/>
              <w:bottom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27.2%</w:t>
            </w:r>
          </w:p>
        </w:tc>
      </w:tr>
      <w:tr>
        <w:trPr/>
        <w:tc>
          <w:tcPr>
            <w:tcW w:w="6639" w:type="dxa"/>
            <w:gridSpan w:val="3"/>
            <w:tcBorders>
              <w:left w:val="single" w:sz="4" w:space="0" w:color="000000"/>
            </w:tcBorders>
            <w:tcMar>
              <w:top w:w="0" w:type="dxa"/>
              <w:bottom w:w="0" w:type="dxa"/>
              <w:right w:w="0" w:type="dxa"/>
            </w:tcMar>
            <w:vAlign w:val="center"/>
          </w:tcPr>
          <w:p>
            <w:pPr>
              <w:pStyle w:val="TableContents"/>
              <w:bidi w:val="0"/>
              <w:spacing w:lineRule="auto" w:line="288" w:before="0" w:after="0"/>
              <w:ind w:left="0" w:right="0" w:hanging="157"/>
              <w:jc w:val="left"/>
              <w:rPr>
                <w:color w:val="000000"/>
              </w:rPr>
            </w:pPr>
            <w:r>
              <w:rPr>
                <w:color w:val="000000"/>
              </w:rPr>
              <w:t>   </w:t>
            </w:r>
            <w:r>
              <w:rPr>
                <w:rFonts w:ascii="sans-serif" w:hAnsi="sans-serif"/>
                <w:b w:val="false"/>
                <w:color w:val="000000"/>
                <w:sz w:val="20"/>
              </w:rPr>
              <w:t>Operating expenses, excluding crypto costs and execution, clearing and brokerage fees</w:t>
            </w:r>
          </w:p>
        </w:tc>
        <w:tc>
          <w:tcPr>
            <w:tcW w:w="1260"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26.7</w:t>
            </w:r>
          </w:p>
        </w:tc>
        <w:tc>
          <w:tcPr>
            <w:tcW w:w="9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0"/>
              </w:rPr>
            </w:pPr>
            <w:r>
              <w:rPr>
                <w:rFonts w:ascii="sans-serif" w:hAnsi="sans-serif"/>
                <w:b w:val="false"/>
                <w:color w:val="000000"/>
                <w:sz w:val="20"/>
              </w:rPr>
              <w:t>26.4</w:t>
            </w:r>
          </w:p>
        </w:tc>
        <w:tc>
          <w:tcPr>
            <w:tcW w:w="1312" w:type="dxa"/>
            <w:gridSpan w:val="3"/>
            <w:tcBorders>
              <w:right w:val="single" w:sz="4" w:space="0" w:color="000000"/>
            </w:tcBorders>
            <w:tcMar>
              <w:top w:w="0" w:type="dxa"/>
              <w:left w:w="0" w:type="dxa"/>
              <w:bottom w:w="0" w:type="dxa"/>
              <w:right w:w="75"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NM</w:t>
            </w:r>
          </w:p>
        </w:tc>
      </w:tr>
      <w:tr>
        <w:trPr/>
        <w:tc>
          <w:tcPr>
            <w:tcW w:w="6639" w:type="dxa"/>
            <w:gridSpan w:val="3"/>
            <w:tcBorders>
              <w:left w:val="single" w:sz="4" w:space="0" w:color="000000"/>
            </w:tcBorders>
            <w:shd w:fill="F2F2F2" w:val="clear"/>
            <w:tcMar>
              <w:top w:w="0" w:type="dxa"/>
              <w:left w:w="75" w:type="dxa"/>
              <w:bottom w:w="0" w:type="dxa"/>
              <w:right w:w="0" w:type="dxa"/>
            </w:tcMar>
            <w:vAlign w:val="center"/>
          </w:tcPr>
          <w:p>
            <w:pPr>
              <w:pStyle w:val="TableContents"/>
              <w:bidi w:val="0"/>
              <w:spacing w:lineRule="auto" w:line="321" w:before="0" w:after="283"/>
              <w:jc w:val="left"/>
              <w:rPr>
                <w:rFonts w:ascii="sans-serif" w:hAnsi="sans-serif"/>
                <w:b/>
                <w:color w:val="000000"/>
                <w:sz w:val="20"/>
              </w:rPr>
            </w:pPr>
            <w:r>
              <w:rPr>
                <w:rFonts w:ascii="sans-serif" w:hAnsi="sans-serif"/>
                <w:b/>
                <w:color w:val="000000"/>
                <w:sz w:val="20"/>
              </w:rPr>
              <w:t>Total operating expenses</w:t>
            </w:r>
          </w:p>
        </w:tc>
        <w:tc>
          <w:tcPr>
            <w:tcW w:w="1260" w:type="dxa"/>
            <w:gridSpan w:val="6"/>
            <w:tcBorders/>
            <w:shd w:fill="F2F2F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427.5</w:t>
            </w:r>
          </w:p>
        </w:tc>
        <w:tc>
          <w:tcPr>
            <w:tcW w:w="99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341.5</w:t>
            </w:r>
          </w:p>
        </w:tc>
        <w:tc>
          <w:tcPr>
            <w:tcW w:w="1312" w:type="dxa"/>
            <w:gridSpan w:val="3"/>
            <w:tcBorders>
              <w:right w:val="single" w:sz="4" w:space="0" w:color="000000"/>
            </w:tcBorders>
            <w:shd w:fill="F2F2F2" w:val="clear"/>
            <w:tcMar>
              <w:top w:w="0" w:type="dxa"/>
              <w:left w:w="0" w:type="dxa"/>
              <w:bottom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25.2%</w:t>
            </w:r>
          </w:p>
        </w:tc>
      </w:tr>
      <w:tr>
        <w:trPr/>
        <w:tc>
          <w:tcPr>
            <w:tcW w:w="6639" w:type="dxa"/>
            <w:gridSpan w:val="3"/>
            <w:tcBorders>
              <w:left w:val="single" w:sz="4" w:space="0" w:color="000000"/>
            </w:tcBorders>
            <w:shd w:fill="F2F2F2" w:val="clear"/>
            <w:tcMar>
              <w:top w:w="0" w:type="dxa"/>
              <w:left w:w="75" w:type="dxa"/>
              <w:bottom w:w="0" w:type="dxa"/>
              <w:right w:w="0" w:type="dxa"/>
            </w:tcMar>
            <w:vAlign w:val="center"/>
          </w:tcPr>
          <w:p>
            <w:pPr>
              <w:pStyle w:val="TableContents"/>
              <w:bidi w:val="0"/>
              <w:spacing w:lineRule="auto" w:line="321" w:before="0" w:after="283"/>
              <w:jc w:val="left"/>
              <w:rPr>
                <w:rFonts w:ascii="sans-serif" w:hAnsi="sans-serif"/>
                <w:b/>
                <w:color w:val="000000"/>
                <w:sz w:val="20"/>
              </w:rPr>
            </w:pPr>
            <w:r>
              <w:rPr>
                <w:rFonts w:ascii="sans-serif" w:hAnsi="sans-serif"/>
                <w:b/>
                <w:color w:val="000000"/>
                <w:sz w:val="20"/>
              </w:rPr>
              <w:t>GAAP operating loss from continuing operations</w:t>
            </w:r>
          </w:p>
        </w:tc>
        <w:tc>
          <w:tcPr>
            <w:tcW w:w="1260" w:type="dxa"/>
            <w:gridSpan w:val="6"/>
            <w:tcBorders/>
            <w:shd w:fill="F2F2F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(25.3)</w:t>
            </w:r>
          </w:p>
        </w:tc>
        <w:tc>
          <w:tcPr>
            <w:tcW w:w="99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(25.1)</w:t>
            </w:r>
          </w:p>
        </w:tc>
        <w:tc>
          <w:tcPr>
            <w:tcW w:w="1312" w:type="dxa"/>
            <w:gridSpan w:val="3"/>
            <w:tcBorders>
              <w:right w:val="single" w:sz="4" w:space="0" w:color="000000"/>
            </w:tcBorders>
            <w:shd w:fill="F2F2F2" w:val="clear"/>
            <w:tcMar>
              <w:top w:w="0" w:type="dxa"/>
              <w:left w:w="0" w:type="dxa"/>
              <w:bottom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0.5%</w:t>
            </w:r>
          </w:p>
        </w:tc>
      </w:tr>
      <w:tr>
        <w:trPr/>
        <w:tc>
          <w:tcPr>
            <w:tcW w:w="6639" w:type="dxa"/>
            <w:gridSpan w:val="3"/>
            <w:tcBorders>
              <w:left w:val="single" w:sz="4" w:space="0" w:color="000000"/>
            </w:tcBorders>
            <w:shd w:fill="FFFFFF" w:val="clear"/>
            <w:tcMar>
              <w:top w:w="0" w:type="dxa"/>
              <w:left w:w="75" w:type="dxa"/>
              <w:bottom w:w="0" w:type="dxa"/>
              <w:right w:w="0" w:type="dxa"/>
            </w:tcMar>
            <w:vAlign w:val="center"/>
          </w:tcPr>
          <w:p>
            <w:pPr>
              <w:pStyle w:val="TableContents"/>
              <w:bidi w:val="0"/>
              <w:spacing w:lineRule="auto" w:line="321" w:before="0" w:after="283"/>
              <w:jc w:val="left"/>
              <w:rPr>
                <w:rFonts w:ascii="sans-serif" w:hAnsi="sans-serif"/>
                <w:b w:val="false"/>
                <w:color w:val="000000"/>
                <w:sz w:val="20"/>
              </w:rPr>
            </w:pPr>
            <w:r>
              <w:rPr>
                <w:rFonts w:ascii="sans-serif" w:hAnsi="sans-serif"/>
                <w:b w:val="false"/>
                <w:color w:val="000000"/>
                <w:sz w:val="20"/>
              </w:rPr>
              <w:t>GAAP net loss from continuing operations</w:t>
            </w:r>
          </w:p>
        </w:tc>
        <w:tc>
          <w:tcPr>
            <w:tcW w:w="1034" w:type="dxa"/>
            <w:gridSpan w:val="5"/>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(21.6)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(3.8)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right w:val="single" w:sz="4" w:space="0" w:color="000000"/>
            </w:tcBorders>
            <w:shd w:fill="FFFFFF" w:val="clear"/>
            <w:tcMar>
              <w:top w:w="0" w:type="dxa"/>
              <w:left w:w="0" w:type="dxa"/>
              <w:bottom w:w="0" w:type="dxa"/>
              <w:right w:w="75"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NM</w:t>
            </w:r>
          </w:p>
        </w:tc>
      </w:tr>
      <w:tr>
        <w:trPr/>
        <w:tc>
          <w:tcPr>
            <w:tcW w:w="6639" w:type="dxa"/>
            <w:gridSpan w:val="3"/>
            <w:tcBorders>
              <w:left w:val="single" w:sz="4" w:space="0" w:color="000000"/>
            </w:tcBorders>
            <w:shd w:fill="FFFFFF" w:val="clear"/>
            <w:tcMar>
              <w:top w:w="0" w:type="dxa"/>
              <w:left w:w="75" w:type="dxa"/>
              <w:bottom w:w="0" w:type="dxa"/>
              <w:right w:w="0" w:type="dxa"/>
            </w:tcMar>
            <w:vAlign w:val="center"/>
          </w:tcPr>
          <w:p>
            <w:pPr>
              <w:pStyle w:val="TableContents"/>
              <w:bidi w:val="0"/>
              <w:spacing w:lineRule="auto" w:line="321" w:before="0" w:after="283"/>
              <w:jc w:val="left"/>
              <w:rPr>
                <w:rFonts w:ascii="sans-serif" w:hAnsi="sans-serif"/>
                <w:b w:val="false"/>
                <w:color w:val="000000"/>
                <w:sz w:val="20"/>
              </w:rPr>
            </w:pPr>
            <w:r>
              <w:rPr>
                <w:rFonts w:ascii="sans-serif" w:hAnsi="sans-serif"/>
                <w:b w:val="false"/>
                <w:color w:val="000000"/>
                <w:sz w:val="20"/>
              </w:rPr>
              <w:t>GAAP net loss</w:t>
            </w:r>
          </w:p>
        </w:tc>
        <w:tc>
          <w:tcPr>
            <w:tcW w:w="1034" w:type="dxa"/>
            <w:gridSpan w:val="5"/>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(23.2)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(6.9)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right w:val="single" w:sz="4" w:space="0" w:color="000000"/>
            </w:tcBorders>
            <w:shd w:fill="FFFFFF" w:val="clear"/>
            <w:tcMar>
              <w:top w:w="0" w:type="dxa"/>
              <w:left w:w="0" w:type="dxa"/>
              <w:bottom w:w="0" w:type="dxa"/>
              <w:right w:w="75" w:type="dxa"/>
            </w:tcMar>
            <w:vAlign w:val="center"/>
          </w:tcPr>
          <w:p>
            <w:pPr>
              <w:pStyle w:val="TableContents"/>
              <w:bidi w:val="0"/>
              <w:spacing w:lineRule="auto" w:line="321" w:before="0" w:after="283"/>
              <w:jc w:val="right"/>
              <w:rPr>
                <w:rFonts w:ascii="sans-serif" w:hAnsi="sans-serif"/>
                <w:b w:val="false"/>
                <w:color w:val="000000"/>
                <w:sz w:val="20"/>
              </w:rPr>
            </w:pPr>
            <w:r>
              <w:rPr>
                <w:rFonts w:ascii="sans-serif" w:hAnsi="sans-serif"/>
                <w:b w:val="false"/>
                <w:color w:val="000000"/>
                <w:sz w:val="20"/>
              </w:rPr>
              <w:t>NM</w:t>
            </w:r>
          </w:p>
        </w:tc>
      </w:tr>
      <w:tr>
        <w:trPr/>
        <w:tc>
          <w:tcPr>
            <w:tcW w:w="6639" w:type="dxa"/>
            <w:gridSpan w:val="3"/>
            <w:tcBorders>
              <w:left w:val="single" w:sz="4" w:space="0" w:color="000000"/>
            </w:tcBorders>
            <w:shd w:fill="F2F2F2" w:val="clear"/>
            <w:tcMar>
              <w:top w:w="0" w:type="dxa"/>
              <w:bottom w:w="0" w:type="dxa"/>
              <w:right w:w="0" w:type="dxa"/>
            </w:tcMar>
            <w:vAlign w:val="center"/>
          </w:tcPr>
          <w:p>
            <w:pPr>
              <w:pStyle w:val="TableContents"/>
              <w:bidi w:val="0"/>
              <w:spacing w:lineRule="auto" w:line="288" w:before="0" w:after="0"/>
              <w:jc w:val="left"/>
              <w:rPr/>
            </w:pPr>
            <w:r>
              <w:rPr>
                <w:rFonts w:ascii="sans-serif" w:hAnsi="sans-serif"/>
                <w:b/>
                <w:color w:val="000000"/>
                <w:sz w:val="20"/>
              </w:rPr>
              <w:t>Adjusted net income (loss) from continuing operations (Non-GAAP)</w:t>
            </w:r>
            <w:r>
              <w:rPr>
                <w:rFonts w:ascii="sans-serif" w:hAnsi="sans-serif"/>
                <w:b/>
                <w:color w:val="000000"/>
                <w:sz w:val="13"/>
              </w:rPr>
              <w:t>2</w:t>
            </w:r>
          </w:p>
        </w:tc>
        <w:tc>
          <w:tcPr>
            <w:tcW w:w="1034" w:type="dxa"/>
            <w:gridSpan w:val="5"/>
            <w:tcBorders/>
            <w:shd w:fill="F2F2F2" w:val="clear"/>
            <w:tcMar>
              <w:top w:w="0" w:type="dxa"/>
              <w:left w:w="0" w:type="dxa"/>
              <w:bottom w:w="0" w:type="dxa"/>
              <w:right w:w="0" w:type="dxa"/>
            </w:tcMar>
            <w:vAlign w:val="center"/>
          </w:tcPr>
          <w:p>
            <w:pPr>
              <w:pStyle w:val="TableContents"/>
              <w:bidi w:val="0"/>
              <w:spacing w:lineRule="auto" w:line="321" w:before="0" w:after="283"/>
              <w:jc w:val="right"/>
              <w:rPr/>
            </w:pPr>
            <w:r>
              <w:rPr>
                <w:rFonts w:ascii="sans-serif" w:hAnsi="sans-serif"/>
                <w:b/>
                <w:color w:val="000000"/>
                <w:sz w:val="20"/>
              </w:rPr>
              <w:t>15.7</w:t>
            </w: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(3.8)</w:t>
            </w:r>
          </w:p>
        </w:tc>
        <w:tc>
          <w:tcPr>
            <w:tcW w:w="1312" w:type="dxa"/>
            <w:gridSpan w:val="3"/>
            <w:tcBorders>
              <w:right w:val="single" w:sz="4" w:space="0" w:color="000000"/>
            </w:tcBorders>
            <w:shd w:fill="F2F2F2" w:val="clear"/>
            <w:tcMar>
              <w:top w:w="0" w:type="dxa"/>
              <w:left w:w="0" w:type="dxa"/>
              <w:bottom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516.1%</w:t>
            </w:r>
          </w:p>
        </w:tc>
      </w:tr>
      <w:tr>
        <w:trPr/>
        <w:tc>
          <w:tcPr>
            <w:tcW w:w="6639" w:type="dxa"/>
            <w:gridSpan w:val="3"/>
            <w:tcBorders>
              <w:left w:val="single" w:sz="4" w:space="0" w:color="000000"/>
              <w:bottom w:val="single" w:sz="4" w:space="0" w:color="000000"/>
            </w:tcBorders>
            <w:shd w:fill="F2F2F2" w:val="clear"/>
            <w:tcMar>
              <w:top w:w="0" w:type="dxa"/>
              <w:left w:w="75" w:type="dxa"/>
              <w:bottom w:w="30" w:type="dxa"/>
              <w:right w:w="0" w:type="dxa"/>
            </w:tcMar>
            <w:vAlign w:val="center"/>
          </w:tcPr>
          <w:p>
            <w:pPr>
              <w:pStyle w:val="TableContents"/>
              <w:bidi w:val="0"/>
              <w:spacing w:lineRule="auto" w:line="321" w:before="0" w:after="283"/>
              <w:jc w:val="left"/>
              <w:rPr>
                <w:rFonts w:ascii="sans-serif" w:hAnsi="sans-serif"/>
                <w:b/>
                <w:color w:val="000000"/>
                <w:sz w:val="20"/>
              </w:rPr>
            </w:pPr>
            <w:r>
              <w:rPr>
                <w:rFonts w:ascii="sans-serif" w:hAnsi="sans-serif"/>
                <w:b/>
                <w:color w:val="000000"/>
                <w:sz w:val="20"/>
              </w:rPr>
              <w:t>Adjusted EBITDA gain (loss) (Non-GAAP)</w:t>
            </w:r>
          </w:p>
        </w:tc>
        <w:tc>
          <w:tcPr>
            <w:tcW w:w="1260" w:type="dxa"/>
            <w:gridSpan w:val="6"/>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$28.7</w:t>
            </w:r>
          </w:p>
        </w:tc>
        <w:tc>
          <w:tcPr>
            <w:tcW w:w="99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($20.1)</w:t>
            </w:r>
          </w:p>
        </w:tc>
        <w:tc>
          <w:tcPr>
            <w:tcW w:w="1312" w:type="dxa"/>
            <w:gridSpan w:val="3"/>
            <w:tcBorders>
              <w:bottom w:val="single" w:sz="4" w:space="0" w:color="000000"/>
              <w:right w:val="single" w:sz="4" w:space="0" w:color="000000"/>
            </w:tcBorders>
            <w:shd w:fill="F2F2F2" w:val="clear"/>
            <w:tcMar>
              <w:top w:w="0" w:type="dxa"/>
              <w:left w:w="0" w:type="dxa"/>
              <w:bottom w:w="30" w:type="dxa"/>
            </w:tcMar>
            <w:vAlign w:val="center"/>
          </w:tcPr>
          <w:p>
            <w:pPr>
              <w:pStyle w:val="TableContents"/>
              <w:bidi w:val="0"/>
              <w:spacing w:lineRule="auto" w:line="288" w:before="0" w:after="0"/>
              <w:jc w:val="right"/>
              <w:rPr>
                <w:rFonts w:ascii="sans-serif" w:hAnsi="sans-serif"/>
                <w:b/>
                <w:color w:val="000000"/>
                <w:sz w:val="20"/>
              </w:rPr>
            </w:pPr>
            <w:r>
              <w:rPr>
                <w:rFonts w:ascii="sans-serif" w:hAnsi="sans-serif"/>
                <w:b/>
                <w:color w:val="000000"/>
                <w:sz w:val="20"/>
              </w:rPr>
              <w:t>240.6%</w:t>
            </w:r>
          </w:p>
        </w:tc>
      </w:tr>
    </w:tbl>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2"/>
          <w:u w:val="single"/>
        </w:rPr>
      </w:pPr>
      <w:r>
        <w:rPr>
          <w:rFonts w:ascii="sans-serif" w:hAnsi="sans-serif"/>
          <w:b/>
          <w:color w:val="000000"/>
          <w:sz w:val="22"/>
          <w:u w:val="single"/>
        </w:rPr>
        <w:t>Q3 2025 and Recent Operational Updates:</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Bakkt’s Transformation: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This quarter, Bakkt finalized the sale of its Loyalty business, completing its exit from all non-core operations - a key milestone in Bakkt’s strategic transformation. Additionally, the Company has streamlined its activities accordingly:</w:t>
      </w:r>
    </w:p>
    <w:p>
      <w:pPr>
        <w:pStyle w:val="TextBody"/>
        <w:bidi w:val="0"/>
        <w:spacing w:lineRule="auto" w:line="288"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In accordance with GAAP, crypto services revenue and crypto costs and execution, clearing and brokerage fees are presented on a gross basis as the Company is a principal in those transactions.</w:t>
      </w:r>
    </w:p>
    <w:p>
      <w:pPr>
        <w:pStyle w:val="TextBody"/>
        <w:bidi w:val="0"/>
        <w:spacing w:lineRule="auto" w:line="288"/>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Due to the ongoing U.S. government shutdown, the Company has been unable to consult with the SEC with respect to obtaining pre-clearance regarding the presentation of contributions from new business activity in GAAP revenue. The Company is presenting “Adjusted net income (loss) from continuing operations,” a Non-GAAP measure, relating to continuing operations only, to reflect the full economic contribution of these activities. For reconciliation and further notes, please see tables at the end of this release.</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sans-serif" w:hAnsi="sans-serif"/>
          <w:b/>
          <w:color w:val="000000"/>
          <w:sz w:val="22"/>
        </w:rPr>
        <w:t>Bakkt Markets</w:t>
      </w:r>
      <w:r>
        <w:rPr>
          <w:rFonts w:ascii="sans-serif" w:hAnsi="sans-serif"/>
          <w:b w:val="false"/>
          <w:color w:val="000000"/>
          <w:sz w:val="22"/>
        </w:rPr>
        <w:t>, serves as the foundation, providing institutional-grade trading, liquidity, and regulated custody through a 50-state licensing footprint and a New York BitLicense, enabling B2B and B2B2C clients to operate with speed and compliance.</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Bakkt Agent</w:t>
      </w:r>
      <w:r>
        <w:rPr>
          <w:rFonts w:ascii="sans-serif" w:hAnsi="sans-serif"/>
          <w:b w:val="false"/>
          <w:color w:val="000000"/>
          <w:sz w:val="22"/>
        </w:rPr>
        <w:t>, the Company’s AI-enabled programmable-finance and stablecoin platform, combining AI-driven interfaces with compliant cross-border payments to power global money movement, savings, and yield through banking partners.</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Bakkt Global</w:t>
      </w:r>
      <w:r>
        <w:rPr>
          <w:rFonts w:ascii="sans-serif" w:hAnsi="sans-serif"/>
          <w:b w:val="false"/>
          <w:color w:val="000000"/>
          <w:sz w:val="22"/>
        </w:rPr>
        <w:t>, represents Bakkt’s international expansion model, leveraging its technology and infrastructure into new jurisdictions through minority investments – beginning with Japan – to create long-term recurring revenue opportunities.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These activities expand Bakkt’s reach across trading, payments, and international markets, marking a critical step in the Company’s evolution into a unified digital-asset infrastructure platform. Bakkt expects to conclude that transformation in the fourth quarter.</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Simplified Capital Structure and Long-Term Debt-Free Balance Sheet: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Bakkt ended the quarter long-term debt-free and with $64.4 million in cash and cash equivalents and restricted cash. In addition, as of November 3</w:t>
      </w:r>
      <w:r>
        <w:rPr>
          <w:rFonts w:ascii="sans-serif" w:hAnsi="sans-serif"/>
          <w:b w:val="false"/>
          <w:color w:val="000000"/>
          <w:sz w:val="14"/>
        </w:rPr>
        <w:t>rd</w:t>
      </w:r>
      <w:r>
        <w:rPr>
          <w:color w:val="000000"/>
        </w:rPr>
        <w:t xml:space="preserve"> </w:t>
      </w:r>
      <w:r>
        <w:rPr>
          <w:rFonts w:ascii="sans-serif" w:hAnsi="sans-serif"/>
          <w:b w:val="false"/>
          <w:color w:val="000000"/>
          <w:sz w:val="22"/>
        </w:rPr>
        <w:t>the Company completed the collapse of its legacy Up-C structure, unifying all shareholders under a single class of stock.</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Strengthened Board Leadership and Governance: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Bakkt announced today that Richard Galvin has been appointed to its Board of Directors. Mr. Galvin brings more than two decades of senior experience across global equity, derivatives, and technology investment banking, alongside deep institutional expertise investing across venture and liquid digital asset markets as Executive Chairman and CIO of DACM. His background at the intersection of traditional capital markets and digital assets adds a differentiated perspective to the Board as Bakkt continues advancing its international expansion and infrastructure strategy.</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I’m pleased to join Bakkt’s Board at a time when the company is scaling its infrastructure and expanding globally as adoption of digital asset technology accelerates,” said Mr. Galvin. “Bakkt is building an important foundation for how digital assets are traded and integrated into modern financial systems, and I look forward to contributing to its next phase of growth.”</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Bakkt further reinforced its commitment to world-class governance on its Board of Directors with the appointments of Mike Alfred and Lyn Alden—two highly respected investors and operators in the fields of digital assets and global macroeconomics. These additions broaden the Board’s expertise across capital markets, technology, and digital asset strategy, enhancing Bakkt’s ability to navigate and lead through the ongoing transformation of digital finance.</w:t>
      </w:r>
    </w:p>
    <w:p>
      <w:pPr>
        <w:pStyle w:val="TextBody"/>
        <w:bidi w:val="0"/>
        <w:spacing w:before="0" w:after="0"/>
        <w:jc w:val="left"/>
        <w:rPr/>
      </w:pPr>
      <w:r>
        <w:rPr/>
      </w:r>
    </w:p>
    <w:p>
      <w:pPr>
        <w:pStyle w:val="TextBody"/>
        <w:bidi w:val="0"/>
        <w:spacing w:lineRule="auto" w:line="288" w:before="0" w:after="120"/>
        <w:jc w:val="left"/>
        <w:rPr>
          <w:rFonts w:ascii="sans-serif" w:hAnsi="sans-serif"/>
          <w:b/>
          <w:color w:val="000000"/>
          <w:sz w:val="22"/>
          <w:u w:val="single"/>
        </w:rPr>
      </w:pPr>
      <w:r>
        <w:rPr>
          <w:rFonts w:ascii="sans-serif" w:hAnsi="sans-serif"/>
          <w:b/>
          <w:color w:val="000000"/>
          <w:sz w:val="22"/>
          <w:u w:val="single"/>
        </w:rPr>
        <w:t>Management Commentary:</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The third quarter represents a defining moment in Bakkt’s transformation. We’ve simplified our structure, sharpened our strategy, and delivered positive adjusted EBITDA – clear evidence that our reset is working,” said Akshay Naheta, President and Chief Executive Officer of Bakkt. “With our transformation nearing completion, Bakkt is now positioned as a focused, capital-disciplined digital-asset infrastructure company built for scale and long-term profitability.”</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Our team executed decisively this quarter – collapsing the legacy Up-C structure, unifying the share class, eliminating all debt, and strengthening liquidity through disciplined capital raises. The result is a cleaner balance sheet, improved governance, and stronger institutional eligibility. Every dollar now goes toward monetization – trading spreads, custody fees, and stablecoin and payments volume.”</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Our operating model is anchored around three growth engines: Bakkt Markets, which provides regulated trading, custody, and liquidity; Bakkt Agent, our programmable-finance platform that enables partners to launch neo-banking and cross-border-payment products; and Bakkt Global, which extends our infrastructure into new jurisdictions through a minority-investment approach. Together, we have formed one integrated platform that connects how markets trade, how money moves, and how value is stored.”</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As we move through the fourth quarter, our priorities are clear: complete the transformation, expand customer adoption, and prepare for acceleration in 2026. We’re enhancing our technology stack, tightening costs, refreshing the Bakkt brand, and readying for our upcoming Investor Day in Q1’2026 to align on the next phase of growth.”</w:t>
      </w:r>
    </w:p>
    <w:p>
      <w:pPr>
        <w:pStyle w:val="TextBody"/>
        <w:bidi w:val="0"/>
        <w:spacing w:lineRule="auto" w:line="288" w:before="0" w:after="120"/>
        <w:jc w:val="left"/>
        <w:rPr>
          <w:color w:val="000000"/>
        </w:rPr>
      </w:pPr>
      <w:r>
        <w:rPr>
          <w:color w:val="000000"/>
        </w:rPr>
        <w:t>“</w:t>
      </w:r>
      <w:r>
        <w:rPr>
          <w:rFonts w:ascii="sans-serif" w:hAnsi="sans-serif"/>
          <w:b w:val="false"/>
          <w:color w:val="000000"/>
          <w:sz w:val="22"/>
        </w:rPr>
        <w:t>The heavy lifting is largely behind us, and the momentum heading into 2026 is real. We have rebuilt Bakkt into a leaner, faster, and more focused organization with a clear mission – to power the structural re-architecture of global finance.”</w:t>
      </w:r>
    </w:p>
    <w:p>
      <w:pPr>
        <w:pStyle w:val="TextBody"/>
        <w:bidi w:val="0"/>
        <w:spacing w:before="0" w:after="0"/>
        <w:jc w:val="left"/>
        <w:rPr/>
      </w:pPr>
      <w:r>
        <w:rPr/>
      </w:r>
    </w:p>
    <w:p>
      <w:pPr>
        <w:pStyle w:val="TextBody"/>
        <w:bidi w:val="0"/>
        <w:spacing w:lineRule="auto" w:line="288" w:before="0" w:after="120"/>
        <w:jc w:val="left"/>
        <w:rPr/>
      </w:pPr>
      <w:r>
        <w:rPr>
          <w:rFonts w:ascii="sans-serif" w:hAnsi="sans-serif"/>
          <w:b/>
          <w:color w:val="000000"/>
          <w:sz w:val="22"/>
          <w:u w:val="single"/>
        </w:rPr>
        <w:t>Q3 2025 Financial Highlights</w:t>
      </w:r>
      <w:r>
        <w:rPr>
          <w:rFonts w:ascii="sans-serif" w:hAnsi="sans-serif"/>
          <w:b/>
          <w:color w:val="000000"/>
          <w:sz w:val="14"/>
          <w:u w:val="single"/>
        </w:rPr>
        <w:t>3</w:t>
      </w:r>
      <w:r>
        <w:rPr>
          <w:color w:val="000000"/>
          <w:u w:val="single"/>
        </w:rPr>
        <w:t xml:space="preserve"> </w:t>
      </w:r>
      <w:r>
        <w:rPr>
          <w:rFonts w:ascii="sans-serif" w:hAnsi="sans-serif"/>
          <w:b/>
          <w:color w:val="000000"/>
          <w:sz w:val="22"/>
          <w:u w:val="single"/>
        </w:rPr>
        <w:t>(unaudited):</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GAAP revenue was $402.2 million, up 27.1% year-over-year, reflecting higher crypto market activity.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Total operating expenses were $427.5 million, up 25.2% year-over-year primarily due to an increase in crypto costs and execution, clearing and brokerage fees (“ECB”) as a result of higher trading volume.</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GAAP net loss was $23.2 million, primarily driven by a non-cash loss from the change in fair value of the 2024 registered direct offering warrant liability mark-to-market of $37.2 million as a result of a material increase in Bakkt’s stock price in Q3 2025.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GAAP net loss from continuing operations was $21.6 million, primarily driven by the change in the fair value of warrant liability.</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Adjusted net income (loss) from continuing operations was $15.7 million</w:t>
      </w:r>
      <w:r>
        <w:rPr>
          <w:rFonts w:ascii="sans-serif" w:hAnsi="sans-serif"/>
          <w:b w:val="false"/>
          <w:color w:val="000000"/>
          <w:sz w:val="14"/>
        </w:rPr>
        <w:t xml:space="preserve">2 </w:t>
      </w:r>
      <w:r>
        <w:rPr>
          <w:rFonts w:ascii="sans-serif" w:hAnsi="sans-serif"/>
          <w:b w:val="false"/>
          <w:color w:val="000000"/>
          <w:sz w:val="22"/>
        </w:rPr>
        <w:t>driven by gains from new business activity.</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Adjusted EBITDA (non-GAAP) was $28.7 million, up 240.6% year-over-year primarily due to gain from operations and lower SG&amp;A.</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Webcast and Conference Call Information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Bakkt will host a conference call at 8:30 AM EST, November 10, 2025. The conference call will be webcast live and archived on the investor relations section of Bakkt’s corporate website under the ‘News &amp; Events’ section, along with any related earnings materials. Attendance information is provided below.</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Conference Call Details: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Date: November 10, 2025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Time: 8:30 AM EST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Participant Call Links:</w:t>
      </w:r>
    </w:p>
    <w:p>
      <w:pPr>
        <w:pStyle w:val="TextBody"/>
        <w:bidi w:val="0"/>
        <w:spacing w:lineRule="auto" w:line="288" w:before="0" w:after="0"/>
        <w:ind w:left="0" w:right="0" w:hanging="360"/>
        <w:jc w:val="left"/>
        <w:rPr/>
      </w:pPr>
      <w:r>
        <w:rPr>
          <w:rFonts w:ascii="Courier New;monospace" w:hAnsi="Courier New;monospace"/>
          <w:b w:val="false"/>
          <w:color w:val="000000"/>
          <w:sz w:val="20"/>
        </w:rPr>
        <w:t>o</w:t>
      </w:r>
      <w:r>
        <w:rPr>
          <w:rFonts w:ascii="sans-serif" w:hAnsi="sans-serif"/>
          <w:b w:val="false"/>
          <w:color w:val="000000"/>
          <w:sz w:val="22"/>
        </w:rPr>
        <w:t>Live Webcast: </w:t>
      </w:r>
      <w:r>
        <w:rPr>
          <w:rFonts w:ascii="sans-serif" w:hAnsi="sans-serif"/>
          <w:b w:val="false"/>
          <w:color w:val="467886"/>
          <w:sz w:val="22"/>
          <w:u w:val="single"/>
        </w:rPr>
        <w:t>Link</w:t>
      </w:r>
    </w:p>
    <w:p>
      <w:pPr>
        <w:pStyle w:val="TextBody"/>
        <w:bidi w:val="0"/>
        <w:spacing w:lineRule="auto" w:line="288" w:before="0" w:after="0"/>
        <w:ind w:left="0" w:right="0" w:hanging="360"/>
        <w:jc w:val="left"/>
        <w:rPr/>
      </w:pPr>
      <w:r>
        <w:rPr>
          <w:rFonts w:ascii="Courier New;monospace" w:hAnsi="Courier New;monospace"/>
          <w:b w:val="false"/>
          <w:color w:val="000000"/>
          <w:sz w:val="20"/>
        </w:rPr>
        <w:t>o</w:t>
      </w:r>
      <w:r>
        <w:rPr>
          <w:rFonts w:ascii="sans-serif" w:hAnsi="sans-serif"/>
          <w:b w:val="false"/>
          <w:color w:val="000000"/>
          <w:sz w:val="22"/>
        </w:rPr>
        <w:t>Participant Call Registration: </w:t>
      </w:r>
      <w:r>
        <w:rPr>
          <w:rFonts w:ascii="sans-serif" w:hAnsi="sans-serif"/>
          <w:b w:val="false"/>
          <w:color w:val="467886"/>
          <w:sz w:val="22"/>
          <w:u w:val="single"/>
        </w:rPr>
        <w:t>Link</w:t>
      </w:r>
    </w:p>
    <w:p>
      <w:pPr>
        <w:pStyle w:val="TextBody"/>
        <w:bidi w:val="0"/>
        <w:spacing w:lineRule="auto" w:line="288" w:before="0" w:after="0"/>
        <w:jc w:val="left"/>
        <w:rPr/>
      </w:pPr>
      <w:r>
        <w:rPr>
          <w:rFonts w:ascii="Aptos;san-serif" w:hAnsi="Aptos;san-serif"/>
          <w:b w:val="false"/>
          <w:color w:val="000000"/>
          <w:sz w:val="13"/>
        </w:rPr>
        <w:t>3</w:t>
      </w:r>
      <w:r>
        <w:rPr>
          <w:color w:val="000000"/>
        </w:rPr>
        <w:t xml:space="preserve"> </w:t>
      </w:r>
      <w:r>
        <w:rPr>
          <w:rFonts w:ascii="sans-serif" w:hAnsi="sans-serif"/>
          <w:b w:val="false"/>
          <w:color w:val="000000"/>
          <w:sz w:val="16"/>
        </w:rPr>
        <w:t>The below financial highlights reflect continuing operations. On October 1, 2025, Bakkt completed the sale of its Loyalty and Travel Redemption business to Project Labrador Holdco LLC, a subsidiary of Roman DBDR Technology Advisors. In accordance with ASC 205-20, the Loyalty business is now classified as discontinued operations beginning in the third quarter of 2025. As a result, its financial results are now reported separately, and related assets and liabilities are presented as held for sale in the Company’s consolidated financial statements.</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Bakkt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Founded in 2018, Bakkt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Bakkt is headquartered in Alpharetta, GA. For more information, visit: </w:t>
      </w:r>
      <w:r>
        <w:rPr>
          <w:rFonts w:ascii="sans-serif" w:hAnsi="sans-serif"/>
          <w:b w:val="false"/>
          <w:color w:val="467886"/>
          <w:sz w:val="22"/>
          <w:u w:val="single"/>
        </w:rPr>
        <w:t>https://www.bakkt.com/</w:t>
      </w:r>
      <w:r>
        <w:rPr>
          <w:color w:val="000000"/>
        </w:rPr>
        <w:t> </w:t>
      </w:r>
      <w:r>
        <w:rPr>
          <w:rFonts w:ascii="sans-serif" w:hAnsi="sans-serif"/>
          <w:b w:val="false"/>
          <w:color w:val="000000"/>
          <w:sz w:val="22"/>
        </w:rPr>
        <w:t xml:space="preserve">| </w:t>
      </w:r>
    </w:p>
    <w:p>
      <w:pPr>
        <w:pStyle w:val="TextBody"/>
        <w:bidi w:val="0"/>
        <w:spacing w:lineRule="auto" w:line="288" w:before="0" w:after="0"/>
        <w:jc w:val="left"/>
        <w:rPr/>
      </w:pPr>
      <w:r>
        <w:rPr>
          <w:rFonts w:ascii="sans-serif" w:hAnsi="sans-serif"/>
          <w:b w:val="false"/>
          <w:color w:val="000000"/>
          <w:sz w:val="22"/>
        </w:rPr>
        <w:t xml:space="preserve">X - </w:t>
      </w:r>
      <w:r>
        <w:rPr>
          <w:rFonts w:ascii="sans-serif" w:hAnsi="sans-serif"/>
          <w:b w:val="false"/>
          <w:color w:val="467886"/>
          <w:sz w:val="22"/>
          <w:u w:val="single"/>
        </w:rPr>
        <w:t>@Bakkt</w:t>
      </w:r>
      <w:r>
        <w:rPr>
          <w:color w:val="000000"/>
        </w:rPr>
        <w:t xml:space="preserve"> </w:t>
      </w:r>
      <w:r>
        <w:rPr>
          <w:rFonts w:ascii="sans-serif" w:hAnsi="sans-serif"/>
          <w:b w:val="false"/>
          <w:color w:val="000000"/>
          <w:sz w:val="22"/>
        </w:rPr>
        <w:t xml:space="preserve">| </w:t>
      </w:r>
      <w:r>
        <w:rPr>
          <w:rFonts w:ascii="sans-serif" w:hAnsi="sans-serif"/>
          <w:b w:val="false"/>
          <w:color w:val="467886"/>
          <w:sz w:val="22"/>
          <w:u w:val="single"/>
        </w:rPr>
        <w:t>LinkedIn</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Investor Relations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Yujia Zhai</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Orange Group</w:t>
      </w:r>
    </w:p>
    <w:p>
      <w:pPr>
        <w:pStyle w:val="TextBody"/>
        <w:bidi w:val="0"/>
        <w:spacing w:lineRule="auto" w:line="288" w:before="0" w:after="0"/>
        <w:jc w:val="left"/>
        <w:rPr>
          <w:rFonts w:ascii="sans-serif" w:hAnsi="sans-serif"/>
          <w:b w:val="false"/>
          <w:color w:val="467886"/>
          <w:sz w:val="22"/>
          <w:u w:val="single"/>
        </w:rPr>
      </w:pPr>
      <w:r>
        <w:rPr>
          <w:rFonts w:ascii="sans-serif" w:hAnsi="sans-serif"/>
          <w:b w:val="false"/>
          <w:color w:val="467886"/>
          <w:sz w:val="22"/>
          <w:u w:val="single"/>
        </w:rPr>
        <w:t>yujia@orangegroupadvisors.com</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Media</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LunaLuna PR </w:t>
      </w:r>
    </w:p>
    <w:p>
      <w:pPr>
        <w:pStyle w:val="TextBody"/>
        <w:bidi w:val="0"/>
        <w:spacing w:lineRule="auto" w:line="288" w:before="0" w:after="0"/>
        <w:jc w:val="left"/>
        <w:rPr>
          <w:rFonts w:ascii="sans-serif" w:hAnsi="sans-serif"/>
          <w:b w:val="false"/>
          <w:color w:val="467886"/>
          <w:sz w:val="22"/>
          <w:u w:val="single"/>
        </w:rPr>
      </w:pPr>
      <w:r>
        <w:rPr>
          <w:rFonts w:ascii="sans-serif" w:hAnsi="sans-serif"/>
          <w:b w:val="false"/>
          <w:color w:val="467886"/>
          <w:sz w:val="22"/>
          <w:u w:val="single"/>
        </w:rPr>
        <w:t>Gregor@lunapr.io</w:t>
      </w:r>
    </w:p>
    <w:p>
      <w:pPr>
        <w:pStyle w:val="TextBody"/>
        <w:bidi w:val="0"/>
        <w:spacing w:lineRule="auto" w:line="288" w:before="0" w:after="0"/>
        <w:jc w:val="left"/>
        <w:rPr>
          <w:rFonts w:ascii="sans-serif" w:hAnsi="sans-serif"/>
          <w:b w:val="false"/>
          <w:color w:val="467886"/>
          <w:sz w:val="22"/>
          <w:u w:val="single"/>
        </w:rPr>
      </w:pPr>
      <w:r>
        <w:rPr>
          <w:rFonts w:ascii="sans-serif" w:hAnsi="sans-serif"/>
          <w:b w:val="false"/>
          <w:color w:val="467886"/>
          <w:sz w:val="22"/>
          <w:u w:val="single"/>
        </w:rPr>
        <w:t>Laura@lunapr.io</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Note on Forward-Looking Statements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This release and accompanying remarks contain “forward-looking statements” within the meaning of Section 27A of the U.S. Securities Act of 1933, as amended, and Section 21E of the U.S. Securities Exchange Act of 1934, as amended. Forward-looking statements can be identified by words such as “will,” “likely,” “expect,” “continue,” “anticipate,” “estimate,” “believe,” “intend,” “plan,” “projection,” “outlook,” “grow,” “progress,” “potential” or other variations of these terms, as well as similar expressions that discuss future plans, actions, or events. The absence of such words does not mean that a statement is not forward-looking. These statements are based on the current beliefs and expectations of Bakkt Holdings, Inc. (the “Company”) and are inherently subject to significant business, economic, and competitive uncertainties and contingencies—many of which are difficult to predict and are beyond the Company’s control. Forward-looking statements in this release may include, for example, statements about: expectations regarding the Company’s strategic transformation and completion thereof; future financial and operational performance; expansion of Bakkt Markets, Agent, and Global; anticipated benefits of its investment in Japan and other international markets; product launches and scalability; cost optimization and capital structure; industry growth in stablecoins, tokenization and digital assets; governance initiatives; and regulatory and partnership developments.</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Actual results and the timing of events may differ materially from those anticipated due to a number of factors, including but not limited to: the Company’s ability to grow and manage growth profitably; the possibility that the Company may be unable to obtain the applicable regulatory approvals to execute on the commercial agreement with Distributed Technologies Research Global Ltd. (“DTR”);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the Company's adoption of its updated Investment Policy (“Investment Policy”) and related treasury strategy, including the Company’s ability to successfully consummate acquisitions, integrate or manage investments in potential acquisition targets and investees; the price of digital assets, including Bitcoin; risks associated with owning digital assets, including Bitcoin, including price volatility, limited liquidity and trading </w:t>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and related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and related treasury strategy; the Company’s future capital requirements and sources and uses of cash, including funds to satisfy its liquidity needs; the Company’s ability to raise capital and investments in us, including by our chief executive officer;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w:t>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impact of any goodwill or other intangible assets impairments on the Company’s operating results; certain capabilities and features described under Bakkt Agent which are based on technology licensed from DTR pursuant to the existing commercial agreement, and as a result of Bakkt’s lack of control over DTR, there can be no assurance that DTR will continue to make available, support, or develop the underlying technology necessary for Bakkt Agent’s continued performance; and the Company’s ability to maintain the listing of its securities on the New York Stock Exchange.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These and other risks are detailed in the Company’s filings with the U.S. Securities and Exchange Commission (“SEC”), including its most recent Annual Report on Form 10-K for the year ended December 31, 2024, its Quarterly Reports on Form 10-Q for the quarters ended March 31, 2025, June 30, 2025 and September 30, 2025, and the risk factors regarding the Company’s treasury strategy set forth in Exhibit 99.1 to its Current Report on Form 8-K, filed June 10, 2025.</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You are cautioned not to place undue reliance on forward-looking statements. These statements speak only as of the date of this release, and Bakkt undertakes no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u w:val="single"/>
        </w:rPr>
      </w:pPr>
      <w:r>
        <w:rPr>
          <w:rFonts w:ascii="sans-serif" w:hAnsi="sans-serif"/>
          <w:b/>
          <w:color w:val="000000"/>
          <w:sz w:val="22"/>
          <w:u w:val="single"/>
        </w:rPr>
        <w:t>Bakkt Q3 2025 Financial Statements</w:t>
      </w:r>
    </w:p>
    <w:p>
      <w:pPr>
        <w:pStyle w:val="TextBody"/>
        <w:bidi w:val="0"/>
        <w:spacing w:before="0" w:after="0"/>
        <w:jc w:val="center"/>
        <w:rPr/>
      </w:pPr>
      <w:r>
        <w:rPr/>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 xml:space="preserve">Consolidated Balance Sheets </w:t>
      </w:r>
    </w:p>
    <w:tbl>
      <w:tblPr>
        <w:tblW w:w="10205" w:type="dxa"/>
        <w:jc w:val="left"/>
        <w:tblInd w:w="0" w:type="dxa"/>
        <w:tblLayout w:type="fixed"/>
        <w:tblCellMar>
          <w:top w:w="28" w:type="dxa"/>
          <w:left w:w="28" w:type="dxa"/>
          <w:bottom w:w="28" w:type="dxa"/>
          <w:right w:w="28" w:type="dxa"/>
        </w:tblCellMar>
      </w:tblPr>
      <w:tblGrid>
        <w:gridCol w:w="2987"/>
        <w:gridCol w:w="2329"/>
        <w:gridCol w:w="2340"/>
        <w:gridCol w:w="239"/>
        <w:gridCol w:w="876"/>
        <w:gridCol w:w="115"/>
        <w:gridCol w:w="246"/>
        <w:gridCol w:w="900"/>
        <w:gridCol w:w="173"/>
      </w:tblGrid>
      <w:tr>
        <w:trPr/>
        <w:tc>
          <w:tcPr>
            <w:tcW w:w="2987"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FFFFFF"/>
                <w:sz w:val="18"/>
              </w:rPr>
            </w:pPr>
            <w:r>
              <w:rPr>
                <w:rFonts w:ascii="sans-serif" w:hAnsi="sans-serif"/>
                <w:b/>
                <w:color w:val="FFFFFF"/>
                <w:sz w:val="18"/>
              </w:rPr>
              <w:t>$ in thousands except per share data</w:t>
            </w:r>
          </w:p>
        </w:tc>
        <w:tc>
          <w:tcPr>
            <w:tcW w:w="1230"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As of 9/30/25</w:t>
            </w:r>
          </w:p>
        </w:tc>
        <w:tc>
          <w:tcPr>
            <w:tcW w:w="1319"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As of 12/31/24</w:t>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color w:val="000000"/>
                <w:sz w:val="18"/>
              </w:rPr>
            </w:pPr>
            <w:r>
              <w:rPr>
                <w:rFonts w:ascii="sans-serif" w:hAnsi="sans-serif"/>
                <w:b/>
                <w:color w:val="000000"/>
                <w:sz w:val="18"/>
              </w:rPr>
              <w:t>Assets</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Current assets</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Cash and cash equivalents</w:t>
            </w:r>
          </w:p>
        </w:tc>
        <w:tc>
          <w:tcPr>
            <w:tcW w:w="239" w:type="dxa"/>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w:t>
            </w:r>
          </w:p>
        </w:tc>
        <w:tc>
          <w:tcPr>
            <w:tcW w:w="876" w:type="dxa"/>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58,319 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w:t>
            </w:r>
          </w:p>
        </w:tc>
        <w:tc>
          <w:tcPr>
            <w:tcW w:w="900" w:type="dxa"/>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39,049 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Restricted cash</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6,117 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24,889 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Customer funds</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11,061 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88,566 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Available-for-sale securities</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5,094 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Accounts receivable, net</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12,558 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7,683 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Prepaid insurance</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3,960 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3,971 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Assets of businesses held for sale</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20,879 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19,684</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Other current assets</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2,487 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2,168 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color w:val="000000"/>
                <w:sz w:val="18"/>
              </w:rPr>
            </w:pPr>
            <w:r>
              <w:rPr>
                <w:rFonts w:ascii="sans-serif" w:hAnsi="sans-serif"/>
                <w:b/>
                <w:color w:val="000000"/>
                <w:sz w:val="18"/>
              </w:rPr>
              <w:t>Total current assets</w:t>
            </w:r>
          </w:p>
        </w:tc>
        <w:tc>
          <w:tcPr>
            <w:tcW w:w="12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pPr>
            <w:r>
              <w:rPr>
                <w:color w:val="000000"/>
              </w:rPr>
              <w:t>    </w:t>
            </w:r>
            <w:r>
              <w:rPr>
                <w:rFonts w:ascii="sans-serif" w:hAnsi="sans-serif"/>
                <w:b/>
                <w:color w:val="000000"/>
                <w:sz w:val="18"/>
              </w:rPr>
              <w:t>120,475</w:t>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186,010</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both"/>
              <w:rPr>
                <w:rFonts w:ascii="sans-serif" w:hAnsi="sans-serif"/>
                <w:b w:val="false"/>
                <w:color w:val="000000"/>
                <w:sz w:val="18"/>
              </w:rPr>
            </w:pPr>
            <w:r>
              <w:rPr>
                <w:rFonts w:ascii="sans-serif" w:hAnsi="sans-serif"/>
                <w:b w:val="false"/>
                <w:color w:val="000000"/>
                <w:sz w:val="18"/>
              </w:rPr>
              <w:t>Property, equipment and software, net</w:t>
            </w:r>
          </w:p>
        </w:tc>
        <w:tc>
          <w:tcPr>
            <w:tcW w:w="123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8"/>
              </w:rPr>
              <w:t>1,532</w:t>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2,064 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Goodwill</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64,658 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68,001 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Intangible assets</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5,550 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2,900 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Equity Method Investment</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11,472 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Derivative Asset</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43,350 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Non-current assets held for sale</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3,576 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Other assets</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7,649 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10,403</w:t>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color w:val="000000"/>
                <w:sz w:val="18"/>
              </w:rPr>
            </w:pPr>
            <w:r>
              <w:rPr>
                <w:rFonts w:ascii="sans-serif" w:hAnsi="sans-serif"/>
                <w:b/>
                <w:color w:val="000000"/>
                <w:sz w:val="18"/>
              </w:rPr>
              <w:t>Total assets</w:t>
            </w:r>
          </w:p>
        </w:tc>
        <w:tc>
          <w:tcPr>
            <w:tcW w:w="12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$258,262</w:t>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$269,378</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both"/>
              <w:rPr>
                <w:rFonts w:ascii="sans-serif" w:hAnsi="sans-serif"/>
                <w:b/>
                <w:color w:val="000000"/>
                <w:sz w:val="18"/>
              </w:rPr>
            </w:pPr>
            <w:r>
              <w:rPr>
                <w:rFonts w:ascii="sans-serif" w:hAnsi="sans-serif"/>
                <w:b/>
                <w:color w:val="000000"/>
                <w:sz w:val="18"/>
              </w:rPr>
              <w:t>Liabilities and stockholders' equity</w:t>
            </w:r>
          </w:p>
        </w:tc>
        <w:tc>
          <w:tcPr>
            <w:tcW w:w="1230"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Current liabilities</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Accounts payable and accrued liabilities</w:t>
            </w:r>
          </w:p>
        </w:tc>
        <w:tc>
          <w:tcPr>
            <w:tcW w:w="12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$18,009</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$14,260</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Customer funds payable</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11,061 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88,566 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Deferred revenue, current</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789 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Due to related party</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2,360 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Liabilities of businesses held for sale</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20,852 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33,907</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val="false"/>
                <w:color w:val="000000"/>
                <w:sz w:val="18"/>
              </w:rPr>
            </w:pPr>
            <w:r>
              <w:rPr>
                <w:rFonts w:ascii="sans-serif" w:hAnsi="sans-serif"/>
                <w:b w:val="false"/>
                <w:color w:val="000000"/>
                <w:sz w:val="18"/>
              </w:rPr>
              <w:t>Other current liabilities</w:t>
            </w:r>
          </w:p>
        </w:tc>
        <w:tc>
          <w:tcPr>
            <w:tcW w:w="123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8"/>
              </w:rPr>
              <w:t>3,064</w:t>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4,752 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both"/>
              <w:rPr>
                <w:rFonts w:ascii="sans-serif" w:hAnsi="sans-serif"/>
                <w:b/>
                <w:color w:val="000000"/>
                <w:sz w:val="18"/>
              </w:rPr>
            </w:pPr>
            <w:r>
              <w:rPr>
                <w:rFonts w:ascii="sans-serif" w:hAnsi="sans-serif"/>
                <w:b/>
                <w:color w:val="000000"/>
                <w:sz w:val="18"/>
              </w:rPr>
              <w:t>Total current liabilities</w:t>
            </w:r>
          </w:p>
        </w:tc>
        <w:tc>
          <w:tcPr>
            <w:tcW w:w="12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pPr>
            <w:r>
              <w:rPr>
                <w:color w:val="000000"/>
              </w:rPr>
              <w:t>    </w:t>
            </w:r>
            <w:r>
              <w:rPr>
                <w:rFonts w:ascii="sans-serif" w:hAnsi="sans-serif"/>
                <w:b/>
                <w:color w:val="000000"/>
                <w:sz w:val="18"/>
              </w:rPr>
              <w:t>53,775</w:t>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143,845</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both"/>
              <w:rPr>
                <w:rFonts w:ascii="sans-serif" w:hAnsi="sans-serif"/>
                <w:b w:val="false"/>
                <w:color w:val="000000"/>
                <w:sz w:val="18"/>
              </w:rPr>
            </w:pPr>
            <w:r>
              <w:rPr>
                <w:rFonts w:ascii="sans-serif" w:hAnsi="sans-serif"/>
                <w:b w:val="false"/>
                <w:color w:val="000000"/>
                <w:sz w:val="18"/>
              </w:rPr>
              <w:t>Warrant liability</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60,748 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46,923 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Noncurrent liabilities held for sale</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4,968 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Other noncurrent liabilities</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10,207 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15,757 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color w:val="000000"/>
                <w:sz w:val="18"/>
              </w:rPr>
            </w:pPr>
            <w:r>
              <w:rPr>
                <w:rFonts w:ascii="sans-serif" w:hAnsi="sans-serif"/>
                <w:b/>
                <w:color w:val="000000"/>
                <w:sz w:val="18"/>
              </w:rPr>
              <w:t>Total liabilities</w:t>
            </w:r>
          </w:p>
        </w:tc>
        <w:tc>
          <w:tcPr>
            <w:tcW w:w="12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pPr>
            <w:r>
              <w:rPr>
                <w:color w:val="000000"/>
              </w:rPr>
              <w:t>    </w:t>
            </w:r>
            <w:r>
              <w:rPr>
                <w:rFonts w:ascii="sans-serif" w:hAnsi="sans-serif"/>
                <w:b/>
                <w:color w:val="000000"/>
                <w:sz w:val="18"/>
              </w:rPr>
              <w:t>129,698</w:t>
            </w:r>
          </w:p>
        </w:tc>
        <w:tc>
          <w:tcPr>
            <w:tcW w:w="13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206,525</w:t>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ind w:left="0" w:right="0" w:firstLine="180"/>
              <w:jc w:val="both"/>
              <w:rPr>
                <w:rFonts w:ascii="sans-serif" w:hAnsi="sans-serif"/>
                <w:b/>
                <w:color w:val="000000"/>
                <w:sz w:val="18"/>
              </w:rPr>
            </w:pPr>
            <w:r>
              <w:rPr>
                <w:rFonts w:ascii="sans-serif" w:hAnsi="sans-serif"/>
                <w:b/>
                <w:color w:val="000000"/>
                <w:sz w:val="18"/>
              </w:rPr>
              <w:t>Stockholders' equity</w:t>
            </w:r>
          </w:p>
        </w:tc>
        <w:tc>
          <w:tcPr>
            <w:tcW w:w="12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18"/>
              </w:rPr>
            </w:pPr>
            <w:r>
              <w:rPr>
                <w:rFonts w:ascii="sans-serif" w:hAnsi="sans-serif"/>
                <w:b w:val="false"/>
                <w:color w:val="000000"/>
                <w:sz w:val="18"/>
              </w:rPr>
              <w:t>Class A Common Stock ($0.0001 par value, 560,000,000 shares authorized, 16,466,495 shares issued and outstanding as of September 30, 2025 and 6,510,885 shares issued and outstanding as of December 31, 2024)</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18"/>
              </w:rPr>
            </w:pPr>
            <w:r>
              <w:rPr>
                <w:rFonts w:ascii="sans-serif" w:hAnsi="sans-serif"/>
                <w:b w:val="false"/>
                <w:color w:val="000000"/>
                <w:sz w:val="18"/>
              </w:rPr>
              <w:t>Class V Common Stock ($0.0001 par value, 10,000,000 shares authorized, 7,174,575 shares issued and outstanding as of September 30, 2025 and 7,178,303 shares issued and outstanding as of December 31, 2024)</w:t>
            </w:r>
          </w:p>
        </w:tc>
        <w:tc>
          <w:tcPr>
            <w:tcW w:w="111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Additional paid-in capital</w:t>
            </w:r>
          </w:p>
        </w:tc>
        <w:tc>
          <w:tcPr>
            <w:tcW w:w="1230"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8"/>
              </w:rPr>
              <w:t>934,896</w:t>
            </w:r>
          </w:p>
        </w:tc>
        <w:tc>
          <w:tcPr>
            <w:tcW w:w="11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832,693 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353" w:type="dxa"/>
        <w:jc w:val="left"/>
        <w:tblInd w:w="0" w:type="dxa"/>
        <w:tblLayout w:type="fixed"/>
        <w:tblCellMar>
          <w:top w:w="28" w:type="dxa"/>
          <w:left w:w="28" w:type="dxa"/>
          <w:bottom w:w="28" w:type="dxa"/>
          <w:right w:w="28" w:type="dxa"/>
        </w:tblCellMar>
      </w:tblPr>
      <w:tblGrid>
        <w:gridCol w:w="1772"/>
        <w:gridCol w:w="1557"/>
        <w:gridCol w:w="1560"/>
        <w:gridCol w:w="529"/>
        <w:gridCol w:w="531"/>
        <w:gridCol w:w="215"/>
        <w:gridCol w:w="516"/>
        <w:gridCol w:w="51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Accumulated other comprehensive loss</w:t>
            </w:r>
          </w:p>
        </w:tc>
        <w:tc>
          <w:tcPr>
            <w:tcW w:w="106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(603)</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val="false"/>
                <w:color w:val="000000"/>
                <w:sz w:val="18"/>
              </w:rPr>
            </w:pPr>
            <w:r>
              <w:rPr>
                <w:rFonts w:ascii="sans-serif" w:hAnsi="sans-serif"/>
                <w:b w:val="false"/>
                <w:color w:val="000000"/>
                <w:sz w:val="18"/>
              </w:rPr>
              <w:t>Accumulated deficit</w:t>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8"/>
              </w:rPr>
              <w:t>(819,902)</w:t>
            </w:r>
          </w:p>
        </w:tc>
        <w:tc>
          <w:tcPr>
            <w:tcW w:w="103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(797,960)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color w:val="000000"/>
                <w:sz w:val="18"/>
              </w:rPr>
            </w:pPr>
            <w:r>
              <w:rPr>
                <w:rFonts w:ascii="sans-serif" w:hAnsi="sans-serif"/>
                <w:b/>
                <w:color w:val="000000"/>
                <w:sz w:val="18"/>
              </w:rPr>
              <w:t>Total Bakkt Holdings, Inc. stockholders' equity</w:t>
            </w:r>
          </w:p>
        </w:tc>
        <w:tc>
          <w:tcPr>
            <w:tcW w:w="12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pPr>
            <w:r>
              <w:rPr>
                <w:color w:val="000000"/>
              </w:rPr>
              <w:t>    </w:t>
            </w:r>
            <w:r>
              <w:rPr>
                <w:rFonts w:ascii="sans-serif" w:hAnsi="sans-serif"/>
                <w:b/>
                <w:color w:val="000000"/>
                <w:sz w:val="18"/>
              </w:rPr>
              <w:t>114,394</w:t>
            </w:r>
          </w:p>
        </w:tc>
        <w:tc>
          <w:tcPr>
            <w:tcW w:w="1035"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pPr>
            <w:r>
              <w:rPr>
                <w:rFonts w:ascii="sans-serif" w:hAnsi="sans-serif"/>
                <w:b/>
                <w:color w:val="000000"/>
                <w:sz w:val="18"/>
              </w:rPr>
              <w:t>33,894</w:t>
            </w:r>
            <w:r>
              <w:rPr>
                <w:color w:val="000000"/>
              </w:rPr>
              <w:t>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both"/>
              <w:rPr>
                <w:rFonts w:ascii="sans-serif" w:hAnsi="sans-serif"/>
                <w:b w:val="false"/>
                <w:color w:val="000000"/>
                <w:sz w:val="18"/>
              </w:rPr>
            </w:pPr>
            <w:r>
              <w:rPr>
                <w:rFonts w:ascii="sans-serif" w:hAnsi="sans-serif"/>
                <w:b w:val="false"/>
                <w:color w:val="000000"/>
                <w:sz w:val="18"/>
              </w:rPr>
              <w:t>Noncontrolling interest</w:t>
            </w:r>
          </w:p>
        </w:tc>
        <w:tc>
          <w:tcPr>
            <w:tcW w:w="127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8"/>
              </w:rPr>
              <w:t>14,170</w:t>
            </w:r>
          </w:p>
        </w:tc>
        <w:tc>
          <w:tcPr>
            <w:tcW w:w="1035"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28,959 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sans-serif" w:hAnsi="sans-serif"/>
                <w:b/>
                <w:color w:val="000000"/>
                <w:sz w:val="18"/>
              </w:rPr>
            </w:pPr>
            <w:r>
              <w:rPr>
                <w:rFonts w:ascii="sans-serif" w:hAnsi="sans-serif"/>
                <w:b/>
                <w:color w:val="000000"/>
                <w:sz w:val="18"/>
              </w:rPr>
              <w:t>Total equity</w:t>
            </w:r>
          </w:p>
        </w:tc>
        <w:tc>
          <w:tcPr>
            <w:tcW w:w="12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128,564</w:t>
            </w:r>
          </w:p>
        </w:tc>
        <w:tc>
          <w:tcPr>
            <w:tcW w:w="1035"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62,853 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sans-serif" w:hAnsi="sans-serif"/>
                <w:b/>
                <w:color w:val="000000"/>
                <w:sz w:val="18"/>
              </w:rPr>
              <w:t>Total</w:t>
            </w:r>
            <w:r>
              <w:rPr>
                <w:color w:val="000000"/>
              </w:rPr>
              <w:t xml:space="preserve"> </w:t>
            </w:r>
            <w:r>
              <w:rPr>
                <w:rFonts w:ascii="sans-serif" w:hAnsi="sans-serif"/>
                <w:b/>
                <w:color w:val="000000"/>
                <w:sz w:val="18"/>
              </w:rPr>
              <w:t>liabilities and stockholders' equity</w:t>
            </w:r>
          </w:p>
        </w:tc>
        <w:tc>
          <w:tcPr>
            <w:tcW w:w="12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$258,262</w:t>
            </w:r>
          </w:p>
        </w:tc>
        <w:tc>
          <w:tcPr>
            <w:tcW w:w="11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$269,378</w:t>
            </w:r>
          </w:p>
        </w:tc>
      </w:tr>
      <w:tr>
        <w:trPr/>
        <w:tc>
          <w:tcPr>
            <w:tcW w:w="488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center"/>
        <w:rPr>
          <w:rFonts w:ascii="sans-serif" w:hAnsi="sans-serif"/>
          <w:b/>
          <w:color w:val="000000"/>
          <w:sz w:val="22"/>
        </w:rPr>
      </w:pPr>
      <w:r>
        <w:rPr>
          <w:rFonts w:ascii="sans-serif" w:hAnsi="sans-serif"/>
          <w:b/>
          <w:color w:val="000000"/>
          <w:sz w:val="22"/>
        </w:rPr>
        <w:t>Consolidated Statements of Operations</w:t>
      </w:r>
    </w:p>
    <w:tbl>
      <w:tblPr>
        <w:tblW w:w="8502" w:type="dxa"/>
        <w:jc w:val="left"/>
        <w:tblInd w:w="0" w:type="dxa"/>
        <w:tblLayout w:type="fixed"/>
        <w:tblCellMar>
          <w:top w:w="28" w:type="dxa"/>
          <w:left w:w="28" w:type="dxa"/>
          <w:bottom w:w="28" w:type="dxa"/>
          <w:right w:w="28" w:type="dxa"/>
        </w:tblCellMar>
      </w:tblPr>
      <w:tblGrid>
        <w:gridCol w:w="2135"/>
        <w:gridCol w:w="1875"/>
        <w:gridCol w:w="1885"/>
        <w:gridCol w:w="226"/>
        <w:gridCol w:w="946"/>
        <w:gridCol w:w="109"/>
        <w:gridCol w:w="226"/>
        <w:gridCol w:w="94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FFFFFF"/>
                <w:sz w:val="18"/>
              </w:rPr>
            </w:pPr>
            <w:r>
              <w:rPr>
                <w:rFonts w:ascii="sans-serif" w:hAnsi="sans-serif"/>
                <w:b/>
                <w:color w:val="FFFFFF"/>
                <w:sz w:val="18"/>
              </w:rPr>
              <w:t>$ in thousands except per share data</w:t>
            </w:r>
          </w:p>
        </w:tc>
        <w:tc>
          <w:tcPr>
            <w:tcW w:w="128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3Q25</w:t>
            </w:r>
          </w:p>
        </w:tc>
        <w:tc>
          <w:tcPr>
            <w:tcW w:w="1326"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3Q24</w:t>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Revenues: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Crypto services</w:t>
            </w:r>
          </w:p>
        </w:tc>
        <w:tc>
          <w:tcPr>
            <w:tcW w:w="226" w:type="dxa"/>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402,211 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316,333 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sans-serif" w:hAnsi="sans-serif"/>
                <w:b/>
                <w:color w:val="000000"/>
                <w:sz w:val="18"/>
              </w:rPr>
            </w:pPr>
            <w:r>
              <w:rPr>
                <w:rFonts w:ascii="sans-serif" w:hAnsi="sans-serif"/>
                <w:b/>
                <w:color w:val="000000"/>
                <w:sz w:val="18"/>
              </w:rPr>
              <w:t>Total revenues and gains from operations</w:t>
            </w:r>
          </w:p>
        </w:tc>
        <w:tc>
          <w:tcPr>
            <w:tcW w:w="117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pPr>
            <w:r>
              <w:rPr>
                <w:rFonts w:ascii="sans-serif" w:hAnsi="sans-serif"/>
                <w:b/>
                <w:color w:val="000000"/>
                <w:sz w:val="18"/>
              </w:rPr>
              <w:t>402,211</w:t>
            </w:r>
            <w:r>
              <w:rPr>
                <w:color w:val="000000"/>
              </w:rPr>
              <w:t> </w:t>
            </w:r>
          </w:p>
        </w:tc>
        <w:tc>
          <w:tcPr>
            <w:tcW w:w="109"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pPr>
            <w:r>
              <w:rPr>
                <w:rFonts w:ascii="sans-serif" w:hAnsi="sans-serif"/>
                <w:b/>
                <w:color w:val="000000"/>
                <w:sz w:val="18"/>
              </w:rPr>
              <w:t>316,333</w:t>
            </w:r>
            <w:r>
              <w:rPr>
                <w:color w:val="000000"/>
              </w:rPr>
              <w:t> </w:t>
            </w:r>
          </w:p>
        </w:tc>
        <w:tc>
          <w:tcPr>
            <w:tcW w:w="15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Operating expenses:</w:t>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Crypto costs</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396,815 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312,841 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Execution, clearing and brokerage fees</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2,207 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Compensation and benefits</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8,084</w:t>
            </w:r>
          </w:p>
        </w:tc>
        <w:tc>
          <w:tcPr>
            <w:tcW w:w="13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9,868</w:t>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Professional services</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5,282 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Technology and communication</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2,158 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Selling, general and administrative</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7,830 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Depreciation and amortization</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Related party expenses</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Impairment of long-lived assets</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Restructuring expenses</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5,107</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Other operating expenses</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sans-serif" w:hAnsi="sans-serif"/>
                <w:b w:val="false"/>
                <w:color w:val="000000"/>
                <w:sz w:val="18"/>
              </w:rPr>
            </w:pPr>
            <w:r>
              <w:rPr>
                <w:rFonts w:ascii="sans-serif" w:hAnsi="sans-serif"/>
                <w:b w:val="false"/>
                <w:color w:val="000000"/>
                <w:sz w:val="18"/>
              </w:rPr>
              <w:t>Total operating expenses</w:t>
            </w:r>
          </w:p>
        </w:tc>
        <w:tc>
          <w:tcPr>
            <w:tcW w:w="12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427,474</w:t>
            </w:r>
          </w:p>
        </w:tc>
        <w:tc>
          <w:tcPr>
            <w:tcW w:w="13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341,470</w:t>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8"/>
              </w:rPr>
            </w:pPr>
            <w:r>
              <w:rPr>
                <w:rFonts w:ascii="sans-serif" w:hAnsi="sans-serif"/>
                <w:b/>
                <w:color w:val="000000"/>
                <w:sz w:val="18"/>
              </w:rPr>
              <w:t>Operating loss from continuing operations</w:t>
            </w:r>
          </w:p>
        </w:tc>
        <w:tc>
          <w:tcPr>
            <w:tcW w:w="12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(25,263)</w:t>
            </w:r>
          </w:p>
        </w:tc>
        <w:tc>
          <w:tcPr>
            <w:tcW w:w="13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(25,137)</w:t>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Interest (expense) income, net</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(Loss) gain from change in fair value of warrant liability</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(37,187)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19,984 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Other (expense) income, net</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40,921</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8"/>
              </w:rPr>
            </w:pPr>
            <w:r>
              <w:rPr>
                <w:rFonts w:ascii="sans-serif" w:hAnsi="sans-serif"/>
                <w:b/>
                <w:color w:val="000000"/>
                <w:sz w:val="18"/>
              </w:rPr>
              <w:t>Loss from continuing operations before income taxes</w:t>
            </w:r>
          </w:p>
        </w:tc>
        <w:tc>
          <w:tcPr>
            <w:tcW w:w="12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(21,579)</w:t>
            </w:r>
          </w:p>
        </w:tc>
        <w:tc>
          <w:tcPr>
            <w:tcW w:w="13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(3,876)</w:t>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sans-serif" w:hAnsi="sans-serif"/>
                <w:b w:val="false"/>
                <w:color w:val="000000"/>
                <w:sz w:val="18"/>
              </w:rPr>
            </w:pPr>
            <w:r>
              <w:rPr>
                <w:rFonts w:ascii="sans-serif" w:hAnsi="sans-serif"/>
                <w:b w:val="false"/>
                <w:color w:val="000000"/>
                <w:sz w:val="18"/>
              </w:rPr>
              <w:t>Income tax (expense) benefit</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8"/>
              </w:rPr>
            </w:pPr>
            <w:r>
              <w:rPr>
                <w:rFonts w:ascii="sans-serif" w:hAnsi="sans-serif"/>
                <w:b/>
                <w:color w:val="000000"/>
                <w:sz w:val="18"/>
              </w:rPr>
              <w:t>Net loss from continuing operations</w:t>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(21,554)</w:t>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(3,763)</w:t>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Net loss from discontinued operations, net of tax</w:t>
            </w:r>
          </w:p>
        </w:tc>
        <w:tc>
          <w:tcPr>
            <w:tcW w:w="1172"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(1,602)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(2,528)</w:t>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Net loss</w:t>
            </w:r>
          </w:p>
        </w:tc>
        <w:tc>
          <w:tcPr>
            <w:tcW w:w="11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color w:val="000000"/>
                <w:sz w:val="18"/>
              </w:rPr>
            </w:pPr>
            <w:r>
              <w:rPr>
                <w:rFonts w:ascii="sans-serif" w:hAnsi="sans-serif"/>
                <w:b/>
                <w:color w:val="000000"/>
                <w:sz w:val="18"/>
              </w:rPr>
              <w:t>(23,156)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(6,291)</w:t>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Less: Net loss attributable to noncontrolling interest</w:t>
            </w:r>
          </w:p>
        </w:tc>
        <w:tc>
          <w:tcPr>
            <w:tcW w:w="1281"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(8,238)</w:t>
            </w:r>
          </w:p>
        </w:tc>
        <w:tc>
          <w:tcPr>
            <w:tcW w:w="1172" w:type="dxa"/>
            <w:gridSpan w:val="2"/>
            <w:tcBorders>
              <w:top w:val="double" w:sz="5"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(3,398)</w:t>
            </w:r>
          </w:p>
        </w:tc>
        <w:tc>
          <w:tcPr>
            <w:tcW w:w="154" w:type="dxa"/>
            <w:tcBorders>
              <w:top w:val="double" w:sz="5"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Net loss attributable to Bakkt Holdings, Inc.</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color w:val="000000"/>
                <w:sz w:val="18"/>
              </w:rPr>
            </w:pPr>
            <w:r>
              <w:rPr>
                <w:rFonts w:ascii="sans-serif" w:hAnsi="sans-serif"/>
                <w:b/>
                <w:color w:val="000000"/>
                <w:sz w:val="18"/>
              </w:rPr>
              <w:t>(14,918)</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$(2,893)</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Net loss per share attributable to Class A Common Stockholders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sans-serif" w:hAnsi="sans-serif"/>
                <w:b w:val="false"/>
                <w:color w:val="000000"/>
                <w:sz w:val="18"/>
              </w:rPr>
            </w:pPr>
            <w:r>
              <w:rPr>
                <w:rFonts w:ascii="sans-serif" w:hAnsi="sans-serif"/>
                <w:b w:val="false"/>
                <w:color w:val="000000"/>
                <w:sz w:val="18"/>
              </w:rPr>
              <w:t>Basic and diluted</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sans-serif" w:hAnsi="sans-serif"/>
                <w:b w:val="false"/>
                <w:color w:val="000000"/>
                <w:sz w:val="18"/>
              </w:rPr>
              <w:t>$</w:t>
            </w:r>
            <w:r>
              <w:rPr>
                <w:color w:val="000000"/>
              </w:rPr>
              <w:t>    </w:t>
            </w:r>
            <w:r>
              <w:rPr>
                <w:rFonts w:ascii="sans-serif" w:hAnsi="sans-serif"/>
                <w:b w:val="false"/>
                <w:color w:val="000000"/>
                <w:sz w:val="18"/>
              </w:rPr>
              <w:t>(1.15)</w:t>
            </w:r>
          </w:p>
        </w:tc>
        <w:tc>
          <w:tcPr>
            <w:tcW w:w="1326"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sans-serif" w:hAnsi="sans-serif"/>
                <w:b w:val="false"/>
                <w:color w:val="000000"/>
                <w:sz w:val="18"/>
              </w:rPr>
              <w:t>$(0.45)</w:t>
            </w:r>
          </w:p>
        </w:tc>
      </w:tr>
      <w:tr>
        <w:trPr/>
        <w:tc>
          <w:tcPr>
            <w:tcW w:w="5895"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4" w:before="0" w:after="160"/>
        <w:jc w:val="center"/>
        <w:rPr>
          <w:rFonts w:ascii="sans-serif" w:hAnsi="sans-serif"/>
          <w:b/>
          <w:color w:val="000000"/>
          <w:sz w:val="22"/>
        </w:rPr>
      </w:pPr>
      <w:r>
        <w:rPr>
          <w:rFonts w:ascii="sans-serif" w:hAnsi="sans-serif"/>
          <w:b/>
          <w:color w:val="000000"/>
          <w:sz w:val="22"/>
        </w:rPr>
        <w:t>Consolidated Statements of Cash Flows</w:t>
      </w:r>
    </w:p>
    <w:tbl>
      <w:tblPr>
        <w:tblW w:w="10205" w:type="dxa"/>
        <w:jc w:val="left"/>
        <w:tblInd w:w="0" w:type="dxa"/>
        <w:tblLayout w:type="fixed"/>
        <w:tblCellMar>
          <w:top w:w="28" w:type="dxa"/>
          <w:left w:w="28" w:type="dxa"/>
          <w:bottom w:w="28" w:type="dxa"/>
          <w:right w:w="28" w:type="dxa"/>
        </w:tblCellMar>
      </w:tblPr>
      <w:tblGrid>
        <w:gridCol w:w="2211"/>
        <w:gridCol w:w="1837"/>
        <w:gridCol w:w="1847"/>
        <w:gridCol w:w="758"/>
        <w:gridCol w:w="682"/>
        <w:gridCol w:w="684"/>
        <w:gridCol w:w="384"/>
        <w:gridCol w:w="1537"/>
        <w:gridCol w:w="265"/>
      </w:tblGrid>
      <w:tr>
        <w:trPr/>
        <w:tc>
          <w:tcPr>
            <w:tcW w:w="221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op w:val="single" w:sz="6" w:space="0" w:color="000000"/>
              <w:left w:val="single" w:sz="6" w:space="0" w:color="000000"/>
            </w:tcBorders>
            <w:shd w:fill="000000" w:val="clear"/>
            <w:tcMar>
              <w:top w:w="30" w:type="dxa"/>
              <w:bottom w:w="0" w:type="dxa"/>
              <w:right w:w="0" w:type="dxa"/>
            </w:tcMar>
            <w:vAlign w:val="center"/>
          </w:tcPr>
          <w:p>
            <w:pPr>
              <w:pStyle w:val="TableContents"/>
              <w:bidi w:val="0"/>
              <w:spacing w:lineRule="auto" w:line="321" w:before="0" w:after="283"/>
              <w:jc w:val="left"/>
              <w:rPr>
                <w:color w:val="FFFFFF"/>
              </w:rPr>
            </w:pPr>
            <w:r>
              <w:rPr>
                <w:color w:val="FFFFFF"/>
              </w:rPr>
              <w:t> </w:t>
            </w:r>
            <w:r>
              <w:rPr>
                <w:rFonts w:ascii="sans-serif" w:hAnsi="sans-serif"/>
                <w:b/>
                <w:color w:val="FFFFFF"/>
                <w:sz w:val="18"/>
              </w:rPr>
              <w:t>$ in thousands</w:t>
            </w:r>
          </w:p>
        </w:tc>
        <w:tc>
          <w:tcPr>
            <w:tcW w:w="2124" w:type="dxa"/>
            <w:gridSpan w:val="3"/>
            <w:tcBorders>
              <w:top w:val="single" w:sz="6" w:space="0" w:color="000000"/>
              <w:left w:val="single" w:sz="6" w:space="0" w:color="000000"/>
            </w:tcBorders>
            <w:shd w:fill="000000"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9 Months Ended 9/30/25</w:t>
            </w:r>
          </w:p>
        </w:tc>
        <w:tc>
          <w:tcPr>
            <w:tcW w:w="2186" w:type="dxa"/>
            <w:gridSpan w:val="3"/>
            <w:tcBorders>
              <w:top w:val="single" w:sz="6" w:space="0" w:color="000000"/>
              <w:left w:val="single" w:sz="6" w:space="0" w:color="000000"/>
            </w:tcBorders>
            <w:shd w:fill="000000"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9 Months Ended 9/30/24</w:t>
            </w:r>
          </w:p>
        </w:tc>
      </w:tr>
      <w:tr>
        <w:trPr/>
        <w:tc>
          <w:tcPr>
            <w:tcW w:w="58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color w:val="000000"/>
                <w:sz w:val="18"/>
              </w:rPr>
              <w:t>Cash flows from operating activities:</w:t>
            </w:r>
          </w:p>
        </w:tc>
        <w:tc>
          <w:tcPr>
            <w:tcW w:w="21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val="false"/>
                <w:color w:val="000000"/>
                <w:sz w:val="18"/>
              </w:rPr>
              <w:t>Net loss</w:t>
            </w:r>
          </w:p>
        </w:tc>
        <w:tc>
          <w:tcPr>
            <w:tcW w:w="212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 xml:space="preserve">$(37,069) </w:t>
            </w:r>
          </w:p>
        </w:tc>
        <w:tc>
          <w:tcPr>
            <w:tcW w:w="384" w:type="dxa"/>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(63,078)</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Adjustments to reconcile net loss to net cash used in operating activities:</w:t>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527 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281 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Non-cash lease expense</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832 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989 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17,797 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13,049 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Impairment of long-lived assets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708 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889 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Loss on sale of Bakkt Trust</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2,301 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Gain on lease assignment</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(1,755)</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(Gain) loss from change in fair value of warrant liability</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13,543 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(13,916)</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Loss on disposal of convertible debenture</w:t>
            </w:r>
          </w:p>
        </w:tc>
        <w:tc>
          <w:tcPr>
            <w:tcW w:w="212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2,617</w:t>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Change in fair value of derivative asset</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(43,350)</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Other</w:t>
            </w:r>
          </w:p>
        </w:tc>
        <w:tc>
          <w:tcPr>
            <w:tcW w:w="212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537</w:t>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Accounts receivable</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(7,321)</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3,679 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Prepaid insurance</w:t>
            </w:r>
          </w:p>
        </w:tc>
        <w:tc>
          <w:tcPr>
            <w:tcW w:w="212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12</w:t>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7,430 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Accounts payable and accrued liabilities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(3,352)</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(13,679)</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Due to related party</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(2,360)</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(570)</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Deferred revenue</w:t>
            </w:r>
          </w:p>
        </w:tc>
        <w:tc>
          <w:tcPr>
            <w:tcW w:w="212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(133)</w:t>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(2,877)</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(3,572)</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(2,619)</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Customer funds payable</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(77,505)</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18,625 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Assets and liabilities of businesses held for sale</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(3,476)</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Other assets and liabilities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(1,567)</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(810)</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Net cash (used in operating activities</w:t>
            </w:r>
          </w:p>
        </w:tc>
        <w:tc>
          <w:tcPr>
            <w:tcW w:w="21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(142,586)</w:t>
            </w:r>
          </w:p>
        </w:tc>
        <w:tc>
          <w:tcPr>
            <w:tcW w:w="192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(52,605)</w:t>
            </w:r>
          </w:p>
        </w:tc>
        <w:tc>
          <w:tcPr>
            <w:tcW w:w="2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color w:val="000000"/>
                <w:sz w:val="18"/>
              </w:rPr>
              <w:t>Cash flows from investing activities:</w:t>
            </w:r>
          </w:p>
        </w:tc>
        <w:tc>
          <w:tcPr>
            <w:tcW w:w="21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Capitalized internal-use software development costs and other capital expenditures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(703)</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(2,779)</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Purchase of available-for-sale securities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(5,094)</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(25,986)</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from the settlement of available-for-sale securities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36,660 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from Sale of Bakkt Trust</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4,518 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Purchase of intangible assets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(2,650)</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Purchase of equity method investment</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(11,472)</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val="false"/>
                <w:color w:val="000000"/>
                <w:sz w:val="18"/>
              </w:rPr>
              <w:t>Net cash used in investing activities</w:t>
            </w:r>
          </w:p>
        </w:tc>
        <w:tc>
          <w:tcPr>
            <w:tcW w:w="1440"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(15,401)</w:t>
            </w:r>
          </w:p>
        </w:tc>
        <w:tc>
          <w:tcPr>
            <w:tcW w:w="68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7,895 </w:t>
            </w:r>
          </w:p>
        </w:tc>
        <w:tc>
          <w:tcPr>
            <w:tcW w:w="26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color w:val="000000"/>
                <w:sz w:val="18"/>
              </w:rPr>
              <w:t>Cash flows from financing activities:</w:t>
            </w:r>
          </w:p>
        </w:tc>
        <w:tc>
          <w:tcPr>
            <w:tcW w:w="21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from Concurrent Offerings, net of issuance costs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46,505 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from the exercise of warrants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Withholding tax payments on net share settlements on equity awards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(3,417)</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(2,430)</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Proceeds from Common Stock Issuance, net of issuance costs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62,961 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from exercise of pre-funded warrants</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7,464 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Repayment of Convertible Debenture</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(7,875)</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from borrowings on revolving credit facility</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5,000 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on revolving credit facility</w:t>
            </w:r>
          </w:p>
        </w:tc>
        <w:tc>
          <w:tcPr>
            <w:tcW w:w="144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(5,000)</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53"/>
        <w:gridCol w:w="2471"/>
        <w:gridCol w:w="2483"/>
        <w:gridCol w:w="473"/>
        <w:gridCol w:w="473"/>
        <w:gridCol w:w="109"/>
        <w:gridCol w:w="226"/>
        <w:gridCol w:w="961"/>
        <w:gridCol w:w="156"/>
      </w:tblGrid>
      <w:tr>
        <w:trPr/>
        <w:tc>
          <w:tcPr>
            <w:tcW w:w="2853"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Proceeds from issuance of convertible debentures, net of issuance costs</w:t>
            </w:r>
          </w:p>
        </w:tc>
        <w:tc>
          <w:tcPr>
            <w:tcW w:w="9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22,220 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Net cash provided by financing activities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81,354</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44,078 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Effect of exchange rate changes</w:t>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(373)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Net (decrease) increase in cash, cash equivalents, restricted cash, customer funds and deposits</w:t>
            </w:r>
          </w:p>
        </w:tc>
        <w:tc>
          <w:tcPr>
            <w:tcW w:w="1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(76,041)</w:t>
            </w:r>
          </w:p>
        </w:tc>
        <w:tc>
          <w:tcPr>
            <w:tcW w:w="118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(1,005)</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val="false"/>
                <w:color w:val="000000"/>
                <w:sz w:val="18"/>
              </w:rPr>
              <w:t>Cash, cash equivalents, restricted cash, customer funds and deposits at the beginning of the period</w:t>
            </w:r>
          </w:p>
        </w:tc>
        <w:tc>
          <w:tcPr>
            <w:tcW w:w="94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153,746 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118,498 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bottom w:val="double" w:sz="5" w:space="0" w:color="000000"/>
            </w:tcBorders>
            <w:tcMar>
              <w:top w:w="0" w:type="dxa"/>
              <w:left w:w="0" w:type="dxa"/>
              <w:bottom w:w="30" w:type="dxa"/>
              <w:right w:w="0" w:type="dxa"/>
            </w:tcMar>
            <w:vAlign w:val="center"/>
          </w:tcPr>
          <w:p>
            <w:pPr>
              <w:pStyle w:val="TableContents"/>
              <w:bidi w:val="0"/>
              <w:spacing w:lineRule="auto" w:line="321" w:before="0" w:after="283"/>
              <w:jc w:val="left"/>
              <w:rPr>
                <w:color w:val="000000"/>
              </w:rPr>
            </w:pPr>
            <w:r>
              <w:rPr>
                <w:color w:val="000000"/>
              </w:rPr>
              <w:t> </w:t>
            </w:r>
            <w:r>
              <w:rPr>
                <w:rFonts w:ascii="sans-serif" w:hAnsi="sans-serif"/>
                <w:b/>
                <w:color w:val="000000"/>
                <w:sz w:val="18"/>
              </w:rPr>
              <w:t>Cash, cash equivalents, restricted cash, customer funds and deposits at the end of the period</w:t>
            </w:r>
          </w:p>
        </w:tc>
        <w:tc>
          <w:tcPr>
            <w:tcW w:w="1055" w:type="dxa"/>
            <w:gridSpan w:val="3"/>
            <w:tcBorders>
              <w:top w:val="single" w:sz="6"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$77,705</w:t>
            </w:r>
          </w:p>
        </w:tc>
        <w:tc>
          <w:tcPr>
            <w:tcW w:w="226" w:type="dxa"/>
            <w:tcBorders>
              <w:top w:val="single" w:sz="6" w:space="0" w:color="000000"/>
              <w:bottom w:val="double" w:sz="5" w:space="0" w:color="000000"/>
            </w:tcBorders>
            <w:tcMar>
              <w:top w:w="30" w:type="dxa"/>
              <w:left w:w="0" w:type="dxa"/>
              <w:bottom w:w="3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w:t>
            </w:r>
          </w:p>
        </w:tc>
        <w:tc>
          <w:tcPr>
            <w:tcW w:w="961" w:type="dxa"/>
            <w:tcBorders>
              <w:top w:val="single" w:sz="6" w:space="0" w:color="000000"/>
              <w:bottom w:val="double" w:sz="5" w:space="0" w:color="000000"/>
            </w:tcBorders>
            <w:tcMar>
              <w:top w:w="30" w:type="dxa"/>
              <w:left w:w="0" w:type="dxa"/>
              <w:bottom w:w="30" w:type="dxa"/>
              <w:right w:w="0" w:type="dxa"/>
            </w:tcMar>
            <w:vAlign w:val="center"/>
          </w:tcPr>
          <w:p>
            <w:pPr>
              <w:pStyle w:val="TableContents"/>
              <w:bidi w:val="0"/>
              <w:spacing w:lineRule="auto" w:line="321" w:before="0" w:after="283"/>
              <w:jc w:val="right"/>
              <w:rPr/>
            </w:pPr>
            <w:r>
              <w:rPr>
                <w:rFonts w:ascii="sans-serif" w:hAnsi="sans-serif"/>
                <w:b/>
                <w:color w:val="000000"/>
                <w:sz w:val="18"/>
              </w:rPr>
              <w:t>117,493</w:t>
            </w:r>
            <w:r>
              <w:rPr>
                <w:color w:val="000000"/>
              </w:rPr>
              <w:t> </w:t>
            </w:r>
          </w:p>
        </w:tc>
        <w:tc>
          <w:tcPr>
            <w:tcW w:w="156" w:type="dxa"/>
            <w:tcBorders>
              <w:top w:val="single" w:sz="6" w:space="0" w:color="000000"/>
              <w:bottom w:val="double" w:sz="5"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Reconciliation of Non-GAAP Financial Measures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This release includes discussions of non-GAAP financial measures such as Adjusted net income (loss) from continuing operations, EBITDA and Adjusted EBITDA, which are financial measures that are not calculated in accordance with GAAP. These non-GAAP measures have no standardized meaning and are not defined under GAAP and, therefore, may not be comparable to similar measures presented by other companies. The presentation of these Non-GAAP measures is not intended to be considered in isolation from, as a substitute for, or as superior to the financial information presented in accordance with GAAP. The Company uses non-GAAP financial measures to assist in evaluating its performance for purposes of business decision-making. The Company believes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 These measures are provided on a supplemental basis for transparency and comparability, and do not modify reported GAAP revenue.</w:t>
      </w:r>
    </w:p>
    <w:p>
      <w:pPr>
        <w:pStyle w:val="TextBody"/>
        <w:bidi w:val="0"/>
        <w:spacing w:before="0" w:after="0"/>
        <w:jc w:val="left"/>
        <w:rPr/>
      </w:pPr>
      <w:r>
        <w:rPr/>
      </w:r>
    </w:p>
    <w:p>
      <w:pPr>
        <w:pStyle w:val="TextBody"/>
        <w:bidi w:val="0"/>
        <w:spacing w:lineRule="auto" w:line="288" w:before="0" w:after="0"/>
        <w:jc w:val="left"/>
        <w:rPr>
          <w:rFonts w:ascii="sans-serif" w:hAnsi="sans-serif"/>
          <w:b w:val="false"/>
          <w:i/>
          <w:color w:val="000000"/>
          <w:sz w:val="22"/>
          <w:shd w:fill="FFFFFF" w:val="clear"/>
        </w:rPr>
      </w:pPr>
      <w:r>
        <w:rPr>
          <w:rFonts w:ascii="sans-serif" w:hAnsi="sans-serif"/>
          <w:b w:val="false"/>
          <w:i/>
          <w:color w:val="000000"/>
          <w:sz w:val="22"/>
          <w:shd w:fill="FFFFFF" w:val="clear"/>
        </w:rPr>
        <w:t>EBITDA and Adjusted EBITDA</w:t>
      </w:r>
    </w:p>
    <w:p>
      <w:pPr>
        <w:pStyle w:val="TextBody"/>
        <w:bidi w:val="0"/>
        <w:spacing w:lineRule="auto" w:line="288" w:before="0" w:after="0"/>
        <w:jc w:val="left"/>
        <w:rPr/>
      </w:pPr>
      <w:r>
        <w:rPr>
          <w:rFonts w:ascii="sans-serif" w:hAnsi="sans-serif"/>
          <w:b w:val="false"/>
          <w:color w:val="000000"/>
          <w:sz w:val="22"/>
          <w:shd w:fill="FFFFFF" w:val="clear"/>
        </w:rPr>
        <w:t>Non-GAAP financial measures like EBITDA and Adjusted EBITDA have no standardized meanings and are not defined by accounting principles generally accepted in the United States of America ("GAAP") and, therefore, may not be comparable to similar measures presented by other companies. Such Non-GAAP financial measures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rFonts w:ascii="sans-serif" w:hAnsi="sans-serif"/>
          <w:b w:val="false"/>
          <w:i/>
          <w:color w:val="000000"/>
          <w:sz w:val="22"/>
          <w:shd w:fill="FFFFFF" w:val="clear"/>
        </w:rPr>
      </w:pPr>
      <w:r>
        <w:rPr>
          <w:rFonts w:ascii="sans-serif" w:hAnsi="sans-serif"/>
          <w:b w:val="false"/>
          <w:i/>
          <w:color w:val="000000"/>
          <w:sz w:val="22"/>
          <w:shd w:fill="FFFFFF" w:val="clear"/>
        </w:rPr>
        <w:t>Adjusted net income from continuing operations</w:t>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Due to the ongoing U.S. government shutdown, the Company has been unable to consult with the SEC with respect to obtaining pre-clearance regarding the presentation of contributions from new business activity in GAAP revenue. The Company is presenting “Adjusted net income from continuing operations,” a Non-GAAP measure, relating to continuing operations only, to reflect the full economic contribution of these activities. Adjusted Net Income from Continuing Operations (Non-GAAP) is a performance measure that excludes certain items to provide investors with additional insight into the underlying trends of the Company’s business. Adjusted Net Income from Continuing Operations excludes (i) the non-cash fair value remeasurement of warrant liability, (ii) income tax expense (benefit), and (iii) interest expense (income), net. Management believes these adjustments facilitate comparisons of financial performance by removing items that are not reflective of the Company’s ongoing economic model. Adjusted Net Income from Continuing Operations is a non-GAAP financial measure and should be considered in addition to, and not as a substitute for, results prepared in accordance with GAAP. A reconciliation between GAAP Net Income (Loss) from Continuing Operations and Adjusted Net Income from Continuing Operations is provided below.</w:t>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shd w:fill="FFFFFF" w:val="clear"/>
        </w:rPr>
      </w:pPr>
      <w:r>
        <w:rPr>
          <w:rFonts w:ascii="sans-serif" w:hAnsi="sans-serif"/>
          <w:b/>
          <w:color w:val="000000"/>
          <w:sz w:val="22"/>
          <w:shd w:fill="FFFFFF" w:val="clear"/>
        </w:rPr>
        <w:t>Adjusted Net Income (loss) from Continuing Operations Reconciliation</w:t>
      </w:r>
    </w:p>
    <w:p>
      <w:pPr>
        <w:pStyle w:val="TextBody"/>
        <w:bidi w:val="0"/>
        <w:spacing w:before="0" w:after="0"/>
        <w:jc w:val="left"/>
        <w:rPr/>
      </w:pPr>
      <w:r>
        <w:rPr/>
      </w:r>
    </w:p>
    <w:tbl>
      <w:tblPr>
        <w:tblW w:w="6927" w:type="dxa"/>
        <w:jc w:val="left"/>
        <w:tblInd w:w="0" w:type="dxa"/>
        <w:tblLayout w:type="fixed"/>
        <w:tblCellMar>
          <w:top w:w="28" w:type="dxa"/>
          <w:left w:w="28" w:type="dxa"/>
          <w:bottom w:w="28" w:type="dxa"/>
          <w:right w:w="28" w:type="dxa"/>
        </w:tblCellMar>
      </w:tblPr>
      <w:tblGrid>
        <w:gridCol w:w="2064"/>
        <w:gridCol w:w="1813"/>
        <w:gridCol w:w="1823"/>
        <w:gridCol w:w="413"/>
        <w:gridCol w:w="413"/>
        <w:gridCol w:w="401"/>
      </w:tblGrid>
      <w:tr>
        <w:trPr/>
        <w:tc>
          <w:tcPr>
            <w:tcW w:w="206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FFFFFF"/>
                <w:sz w:val="18"/>
              </w:rPr>
            </w:pPr>
            <w:r>
              <w:rPr>
                <w:rFonts w:ascii="sans-serif" w:hAnsi="sans-serif"/>
                <w:b/>
                <w:color w:val="FFFFFF"/>
                <w:sz w:val="18"/>
              </w:rPr>
              <w:t>$ in thousands</w:t>
            </w:r>
          </w:p>
        </w:tc>
        <w:tc>
          <w:tcPr>
            <w:tcW w:w="1227"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3Q25</w:t>
            </w:r>
          </w:p>
        </w:tc>
      </w:tr>
      <w:tr>
        <w:trPr/>
        <w:tc>
          <w:tcPr>
            <w:tcW w:w="5700"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GAAP Net Income (loss) from continuing operations</w:t>
            </w:r>
          </w:p>
        </w:tc>
        <w:tc>
          <w:tcPr>
            <w:tcW w:w="12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(21,554)</w:t>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Interest (expense) income, net</w:t>
            </w:r>
          </w:p>
        </w:tc>
        <w:tc>
          <w:tcPr>
            <w:tcW w:w="82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50 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(Loss) gain from change in fair value of warrant liability</w:t>
            </w:r>
          </w:p>
        </w:tc>
        <w:tc>
          <w:tcPr>
            <w:tcW w:w="82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37,187 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Income tax expense (benefit)</w:t>
            </w:r>
          </w:p>
        </w:tc>
        <w:tc>
          <w:tcPr>
            <w:tcW w:w="826"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(25)</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Adjusted net income (loss) from continuing operations</w:t>
            </w:r>
          </w:p>
        </w:tc>
        <w:tc>
          <w:tcPr>
            <w:tcW w:w="1227"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$15,658</w:t>
            </w:r>
          </w:p>
        </w:tc>
      </w:tr>
    </w:tbl>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shd w:fill="FFFFFF" w:val="clear"/>
        </w:rPr>
      </w:pPr>
      <w:r>
        <w:rPr>
          <w:rFonts w:ascii="sans-serif" w:hAnsi="sans-serif"/>
          <w:b/>
          <w:color w:val="000000"/>
          <w:sz w:val="22"/>
          <w:shd w:fill="FFFFFF" w:val="clear"/>
        </w:rPr>
        <w:t xml:space="preserve">Non-GAAP Adjusted EBITDA Reconciliation </w:t>
      </w:r>
    </w:p>
    <w:p>
      <w:pPr>
        <w:pStyle w:val="TextBody"/>
        <w:bidi w:val="0"/>
        <w:spacing w:before="0" w:after="0"/>
        <w:jc w:val="left"/>
        <w:rPr/>
      </w:pPr>
      <w:r>
        <w:rPr/>
      </w:r>
    </w:p>
    <w:tbl>
      <w:tblPr>
        <w:tblW w:w="7588" w:type="dxa"/>
        <w:jc w:val="left"/>
        <w:tblInd w:w="0" w:type="dxa"/>
        <w:tblLayout w:type="fixed"/>
        <w:tblCellMar>
          <w:top w:w="28" w:type="dxa"/>
          <w:left w:w="28" w:type="dxa"/>
          <w:bottom w:w="28" w:type="dxa"/>
          <w:right w:w="28" w:type="dxa"/>
        </w:tblCellMar>
      </w:tblPr>
      <w:tblGrid>
        <w:gridCol w:w="1851"/>
        <w:gridCol w:w="1626"/>
        <w:gridCol w:w="1637"/>
        <w:gridCol w:w="465"/>
        <w:gridCol w:w="465"/>
        <w:gridCol w:w="353"/>
        <w:gridCol w:w="226"/>
        <w:gridCol w:w="811"/>
        <w:gridCol w:w="154"/>
      </w:tblGrid>
      <w:tr>
        <w:trPr/>
        <w:tc>
          <w:tcPr>
            <w:tcW w:w="185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000000" w:val="clear"/>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FFFFFF"/>
                <w:sz w:val="18"/>
              </w:rPr>
            </w:pPr>
            <w:r>
              <w:rPr>
                <w:rFonts w:ascii="sans-serif" w:hAnsi="sans-serif"/>
                <w:b/>
                <w:color w:val="FFFFFF"/>
                <w:sz w:val="18"/>
              </w:rPr>
              <w:t>$ in thousands</w:t>
            </w:r>
          </w:p>
        </w:tc>
        <w:tc>
          <w:tcPr>
            <w:tcW w:w="1283"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3Q25</w:t>
            </w:r>
          </w:p>
        </w:tc>
        <w:tc>
          <w:tcPr>
            <w:tcW w:w="1191" w:type="dxa"/>
            <w:gridSpan w:val="3"/>
            <w:tcBorders/>
            <w:shd w:fill="000000" w:val="clear"/>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8"/>
              </w:rPr>
            </w:pPr>
            <w:r>
              <w:rPr>
                <w:rFonts w:ascii="sans-serif" w:hAnsi="sans-serif"/>
                <w:b/>
                <w:color w:val="FFFFFF"/>
                <w:sz w:val="18"/>
              </w:rPr>
              <w:t>3Q24</w:t>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Net income (loss)</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$(23,156)</w:t>
            </w:r>
          </w:p>
        </w:tc>
        <w:tc>
          <w:tcPr>
            <w:tcW w:w="226" w:type="dxa"/>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color w:val="000000"/>
                <w:sz w:val="18"/>
              </w:rPr>
            </w:pPr>
            <w:r>
              <w:rPr>
                <w:rFonts w:ascii="sans-serif" w:hAnsi="sans-serif"/>
                <w:b/>
                <w:color w:val="000000"/>
                <w:sz w:val="18"/>
              </w:rPr>
              <w:t>(6,291)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Depreciation and amortization</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153 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Interest income, net</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50 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(1,014)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 xml:space="preserve">Income tax expense (benefit) </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(25)</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color w:val="000000"/>
                <w:sz w:val="18"/>
              </w:rPr>
            </w:pPr>
            <w:r>
              <w:rPr>
                <w:rFonts w:ascii="sans-serif" w:hAnsi="sans-serif"/>
                <w:b/>
                <w:color w:val="000000"/>
                <w:sz w:val="18"/>
              </w:rPr>
              <w:t>EBITDA</w:t>
            </w:r>
          </w:p>
        </w:tc>
        <w:tc>
          <w:tcPr>
            <w:tcW w:w="9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color w:val="000000"/>
                <w:sz w:val="18"/>
              </w:rPr>
            </w:pPr>
            <w:r>
              <w:rPr>
                <w:rFonts w:ascii="sans-serif" w:hAnsi="sans-serif"/>
                <w:b/>
                <w:color w:val="000000"/>
                <w:sz w:val="18"/>
              </w:rPr>
              <w:t>(22,978)</w:t>
            </w:r>
          </w:p>
        </w:tc>
        <w:tc>
          <w:tcPr>
            <w:tcW w:w="3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right"/>
              <w:rPr>
                <w:rFonts w:ascii="sans-serif" w:hAnsi="sans-serif"/>
                <w:b/>
                <w:color w:val="000000"/>
                <w:sz w:val="18"/>
              </w:rPr>
            </w:pPr>
            <w:r>
              <w:rPr>
                <w:rFonts w:ascii="sans-serif" w:hAnsi="sans-serif"/>
                <w:b/>
                <w:color w:val="000000"/>
                <w:sz w:val="18"/>
              </w:rPr>
              <w:t>(7,311)</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Share-based and unit-based compensation expense</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4,731 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2,263</w:t>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Loss (gain) from change in fair value of warrant liability</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37,187 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(19,984)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Impairment of long-lived assets</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480 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601 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Restructuring expenses</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5,107</w:t>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425 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Transition services expense</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1,033 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Loss on extinguishment of convertible debenture</w:t>
            </w:r>
          </w:p>
        </w:tc>
        <w:tc>
          <w:tcPr>
            <w:tcW w:w="128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2,617</w:t>
            </w:r>
          </w:p>
        </w:tc>
        <w:tc>
          <w:tcPr>
            <w:tcW w:w="1037" w:type="dxa"/>
            <w:gridSpan w:val="2"/>
            <w:tcBorders/>
            <w:tcMar>
              <w:top w:w="0" w:type="dxa"/>
              <w:left w:w="0" w:type="dxa"/>
              <w:bottom w:w="0" w:type="dxa"/>
              <w:right w:w="0" w:type="dxa"/>
            </w:tcMar>
            <w:vAlign w:val="center"/>
          </w:tcPr>
          <w:p>
            <w:pPr>
              <w:pStyle w:val="TableContents"/>
              <w:bidi w:val="0"/>
              <w:spacing w:lineRule="auto" w:line="321"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321" w:before="0" w:after="283"/>
              <w:jc w:val="left"/>
              <w:rPr>
                <w:rFonts w:ascii="sans-serif" w:hAnsi="sans-serif"/>
                <w:b w:val="false"/>
                <w:color w:val="000000"/>
                <w:sz w:val="18"/>
              </w:rPr>
            </w:pPr>
            <w:r>
              <w:rPr>
                <w:rFonts w:ascii="sans-serif" w:hAnsi="sans-serif"/>
                <w:b w:val="false"/>
                <w:color w:val="000000"/>
                <w:sz w:val="18"/>
              </w:rPr>
              <w:t>Loss from discontinued operations</w:t>
            </w:r>
          </w:p>
        </w:tc>
        <w:tc>
          <w:tcPr>
            <w:tcW w:w="930" w:type="dxa"/>
            <w:gridSpan w:val="2"/>
            <w:tcBorders/>
            <w:tcMar>
              <w:top w:w="0" w:type="dxa"/>
              <w:left w:w="0" w:type="dxa"/>
              <w:bottom w:w="0" w:type="dxa"/>
              <w:right w:w="0" w:type="dxa"/>
            </w:tcMar>
            <w:vAlign w:val="center"/>
          </w:tcPr>
          <w:p>
            <w:pPr>
              <w:pStyle w:val="TableContents"/>
              <w:bidi w:val="0"/>
              <w:spacing w:lineRule="auto" w:line="321" w:before="0" w:after="283"/>
              <w:jc w:val="right"/>
              <w:rPr>
                <w:rFonts w:ascii="sans-serif" w:hAnsi="sans-serif"/>
                <w:b w:val="false"/>
                <w:color w:val="000000"/>
                <w:sz w:val="18"/>
              </w:rPr>
            </w:pPr>
            <w:r>
              <w:rPr>
                <w:rFonts w:ascii="sans-serif" w:hAnsi="sans-serif"/>
                <w:b w:val="false"/>
                <w:color w:val="000000"/>
                <w:sz w:val="18"/>
              </w:rPr>
              <w:t>1,602 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18"/>
              </w:rPr>
            </w:pPr>
            <w:r>
              <w:rPr>
                <w:rFonts w:ascii="sans-serif" w:hAnsi="sans-serif"/>
                <w:b w:val="false"/>
                <w:color w:val="000000"/>
                <w:sz w:val="18"/>
              </w:rPr>
              <w:t>2,528</w:t>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18"/>
              </w:rPr>
            </w:pPr>
            <w:r>
              <w:rPr>
                <w:rFonts w:ascii="sans-serif" w:hAnsi="sans-serif"/>
                <w:b/>
                <w:color w:val="000000"/>
                <w:sz w:val="18"/>
              </w:rPr>
              <w:t xml:space="preserve">Adjusted EBITDA (loss) </w:t>
            </w:r>
          </w:p>
        </w:tc>
        <w:tc>
          <w:tcPr>
            <w:tcW w:w="1283"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$28,746</w:t>
            </w:r>
          </w:p>
        </w:tc>
        <w:tc>
          <w:tcPr>
            <w:tcW w:w="1191" w:type="dxa"/>
            <w:gridSpan w:val="3"/>
            <w:tcBorders>
              <w:top w:val="single" w:sz="4"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sans-serif" w:hAnsi="sans-serif"/>
                <w:b/>
                <w:color w:val="000000"/>
                <w:sz w:val="18"/>
              </w:rPr>
            </w:pPr>
            <w:r>
              <w:rPr>
                <w:rFonts w:ascii="sans-serif" w:hAnsi="sans-serif"/>
                <w:b/>
                <w:color w:val="000000"/>
                <w:sz w:val="18"/>
              </w:rPr>
              <w:t>$(20,445)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ptos">
    <w:altName w:val="san-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4720</Words>
  <Characters>28173</Characters>
  <CharactersWithSpaces>32563</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