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5591810</wp:posOffset>
            </wp:positionH>
            <wp:positionV relativeFrom="page">
              <wp:posOffset>157480</wp:posOffset>
            </wp:positionV>
            <wp:extent cx="1508760" cy="1885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508760" cy="188595"/>
                    </a:xfrm>
                    <a:prstGeom prst="rect">
                      <a:avLst/>
                    </a:prstGeom>
                    <a:noFill/>
                  </pic:spPr>
                </pic:pic>
              </a:graphicData>
            </a:graphic>
          </wp:anchor>
        </w:drawing>
        <w:drawing>
          <wp:anchor simplePos="0" relativeHeight="251657728" behindDoc="1" locked="0" layoutInCell="0" allowOverlap="1">
            <wp:simplePos x="0" y="0"/>
            <wp:positionH relativeFrom="page">
              <wp:posOffset>5591810</wp:posOffset>
            </wp:positionH>
            <wp:positionV relativeFrom="page">
              <wp:posOffset>1134745</wp:posOffset>
            </wp:positionV>
            <wp:extent cx="1388745"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388745" cy="788670"/>
                    </a:xfrm>
                    <a:prstGeom prst="rect">
                      <a:avLst/>
                    </a:prstGeom>
                    <a:noFill/>
                  </pic:spPr>
                </pic:pic>
              </a:graphicData>
            </a:graphic>
          </wp:anchor>
        </w:drawing>
      </w:r>
    </w:p>
    <w:p>
      <w:pPr>
        <w:spacing w:after="0" w:line="376" w:lineRule="exact"/>
        <w:rPr>
          <w:sz w:val="24"/>
          <w:szCs w:val="24"/>
          <w:color w:val="auto"/>
        </w:rPr>
      </w:pPr>
    </w:p>
    <w:p>
      <w:pPr>
        <w:ind w:left="4"/>
        <w:spacing w:after="0"/>
        <w:rPr>
          <w:sz w:val="20"/>
          <w:szCs w:val="20"/>
          <w:color w:val="auto"/>
        </w:rPr>
      </w:pPr>
      <w:r>
        <w:rPr>
          <w:rFonts w:ascii="Arial" w:cs="Arial" w:eastAsia="Arial" w:hAnsi="Arial"/>
          <w:sz w:val="18"/>
          <w:szCs w:val="18"/>
          <w:color w:val="auto"/>
        </w:rPr>
        <w:t>February 16, 2021</w:t>
      </w:r>
    </w:p>
    <w:p>
      <w:pPr>
        <w:spacing w:after="0" w:line="248" w:lineRule="exact"/>
        <w:rPr>
          <w:sz w:val="24"/>
          <w:szCs w:val="24"/>
          <w:color w:val="auto"/>
        </w:rPr>
      </w:pPr>
    </w:p>
    <w:p>
      <w:pPr>
        <w:ind w:left="4"/>
        <w:spacing w:after="0"/>
        <w:rPr>
          <w:sz w:val="20"/>
          <w:szCs w:val="20"/>
          <w:color w:val="auto"/>
        </w:rPr>
      </w:pPr>
      <w:r>
        <w:rPr>
          <w:rFonts w:ascii="Arial" w:cs="Arial" w:eastAsia="Arial" w:hAnsi="Arial"/>
          <w:sz w:val="18"/>
          <w:szCs w:val="18"/>
          <w:b w:val="1"/>
          <w:bCs w:val="1"/>
          <w:u w:val="single" w:color="auto"/>
          <w:color w:val="auto"/>
        </w:rPr>
        <w:t>VIA EDGAR</w:t>
      </w:r>
    </w:p>
    <w:p>
      <w:pPr>
        <w:spacing w:after="0" w:line="256" w:lineRule="exact"/>
        <w:rPr>
          <w:sz w:val="24"/>
          <w:szCs w:val="24"/>
          <w:color w:val="auto"/>
        </w:rPr>
      </w:pPr>
    </w:p>
    <w:p>
      <w:pPr>
        <w:ind w:left="4"/>
        <w:spacing w:after="0"/>
        <w:rPr>
          <w:sz w:val="20"/>
          <w:szCs w:val="20"/>
          <w:color w:val="auto"/>
        </w:rPr>
      </w:pPr>
      <w:r>
        <w:rPr>
          <w:rFonts w:ascii="Arial" w:cs="Arial" w:eastAsia="Arial" w:hAnsi="Arial"/>
          <w:sz w:val="18"/>
          <w:szCs w:val="18"/>
          <w:color w:val="auto"/>
        </w:rPr>
        <w:t>Division of Corporate Finance</w:t>
      </w:r>
    </w:p>
    <w:p>
      <w:pPr>
        <w:spacing w:after="0" w:line="23" w:lineRule="exact"/>
        <w:rPr>
          <w:sz w:val="24"/>
          <w:szCs w:val="24"/>
          <w:color w:val="auto"/>
        </w:rPr>
      </w:pPr>
    </w:p>
    <w:p>
      <w:pPr>
        <w:ind w:left="4"/>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Washington, D.C. 20549</w:t>
      </w:r>
    </w:p>
    <w:p>
      <w:pPr>
        <w:spacing w:after="0" w:line="247" w:lineRule="exact"/>
        <w:rPr>
          <w:sz w:val="24"/>
          <w:szCs w:val="24"/>
          <w:color w:val="auto"/>
        </w:rPr>
      </w:pPr>
    </w:p>
    <w:p>
      <w:pPr>
        <w:ind w:left="424"/>
        <w:spacing w:after="0"/>
        <w:tabs>
          <w:tab w:leader="none" w:pos="944"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VPC Impact Acquisition Holdings</w:t>
      </w:r>
    </w:p>
    <w:p>
      <w:pPr>
        <w:spacing w:after="0" w:line="27" w:lineRule="exact"/>
        <w:rPr>
          <w:sz w:val="24"/>
          <w:szCs w:val="24"/>
          <w:color w:val="auto"/>
        </w:rPr>
      </w:pPr>
    </w:p>
    <w:p>
      <w:pPr>
        <w:ind w:left="964"/>
        <w:spacing w:after="0"/>
        <w:rPr>
          <w:sz w:val="20"/>
          <w:szCs w:val="20"/>
          <w:color w:val="auto"/>
        </w:rPr>
      </w:pPr>
      <w:r>
        <w:rPr>
          <w:rFonts w:ascii="Arial" w:cs="Arial" w:eastAsia="Arial" w:hAnsi="Arial"/>
          <w:sz w:val="18"/>
          <w:szCs w:val="18"/>
          <w:b w:val="1"/>
          <w:bCs w:val="1"/>
          <w:color w:val="auto"/>
        </w:rPr>
        <w:t>Draft Registration Statement on Form S-4</w:t>
      </w:r>
    </w:p>
    <w:p>
      <w:pPr>
        <w:spacing w:after="0" w:line="9" w:lineRule="exact"/>
        <w:rPr>
          <w:sz w:val="24"/>
          <w:szCs w:val="24"/>
          <w:color w:val="auto"/>
        </w:rPr>
      </w:pPr>
    </w:p>
    <w:p>
      <w:pPr>
        <w:ind w:left="964"/>
        <w:spacing w:after="0"/>
        <w:rPr>
          <w:sz w:val="20"/>
          <w:szCs w:val="20"/>
          <w:color w:val="auto"/>
        </w:rPr>
      </w:pPr>
      <w:r>
        <w:rPr>
          <w:rFonts w:ascii="Arial" w:cs="Arial" w:eastAsia="Arial" w:hAnsi="Arial"/>
          <w:sz w:val="18"/>
          <w:szCs w:val="18"/>
          <w:b w:val="1"/>
          <w:bCs w:val="1"/>
          <w:color w:val="auto"/>
        </w:rPr>
        <w:t>Submitted February 16, 2021</w:t>
      </w:r>
    </w:p>
    <w:p>
      <w:pPr>
        <w:spacing w:after="0" w:line="9" w:lineRule="exact"/>
        <w:rPr>
          <w:sz w:val="24"/>
          <w:szCs w:val="24"/>
          <w:color w:val="auto"/>
        </w:rPr>
      </w:pPr>
    </w:p>
    <w:p>
      <w:pPr>
        <w:ind w:left="964"/>
        <w:spacing w:after="0"/>
        <w:rPr>
          <w:sz w:val="20"/>
          <w:szCs w:val="20"/>
          <w:color w:val="auto"/>
        </w:rPr>
      </w:pPr>
      <w:r>
        <w:rPr>
          <w:rFonts w:ascii="Arial" w:cs="Arial" w:eastAsia="Arial" w:hAnsi="Arial"/>
          <w:sz w:val="18"/>
          <w:szCs w:val="18"/>
          <w:b w:val="1"/>
          <w:bCs w:val="1"/>
          <w:color w:val="auto"/>
        </w:rPr>
        <w:t>CIK No. 0001820302</w:t>
      </w:r>
    </w:p>
    <w:p>
      <w:pPr>
        <w:spacing w:after="0" w:line="211" w:lineRule="exact"/>
        <w:rPr>
          <w:sz w:val="24"/>
          <w:szCs w:val="24"/>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221" w:lineRule="exact"/>
        <w:rPr>
          <w:sz w:val="24"/>
          <w:szCs w:val="24"/>
          <w:color w:val="auto"/>
        </w:rPr>
      </w:pPr>
    </w:p>
    <w:p>
      <w:pPr>
        <w:ind w:left="4" w:firstLine="440"/>
        <w:spacing w:after="0" w:line="274" w:lineRule="auto"/>
        <w:rPr>
          <w:sz w:val="20"/>
          <w:szCs w:val="20"/>
          <w:color w:val="auto"/>
        </w:rPr>
      </w:pPr>
      <w:r>
        <w:rPr>
          <w:rFonts w:ascii="Arial" w:cs="Arial" w:eastAsia="Arial" w:hAnsi="Arial"/>
          <w:sz w:val="17"/>
          <w:szCs w:val="17"/>
          <w:color w:val="auto"/>
        </w:rPr>
        <w:t>On the date hereof, VPC Impact Acquisition Holdings (the “</w:t>
      </w:r>
      <w:r>
        <w:rPr>
          <w:rFonts w:ascii="Arial" w:cs="Arial" w:eastAsia="Arial" w:hAnsi="Arial"/>
          <w:sz w:val="17"/>
          <w:szCs w:val="17"/>
          <w:b w:val="1"/>
          <w:bCs w:val="1"/>
          <w:color w:val="auto"/>
        </w:rPr>
        <w:t>Company</w:t>
      </w:r>
      <w:r>
        <w:rPr>
          <w:rFonts w:ascii="Arial" w:cs="Arial" w:eastAsia="Arial" w:hAnsi="Arial"/>
          <w:sz w:val="17"/>
          <w:szCs w:val="17"/>
          <w:color w:val="auto"/>
        </w:rPr>
        <w:t>”) has submitted on a confidential basis a Draft Registration Statement on Form S-4 (the “</w:t>
      </w:r>
      <w:r>
        <w:rPr>
          <w:rFonts w:ascii="Arial" w:cs="Arial" w:eastAsia="Arial" w:hAnsi="Arial"/>
          <w:sz w:val="17"/>
          <w:szCs w:val="17"/>
          <w:b w:val="1"/>
          <w:bCs w:val="1"/>
          <w:color w:val="auto"/>
        </w:rPr>
        <w:t>Draft Registration Statement</w:t>
      </w:r>
      <w:r>
        <w:rPr>
          <w:rFonts w:ascii="Arial" w:cs="Arial" w:eastAsia="Arial" w:hAnsi="Arial"/>
          <w:sz w:val="17"/>
          <w:szCs w:val="17"/>
          <w:color w:val="auto"/>
        </w:rPr>
        <w:t>”) with the Securities and Exchange Commission. The Company is submitting the Draft Registration Statement prior to the end of twelfth month following September 22, 2020, the effective date of the Company’s registration statement on Form S-1 (File No. 333-248619), filed in connection with the Company’s initial public offering under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On behalf of the Company, we confirm that the Company will file the registration statement no later than 48 hours prior to the requested effective date and time, in compliance with Rules 460 and 461 under the Securities Act.</w:t>
      </w:r>
    </w:p>
    <w:p>
      <w:pPr>
        <w:spacing w:after="0" w:line="177" w:lineRule="exact"/>
        <w:rPr>
          <w:sz w:val="24"/>
          <w:szCs w:val="24"/>
          <w:color w:val="auto"/>
        </w:rPr>
      </w:pPr>
    </w:p>
    <w:p>
      <w:pPr>
        <w:ind w:left="444"/>
        <w:spacing w:after="0"/>
        <w:rPr>
          <w:sz w:val="20"/>
          <w:szCs w:val="20"/>
          <w:color w:val="auto"/>
        </w:rPr>
      </w:pPr>
      <w:r>
        <w:rPr>
          <w:rFonts w:ascii="Arial" w:cs="Arial" w:eastAsia="Arial" w:hAnsi="Arial"/>
          <w:sz w:val="17"/>
          <w:szCs w:val="17"/>
          <w:color w:val="auto"/>
        </w:rPr>
        <w:t>Please do not hesitate to contact me by telephone at (202) 637-6274 with any questions or comments regarding this correspondence.</w:t>
      </w:r>
    </w:p>
    <w:p>
      <w:pPr>
        <w:spacing w:after="0" w:line="237" w:lineRule="exact"/>
        <w:rPr>
          <w:sz w:val="24"/>
          <w:szCs w:val="24"/>
          <w:color w:val="auto"/>
        </w:rPr>
      </w:pPr>
    </w:p>
    <w:p>
      <w:pPr>
        <w:ind w:left="444"/>
        <w:spacing w:after="0"/>
        <w:rPr>
          <w:sz w:val="20"/>
          <w:szCs w:val="20"/>
          <w:color w:val="auto"/>
        </w:rPr>
      </w:pPr>
      <w:r>
        <w:rPr>
          <w:rFonts w:ascii="Arial" w:cs="Arial" w:eastAsia="Arial" w:hAnsi="Arial"/>
          <w:sz w:val="18"/>
          <w:szCs w:val="18"/>
          <w:color w:val="auto"/>
        </w:rPr>
        <w:t>Very truly yours,</w:t>
      </w:r>
    </w:p>
    <w:p>
      <w:pPr>
        <w:spacing w:after="0" w:line="225" w:lineRule="exact"/>
        <w:rPr>
          <w:sz w:val="24"/>
          <w:szCs w:val="24"/>
          <w:color w:val="auto"/>
        </w:rPr>
      </w:pPr>
    </w:p>
    <w:p>
      <w:pPr>
        <w:ind w:left="444"/>
        <w:spacing w:after="0"/>
        <w:rPr>
          <w:sz w:val="20"/>
          <w:szCs w:val="20"/>
          <w:color w:val="auto"/>
        </w:rPr>
      </w:pPr>
      <w:r>
        <w:rPr>
          <w:rFonts w:ascii="Arial" w:cs="Arial" w:eastAsia="Arial" w:hAnsi="Arial"/>
          <w:sz w:val="18"/>
          <w:szCs w:val="18"/>
          <w:color w:val="auto"/>
        </w:rPr>
        <w:t>/s/ Era Anagnosti</w:t>
      </w:r>
    </w:p>
    <w:p>
      <w:pPr>
        <w:spacing w:after="0" w:line="225" w:lineRule="exact"/>
        <w:rPr>
          <w:sz w:val="24"/>
          <w:szCs w:val="24"/>
          <w:color w:val="auto"/>
        </w:rPr>
      </w:pPr>
    </w:p>
    <w:p>
      <w:pPr>
        <w:ind w:left="444"/>
        <w:spacing w:after="0"/>
        <w:rPr>
          <w:sz w:val="20"/>
          <w:szCs w:val="20"/>
          <w:color w:val="auto"/>
        </w:rPr>
      </w:pPr>
      <w:r>
        <w:rPr>
          <w:rFonts w:ascii="Arial" w:cs="Arial" w:eastAsia="Arial" w:hAnsi="Arial"/>
          <w:sz w:val="18"/>
          <w:szCs w:val="18"/>
          <w:color w:val="auto"/>
        </w:rPr>
        <w:t>Era Anagnosti</w:t>
      </w:r>
    </w:p>
    <w:p>
      <w:pPr>
        <w:spacing w:after="0" w:line="23" w:lineRule="exact"/>
        <w:rPr>
          <w:sz w:val="24"/>
          <w:szCs w:val="24"/>
          <w:color w:val="auto"/>
        </w:rPr>
      </w:pPr>
    </w:p>
    <w:p>
      <w:pPr>
        <w:ind w:left="444"/>
        <w:spacing w:after="0"/>
        <w:rPr>
          <w:sz w:val="20"/>
          <w:szCs w:val="20"/>
          <w:color w:val="auto"/>
        </w:rPr>
      </w:pPr>
      <w:r>
        <w:rPr>
          <w:rFonts w:ascii="Arial" w:cs="Arial" w:eastAsia="Arial" w:hAnsi="Arial"/>
          <w:sz w:val="18"/>
          <w:szCs w:val="18"/>
          <w:color w:val="auto"/>
        </w:rPr>
        <w:t>Partner</w:t>
      </w:r>
    </w:p>
    <w:p>
      <w:pPr>
        <w:spacing w:after="0" w:line="9" w:lineRule="exact"/>
        <w:rPr>
          <w:sz w:val="24"/>
          <w:szCs w:val="24"/>
          <w:color w:val="auto"/>
        </w:rPr>
      </w:pPr>
    </w:p>
    <w:p>
      <w:pPr>
        <w:ind w:left="444"/>
        <w:spacing w:after="0"/>
        <w:rPr>
          <w:sz w:val="20"/>
          <w:szCs w:val="20"/>
          <w:color w:val="auto"/>
        </w:rPr>
      </w:pPr>
      <w:r>
        <w:rPr>
          <w:rFonts w:ascii="Arial" w:cs="Arial" w:eastAsia="Arial" w:hAnsi="Arial"/>
          <w:sz w:val="18"/>
          <w:szCs w:val="18"/>
          <w:color w:val="auto"/>
        </w:rPr>
        <w:t>White &amp; Case LLP</w:t>
      </w:r>
    </w:p>
    <w:p>
      <w:pPr>
        <w:spacing w:after="0" w:line="238" w:lineRule="exact"/>
        <w:rPr>
          <w:sz w:val="24"/>
          <w:szCs w:val="24"/>
          <w:color w:val="auto"/>
        </w:rPr>
      </w:pPr>
    </w:p>
    <w:p>
      <w:pPr>
        <w:ind w:left="444" w:right="6460" w:hanging="444"/>
        <w:spacing w:after="0" w:line="269" w:lineRule="auto"/>
        <w:tabs>
          <w:tab w:leader="none" w:pos="436" w:val="left"/>
        </w:tabs>
        <w:numPr>
          <w:ilvl w:val="0"/>
          <w:numId w:val="1"/>
        </w:numPr>
        <w:rPr>
          <w:rFonts w:ascii="Arial" w:cs="Arial" w:eastAsia="Arial" w:hAnsi="Arial"/>
          <w:sz w:val="17"/>
          <w:szCs w:val="17"/>
          <w:color w:val="auto"/>
        </w:rPr>
      </w:pPr>
      <w:r>
        <w:rPr>
          <w:rFonts w:ascii="Arial" w:cs="Arial" w:eastAsia="Arial" w:hAnsi="Arial"/>
          <w:sz w:val="17"/>
          <w:szCs w:val="17"/>
          <w:color w:val="auto"/>
        </w:rPr>
        <w:t>John Martin (VPC Impact Acquisition Holdings) Gordon Watson (VPC Impact Acquisition Holdings) Olibia Stamatoglou (VPC Impact Acquisition Holdings) Joel Rubinstein (White &amp; Case LLP)</w:t>
      </w:r>
    </w:p>
    <w:p>
      <w:pPr>
        <w:spacing w:after="0" w:line="1" w:lineRule="exact"/>
        <w:rPr>
          <w:rFonts w:ascii="Arial" w:cs="Arial" w:eastAsia="Arial" w:hAnsi="Arial"/>
          <w:sz w:val="17"/>
          <w:szCs w:val="17"/>
          <w:color w:val="auto"/>
        </w:rPr>
      </w:pPr>
    </w:p>
    <w:p>
      <w:pPr>
        <w:ind w:left="444" w:right="7260"/>
        <w:spacing w:after="0" w:line="255" w:lineRule="auto"/>
        <w:rPr>
          <w:rFonts w:ascii="Arial" w:cs="Arial" w:eastAsia="Arial" w:hAnsi="Arial"/>
          <w:sz w:val="17"/>
          <w:szCs w:val="17"/>
          <w:color w:val="auto"/>
        </w:rPr>
      </w:pPr>
      <w:r>
        <w:rPr>
          <w:rFonts w:ascii="Arial" w:cs="Arial" w:eastAsia="Arial" w:hAnsi="Arial"/>
          <w:sz w:val="18"/>
          <w:szCs w:val="18"/>
          <w:color w:val="auto"/>
        </w:rPr>
        <w:t>Elliott Smith (White &amp; Case LLP) Matt Lyons (Shearman &amp; Sterling LLP) Alan Bickerstaff (Shearman &amp; Sterling LLP)</w:t>
      </w:r>
    </w:p>
    <w:sectPr>
      <w:pgSz w:w="11900" w:h="16838" w:orient="portrait"/>
      <w:cols w:equalWidth="0" w:num="1">
        <w:col w:w="10944"/>
      </w:cols>
      <w:pgMar w:left="436" w:top="144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2021-10-25T00:08:20Z</dcterms:created>
  <dcterms:modified xsi:type="dcterms:W3CDTF">2021-10-25T00:08:20Z</dcterms:modified>
</cp:coreProperties>
</file>