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November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83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4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833"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833"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Victory Park Capital Advisors, LLC</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Chicago, IL 60606</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024"/>
          </w:cols>
          <w:pgMar w:left="436" w:top="368" w:right="439" w:bottom="833" w:gutter="0" w:footer="0" w:header="0"/>
          <w:type w:val="continuous"/>
        </w:sectPr>
      </w:pPr>
    </w:p>
    <w:p>
      <w:pPr>
        <w:spacing w:after="0" w:line="2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+1-312-701-1777</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Title of</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par value $0.0001 par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each warrant exercisable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for one Class A ordinary share, each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exercise 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833"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On November 12, 2020, VPC Impact Acquisition Holdings (the “Company”) issued a press release, a copy of which is attached as Exhibit 99.1 to this Current Report on Form 8-K, announcing that the holders of the Company’s units (the “Units”) may elect to separately trade the Class A ordinary shares, par value $0.0001 per share (the “Class A Ordinary Shares”), and warrants (the “Warrants”) included in the Units commencing on or about November 13, 2020. Each Unit consists of one Class A Ordinary Share and one-half of one redeemable Warrant to purchase one Class A Ordinary Share. Any Units not separated will continue to trade on The Nasdaq Capital Market (“Nasdaq”) under the symbol “VIHAU”, and the Class A Ordinary Shares and Warrants will separately trade on Nasdaq under the symbols “VIH” and “VIHAW”, respectively. No fractional Warrants will be issued upon separation of the Units and only whole Warrants will trade. Holders of Units will need to have their brokers contact Continental Stock Transfer &amp; Trust Company, the Company’s transfer agent, in order to separate the Units into Class A Ordinary Shares and Warrants.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12, 2020</w:t>
        </w:r>
        <w:r>
          <w:rPr>
            <w:rFonts w:ascii="Arial" w:cs="Arial" w:eastAsia="Arial" w:hAnsi="Arial"/>
            <w:sz w:val="15"/>
            <w:szCs w:val="15"/>
            <w:color w:val="0000EE"/>
          </w:rPr>
          <w:t>.</w:t>
        </w:r>
      </w:hyperlink>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0"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14605</wp:posOffset>
            </wp:positionV>
            <wp:extent cx="2588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John Martin</w:t>
      </w:r>
    </w:p>
    <w:p>
      <w:pPr>
        <w:spacing w:after="0" w:line="23" w:lineRule="exact"/>
        <w:rPr>
          <w:sz w:val="20"/>
          <w:szCs w:val="20"/>
          <w:color w:val="auto"/>
        </w:rPr>
      </w:pPr>
    </w:p>
    <w:p>
      <w:pPr>
        <w:ind w:left="694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2020</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VPC Impact Acquisition Holdings Announces the Separate Trading of its Ordinary Shares and Warrants, Commencing November 13, 2020</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Chicago, IL, November 12, 2020 (BUSINESS WIRE) — VPC Impact Acquisition Holdings (Nasdaq: VIHAU) (the “Company”) announced today that holders of the Company’s units sold in its initial public offering may elect to separately trade the Class A ordinary shares and redeemable warrants included in its units commencing on or about November 13, 2020.</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No fractional warrants will be issued upon separation of the units and only whole warrants will trade. The Class A ordinary shares and warrants that are separated will trade on The Nasdaq Capital Market (“Nasdaq”) under the symbols “VIH” and “VIHAW,” respectively. Those units not separated will continue to trade on Nasdaq under the symbol “VIHAU.” Holders of units will need to have their brokers contact Continental Stock Transfer &amp; Trust Company, the Company’s transfer agent, in order to separate the units into Class A ordinary shares and warrants.</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units were initially offered by the Company in an underwritten offering. Jefferies LLC acted as the sole book-running manager for the offering. A registration statement relating to the units and the underlying securities was declared effective by the U.S. Securities and Exchange Commission (the “SEC”) on September 22, 2020.</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 The offering was made only by means of a prospectus. Copies of the prospectus may be obtained from Jefferies LLC, Attention: Equity Syndicate Prospectus Department, 520 Madison Avenue, 2nd Floor, New York, NY 10022, or by telephone at 877-821-7388 or by email at Prospectus_Department@Jefferies.com.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press release contains statements that constitute “forward-looking statements,” including with respect to the Company’s search for an initial business combination. No assurance can be given as to the consummation of any business combination or the terms thereof. Forward-looking statements are subject to numerous conditions, many of which are beyond the control of the Company, including those set forth in the Risk Factors section of the Company’s registration statement and prospectus for the initial public offering filed with the SEC. Copies are available on the SEC’s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website, www.sec.gov. The Company undertakes no obligation to update these statements for revisions or changes after the date of this release, except as required by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Victory Park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Julia Sahin, Edelman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Julia.Sahin@edelman.com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646.301.2968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2020-11-12T07:39:06Z</dcterms:created>
  <dcterms:modified xsi:type="dcterms:W3CDTF">2020-11-12T07:39:06Z</dcterms:modified>
</cp:coreProperties>
</file>