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64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Alpine Global Management, LLC</w:t>
              </w:r>
            </w:hyperlink>
          </w:p>
        </w:tc>
        <w:tc>
          <w:tcPr>
            <w:tcW w:w="80" w:type="dxa"/>
            <w:vAlign w:val="bottom"/>
          </w:tcPr>
          <w:p>
            <w:pPr>
              <w:spacing w:after="0"/>
              <w:rPr>
                <w:sz w:val="22"/>
                <w:szCs w:val="22"/>
                <w:color w:val="auto"/>
              </w:rPr>
            </w:pPr>
          </w:p>
        </w:tc>
        <w:tc>
          <w:tcPr>
            <w:tcW w:w="3820" w:type="dxa"/>
            <w:vAlign w:val="bottom"/>
            <w:gridSpan w:val="2"/>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VPC Impact Acquisition Holdings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6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900" w:type="dxa"/>
            <w:vAlign w:val="bottom"/>
            <w:gridSpan w:val="3"/>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01/25/2021</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140 BROADWAY, 38TH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2360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360930"/>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2"/>
          </w:tcPr>
          <w:p>
            <w:pPr>
              <w:jc w:val="center"/>
              <w:ind w:left="2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Shares, par value $0.0001</w:t>
            </w:r>
          </w:p>
        </w:tc>
        <w:tc>
          <w:tcPr>
            <w:tcW w:w="1500" w:type="dxa"/>
            <w:vAlign w:val="bottom"/>
            <w:gridSpan w:val="2"/>
            <w:vMerge w:val="restart"/>
          </w:tcPr>
          <w:p>
            <w:pPr>
              <w:jc w:val="center"/>
              <w:ind w:left="287"/>
              <w:spacing w:after="0"/>
              <w:rPr>
                <w:sz w:val="20"/>
                <w:szCs w:val="20"/>
                <w:color w:val="auto"/>
              </w:rPr>
            </w:pPr>
            <w:r>
              <w:rPr>
                <w:rFonts w:ascii="Times New Roman" w:cs="Times New Roman" w:eastAsia="Times New Roman" w:hAnsi="Times New Roman"/>
                <w:sz w:val="17"/>
                <w:szCs w:val="17"/>
                <w:color w:val="0000FF"/>
              </w:rPr>
              <w:t>01/26/2021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258,788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15.07</w:t>
            </w:r>
            <w:r>
              <w:rPr>
                <w:rFonts w:ascii="Times New Roman" w:cs="Times New Roman" w:eastAsia="Times New Roman" w:hAnsi="Times New Roman"/>
                <w:sz w:val="22"/>
                <w:szCs w:val="22"/>
                <w:color w:val="008000"/>
                <w:w w:val="95"/>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2,442,032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01/27/2021</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259,523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14.06</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2,701,555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80" w:type="dxa"/>
            <w:vAlign w:val="bottom"/>
          </w:tcPr>
          <w:p>
            <w:pPr>
              <w:spacing w:after="0"/>
              <w:rPr>
                <w:sz w:val="23"/>
                <w:szCs w:val="23"/>
                <w:color w:val="auto"/>
              </w:rPr>
            </w:pPr>
          </w:p>
        </w:tc>
        <w:tc>
          <w:tcPr>
            <w:tcW w:w="1500" w:type="dxa"/>
            <w:vAlign w:val="bottom"/>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01/28/2021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3,577</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13.98</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2,705,132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80" w:type="dxa"/>
            <w:vAlign w:val="bottom"/>
          </w:tcPr>
          <w:p>
            <w:pPr>
              <w:spacing w:after="0"/>
              <w:rPr>
                <w:sz w:val="23"/>
                <w:szCs w:val="23"/>
                <w:color w:val="auto"/>
              </w:rPr>
            </w:pPr>
          </w:p>
        </w:tc>
        <w:tc>
          <w:tcPr>
            <w:tcW w:w="1500" w:type="dxa"/>
            <w:vAlign w:val="bottom"/>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01/28/2021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2,860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2,702,272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80" w:type="dxa"/>
            <w:vAlign w:val="bottom"/>
          </w:tcPr>
          <w:p>
            <w:pPr>
              <w:spacing w:after="0"/>
              <w:rPr>
                <w:sz w:val="23"/>
                <w:szCs w:val="23"/>
                <w:color w:val="auto"/>
              </w:rPr>
            </w:pPr>
          </w:p>
        </w:tc>
        <w:tc>
          <w:tcPr>
            <w:tcW w:w="1500" w:type="dxa"/>
            <w:vAlign w:val="bottom"/>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01/29/2021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717</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14.65</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2,701,555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80" w:type="dxa"/>
            <w:vAlign w:val="bottom"/>
          </w:tcPr>
          <w:p>
            <w:pPr>
              <w:spacing w:after="0"/>
              <w:rPr>
                <w:sz w:val="23"/>
                <w:szCs w:val="23"/>
                <w:color w:val="auto"/>
              </w:rPr>
            </w:pPr>
          </w:p>
        </w:tc>
        <w:tc>
          <w:tcPr>
            <w:tcW w:w="1500" w:type="dxa"/>
            <w:vAlign w:val="bottom"/>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01/29/2021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3,344</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14.68</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2,704,899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Alpine Global Management, LLC</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140 BROADWAY, 38TH FLOOR</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10005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Alpine Partners (BVI), L.P.</w:t>
              </w:r>
            </w:hyperlink>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140 BROADWAY, 38TH FLOOR</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10005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-5043805</wp:posOffset>
            </wp:positionV>
            <wp:extent cx="7031355" cy="511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11111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$14.91 and $15.09, inclusive. The reporting person undertakes to provide to VPC Impact Acquisition Holdings, or the staff of the Securities and Exchange Commission, upon request, full information regarding the number of shares sold at each separate price within the ranges set forth in footnotes (2), (3), (4) and (5) to this Form 4</w:t>
      </w:r>
    </w:p>
    <w:p>
      <w:pPr>
        <w:spacing w:after="0" w:line="20" w:lineRule="exact"/>
        <w:rPr>
          <w:rFonts w:ascii="Times New Roman" w:cs="Times New Roman" w:eastAsia="Times New Roman" w:hAnsi="Times New Roman"/>
          <w:sz w:val="13"/>
          <w:szCs w:val="13"/>
          <w:color w:val="008000"/>
        </w:rPr>
      </w:pPr>
    </w:p>
    <w:p>
      <w:pPr>
        <w:ind w:right="60" w:firstLine="7"/>
        <w:spacing w:after="0" w:line="271"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$13.79 and $14.15, inclusive. Please also see attached Exhibit A for additional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List: ------------- 99.1 List of other Reporting Person</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Alpine Global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5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Chief Operating Officer, 02/10/2021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Amy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7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378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Alpine Partners (BVI),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Chief Operating Officer, /s/</w:t>
      </w:r>
      <w:r>
        <w:rPr>
          <w:sz w:val="20"/>
          <w:szCs w:val="20"/>
          <w:color w:val="auto"/>
        </w:rPr>
        <w:tab/>
      </w:r>
      <w:r>
        <w:rPr>
          <w:rFonts w:ascii="Times New Roman" w:cs="Times New Roman" w:eastAsia="Times New Roman" w:hAnsi="Times New Roman"/>
          <w:sz w:val="17"/>
          <w:szCs w:val="17"/>
          <w:color w:val="0000FF"/>
        </w:rPr>
        <w:t>02/10/2021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Amy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06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06425" cy="8255"/>
                    </a:xfrm>
                    <a:prstGeom prst="rect">
                      <a:avLst/>
                    </a:prstGeom>
                    <a:noFill/>
                  </pic:spPr>
                </pic:pic>
              </a:graphicData>
            </a:graphic>
          </wp:anchor>
        </w:drawing>
      </w:r>
    </w:p>
    <w:p>
      <w:pPr>
        <w:spacing w:after="0" w:line="36"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00" w:top="127" w:right="5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other Reporting Person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Alpine Partners (BVI), L.P., also indirectly owns all of the shares listed under Table 1 and is a beneficial owner.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Alpine Partners (BVI),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140 Broadway, 38th Floor, New York, NY 10005</w:t>
      </w: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581655" TargetMode="External"/><Relationship Id="rId14" Type="http://schemas.openxmlformats.org/officeDocument/2006/relationships/hyperlink" Target="http://www.sec.gov/cgi-bin/browse-edgar?action=getcompany&amp;CIK=0001820302" TargetMode="External"/><Relationship Id="rId16" Type="http://schemas.openxmlformats.org/officeDocument/2006/relationships/hyperlink" Target="http://www.sec.gov/cgi-bin/browse-edgar?action=getcompany&amp;CIK=000184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2021-02-10T11:21:38Z</dcterms:created>
  <dcterms:modified xsi:type="dcterms:W3CDTF">2021-02-10T11:21:38Z</dcterms:modified>
</cp:coreProperties>
</file>