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June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40" w:right="339" w:bottom="1440" w:gutter="0" w:footer="0" w:header="0"/>
          <w:type w:val="continuous"/>
        </w:sectPr>
      </w:pPr>
    </w:p>
    <w:tbl>
      <w:tblPr>
        <w:tblLayout w:type="fixed"/>
        <w:tblInd w:w="1360" w:type="dxa"/>
        <w:tblCellMar>
          <w:top w:w="0" w:type="dxa"/>
          <w:left w:w="0" w:type="dxa"/>
          <w:bottom w:w="0" w:type="dxa"/>
          <w:right w:w="0" w:type="dxa"/>
        </w:tblCellMar>
      </w:tblPr>
      <w:tr>
        <w:trPr>
          <w:trHeight w:val="207"/>
        </w:trPr>
        <w:tc>
          <w:tcPr>
            <w:tcW w:w="480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6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30009</w:t>
            </w:r>
          </w:p>
        </w:tc>
        <w:tc>
          <w:tcPr>
            <w:tcW w:w="0" w:type="dxa"/>
            <w:vAlign w:val="bottom"/>
          </w:tcPr>
          <w:p>
            <w:pPr>
              <w:spacing w:after="0"/>
              <w:rPr>
                <w:sz w:val="1"/>
                <w:szCs w:val="1"/>
                <w:color w:val="auto"/>
              </w:rPr>
            </w:pPr>
          </w:p>
        </w:tc>
      </w:tr>
      <w:tr>
        <w:trPr>
          <w:trHeight w:val="144"/>
        </w:trPr>
        <w:tc>
          <w:tcPr>
            <w:tcW w:w="480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00" w:type="dxa"/>
            <w:vAlign w:val="bottom"/>
          </w:tcPr>
          <w:p>
            <w:pPr>
              <w:jc w:val="center"/>
              <w:ind w:right="19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191135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of 2025 Annual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10, 2025, Bakkt Holdings, Inc. (the “Company”) called to order its 2025 Annual Meeting of Stockholders (the “2025 Annual Meeting”). At the 2025 Annual Meeting, there were present or represented by proxy a sufficient number of shares representing the Company’s common stock to constitute a quorum. The Chairman of the meeting adjourned the 2025 Annual Meeting without opening the polls on the matters that were scheduled to be submitted to a vote of the Company’s stockholders at the 2025 Annual Meeting.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2025 Annual Meeting was adjourned to allow stockholders additional time to consider the supplements to the Company’s Definitive Proxy Statement, dated April 28, 2025 (as supplemented, the “Proxy Statement”), with respect to updates to the Company’s investment policy to enable it to allocate capital into Bitcoin and other digital assets as part of its broader treasury and corporate strategy, as well as related matters, filed on a Current Report on Form 8-K and as additional solicitation material with the Securities and Exchange Commission (“SEC”) on June 10, 2025.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2025 Annual Meeting is adjourned until June 17, 2025 at 10:00 a.m. Eastern Time. At that time, the 2025 Annual Meeting will be reconvened to vote on the proposals described in the Proxy Statement.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2025 Annual Meeting will still be a completely virtual meeting. Stockholders will be able to attend, vote at, and submit questions during the reconvened 2025 Annual Meeting on June 17, 2025 using the same process and access information that they used in connection with the originally scheduled 2025 Annual Meeting, the details of which are set forth in the Proxy Statement. To be more specific, stockholders will be able to attend, vote at and submit questions during the reconvened 2025 Annual Meeting on June 17, 2025 by visiting www.virtualshareholdermeeting.com/BKKT2025 and entering the control number included in their notice of internet availability of proxy materials, on their proxy card or in the instructions that accompanied their proxy materials. The website address above shall not be deemed to be incorporated by reference herein.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intend to change the record date for the 2025 Annual Meeting. Accordingly, only stockholders of record at the close of business on April 14, 2025 will be entitled to vote at the reconvened 2025 Annual Meeting.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Until the 2025 Annual Meeting is reconvened on June 17, 2025, the Company will continue to solicit proxies from its stockholders with respect to the proposals set forth in the Proxy Statement.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Stockholders of the Company who have previously submitted their proxy or otherwise voted and who do not want to change their vote do not need to take any action.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changes have been made in the proposals to be voted on by the stockholders at the 2025 Annual Meeting.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This Current Report may be deemed to be solicitation material in respect of the solicitation of proxies from stockholders for the 2025 Annual Meeting. </w:t>
      </w:r>
      <w:r>
        <w:rPr>
          <w:rFonts w:ascii="Times New Roman" w:cs="Times New Roman" w:eastAsia="Times New Roman" w:hAnsi="Times New Roman"/>
          <w:sz w:val="18"/>
          <w:szCs w:val="18"/>
          <w:b w:val="1"/>
          <w:bCs w:val="1"/>
          <w:color w:val="auto"/>
        </w:rPr>
        <w:t>Before making any voting decision, the Company strongly encourages all of its stockholders to read the Proxy Statement (including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amendments or supplements thereto) and other proxy materials relating to the 2025 Annual Meeting, including this Current Report, which are available free of charge on the SEC’s website at www.sec.gov.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U.S. Securities Act of 1933, as amended, and Section 21E of the U.S. Securities and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Such statements include, but are not limited to, statements regarding the Company’s plans with respect to the 2025 Annual Meeting.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Actual results and the timing of events may differ materially from the results anticipated in such forward-looking statements as a result of the following factors, among others: the Company’s ability to continue as a going concern; the Company’s ability to grow and manage growth profitably; the possibility that the Company may be unable to obtain the applicable regulatory approvals to execute on the cooperation agreement with Distributed Technologies Research Global Ltd. (“DTR”); finalizing the proposed commercial agreement with DTR, including whether such agreement will be executed on terms favorable to the Company or if at all, or be completed on the expected timeline, and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the treasury strategy;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as amended; competition by other Bitcoin treasury companies and the availability of spot-traded products for Bitcoin; enhanced regulatory oversight as a result of the Company’s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treasury strategy; the Company’s future capital requirements and sources and uses of cash, including funds to satisfy its liquidity needs and continued access to the line of credit extended by Intercontinental Holdings, Inc.;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8"/>
          <w:szCs w:val="18"/>
          <w:color w:val="auto"/>
        </w:rPr>
        <w:t>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ability to successfully complete a strategic transaction of the Loyalty business;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most recent quarterly report on Form 10-Q for the quarter ended March 31, 2025, and the risks regarding the Company’s adoption of its updated investment policy set forth in Exhibit 99.1 to the Current Report on Form 8-K filed with the SEC on June 10, 2025.</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such forward-looking statements. Such forward-looking statements relate only to events as of the date on which such statements are made and are based on information available to us as of the date of this Current Report.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June 10, 2025</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-7620</wp:posOffset>
            </wp:positionV>
            <wp:extent cx="10915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1565"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2025-06-10T15:22:07Z</dcterms:created>
  <dcterms:modified xsi:type="dcterms:W3CDTF">2025-06-10T15:22:07Z</dcterms:modified>
</cp:coreProperties>
</file>