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Michael Gavin Constantine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30009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02/22/2024</w:t>
            </w:r>
          </w:p>
        </w:tc>
        <w:tc>
          <w:tcPr>
            <w:tcW w:w="19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02/22/2024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93,591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2,271,290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February 13, 2024, the issuer withheld Class A Common Stock that would otherwise have been issued to the reporting person to satisfy such person's tax withholding obligations. The number of shares withheld was determined based on the closing price per share of Class A Common Stock on February 13,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1,131,800 shares of Class A Common Stock subject to restricted stock units awards that remain subject to vesting.</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Gavin</w:t>
      </w:r>
      <w:r>
        <w:rPr>
          <w:sz w:val="20"/>
          <w:szCs w:val="20"/>
          <w:color w:val="auto"/>
        </w:rPr>
        <w:tab/>
      </w:r>
      <w:r>
        <w:rPr>
          <w:rFonts w:ascii="Times New Roman" w:cs="Times New Roman" w:eastAsia="Times New Roman" w:hAnsi="Times New Roman"/>
          <w:sz w:val="17"/>
          <w:szCs w:val="17"/>
          <w:color w:val="0000FF"/>
        </w:rPr>
        <w:t>02/26/2024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Constantine Michael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1512"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2024-02-26T20:04:48Z</dcterms:created>
  <dcterms:modified xsi:type="dcterms:W3CDTF">2024-02-26T20:04:48Z</dcterms:modified>
</cp:coreProperties>
</file>