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Baes Nicholas</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12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04/28/2025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04/28/2025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2,528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106,282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("RSUs") on April 22, 2025, the issuer withheld Class A Common Stock that would otherwise have been issued to the reporting person to satisfy such person's tax withholding obligations. The number of shares withheld was determined based on the closing price per share of Class A Common Stock on April 22,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98,483 shares of Class A Common Stock subject to RSUs that remain subject to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4"/>
          <w:szCs w:val="34"/>
          <w:color w:val="0000FF"/>
          <w:vertAlign w:val="subscript"/>
        </w:rPr>
        <w:t>04/30/2025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Nicholas Baes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5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52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368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2025-04-30T16:37:40Z</dcterms:created>
  <dcterms:modified xsi:type="dcterms:W3CDTF">2025-04-30T16:37:40Z</dcterms:modified>
</cp:coreProperties>
</file>