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D'Annunzio Marc</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60" w:type="dxa"/>
            <w:vAlign w:val="bottom"/>
            <w:tcBorders>
              <w:top w:val="single" w:sz="8" w:color="0000EE"/>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02/15/2022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65"/>
        <w:spacing w:after="0"/>
        <w:rPr>
          <w:sz w:val="20"/>
          <w:szCs w:val="20"/>
          <w:color w:val="auto"/>
        </w:rPr>
      </w:pPr>
      <w:r>
        <w:rPr>
          <w:rFonts w:ascii="Arial" w:cs="Arial" w:eastAsia="Arial" w:hAnsi="Arial"/>
          <w:sz w:val="17"/>
          <w:szCs w:val="17"/>
          <w:color w:val="0000FF"/>
        </w:rPr>
        <w:t>General Counsel &amp; Secretary</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87,491</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287,491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Subject to the Reporting Person's continuing employment with the Issuer, the RSU will vest in three equal annual installments on the first three anniversaries of February 1, 2022, provided that the Reporting Person continues to be employed by the Issuer as of each vest date.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287,491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Marc D'Annunzio</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02/17/2022</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2022-02-17T18:13:10Z</dcterms:created>
  <dcterms:modified xsi:type="dcterms:W3CDTF">2022-02-17T18:13:10Z</dcterms:modified>
</cp:coreProperties>
</file>