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25400</wp:posOffset>
            </wp:positionV>
            <wp:extent cx="2888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05759B305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40" w:right="9120"/>
        <w:spacing w:after="0" w:line="258" w:lineRule="exact"/>
        <w:tabs>
          <w:tab w:leader="none" w:pos="101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13d-1(d)</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1 of 6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right="360"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320" w:top="30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CUSIP No. 05759B305</w:t>
            </w:r>
          </w:p>
        </w:tc>
        <w:tc>
          <w:tcPr>
            <w:tcW w:w="632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13G</w:t>
            </w:r>
          </w:p>
        </w:tc>
        <w:tc>
          <w:tcPr>
            <w:tcW w:w="310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w w:val="99"/>
              </w:rPr>
              <w:t>Page 2 of 6 Pages</w:t>
            </w:r>
          </w:p>
        </w:tc>
        <w:tc>
          <w:tcPr>
            <w:tcW w:w="0" w:type="dxa"/>
            <w:vAlign w:val="bottom"/>
          </w:tcPr>
          <w:p>
            <w:pPr>
              <w:spacing w:after="0"/>
              <w:rPr>
                <w:sz w:val="1"/>
                <w:szCs w:val="1"/>
                <w:color w:val="auto"/>
              </w:rPr>
            </w:pPr>
          </w:p>
        </w:tc>
      </w:tr>
      <w:tr>
        <w:trPr>
          <w:trHeight w:val="338"/>
        </w:trPr>
        <w:tc>
          <w:tcPr>
            <w:tcW w:w="18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46"/>
              <w:spacing w:after="0"/>
              <w:rPr>
                <w:sz w:val="20"/>
                <w:szCs w:val="20"/>
                <w:color w:val="auto"/>
              </w:rPr>
            </w:pPr>
            <w:r>
              <w:rPr>
                <w:rFonts w:ascii="Times New Roman" w:cs="Times New Roman" w:eastAsia="Times New Roman" w:hAnsi="Times New Roman"/>
                <w:sz w:val="29"/>
                <w:szCs w:val="29"/>
                <w:b w:val="1"/>
                <w:bCs w:val="1"/>
                <w:color w:val="auto"/>
              </w:rPr>
              <w:t>1</w:t>
            </w:r>
          </w:p>
        </w:tc>
        <w:tc>
          <w:tcPr>
            <w:tcW w:w="6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3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840" w:type="dxa"/>
            <w:vAlign w:val="bottom"/>
            <w:vMerge w:val="continue"/>
          </w:tcPr>
          <w:p>
            <w:pPr>
              <w:spacing w:after="0"/>
              <w:rPr>
                <w:sz w:val="14"/>
                <w:szCs w:val="14"/>
                <w:color w:val="auto"/>
              </w:rPr>
            </w:pPr>
          </w:p>
        </w:tc>
        <w:tc>
          <w:tcPr>
            <w:tcW w:w="63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Highbridge Capital Management, LLC</w:t>
            </w:r>
          </w:p>
        </w:tc>
        <w:tc>
          <w:tcPr>
            <w:tcW w:w="3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840" w:type="dxa"/>
            <w:vAlign w:val="bottom"/>
            <w:tcBorders>
              <w:bottom w:val="single" w:sz="8" w:color="auto"/>
            </w:tcBorders>
          </w:tcPr>
          <w:p>
            <w:pPr>
              <w:spacing w:after="0"/>
              <w:rPr>
                <w:sz w:val="11"/>
                <w:szCs w:val="11"/>
                <w:color w:val="auto"/>
              </w:rPr>
            </w:pPr>
          </w:p>
        </w:tc>
        <w:tc>
          <w:tcPr>
            <w:tcW w:w="6320" w:type="dxa"/>
            <w:vAlign w:val="bottom"/>
            <w:tcBorders>
              <w:bottom w:val="single" w:sz="8" w:color="auto"/>
            </w:tcBorders>
            <w:vMerge w:val="continue"/>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right"/>
              <w:ind w:right="746"/>
              <w:spacing w:after="0" w:line="196" w:lineRule="exact"/>
              <w:rPr>
                <w:sz w:val="20"/>
                <w:szCs w:val="20"/>
                <w:color w:val="auto"/>
              </w:rPr>
            </w:pPr>
            <w:r>
              <w:rPr>
                <w:rFonts w:ascii="Times New Roman" w:cs="Times New Roman" w:eastAsia="Times New Roman" w:hAnsi="Times New Roman"/>
                <w:sz w:val="22"/>
                <w:szCs w:val="22"/>
                <w:b w:val="1"/>
                <w:bCs w:val="1"/>
                <w:color w:val="auto"/>
              </w:rPr>
              <w:t>2</w:t>
            </w:r>
          </w:p>
        </w:tc>
        <w:tc>
          <w:tcPr>
            <w:tcW w:w="63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80" w:type="dxa"/>
            <w:vAlign w:val="bottom"/>
          </w:tcPr>
          <w:p>
            <w:pPr>
              <w:ind w:left="1840"/>
              <w:spacing w:after="0" w:line="196" w:lineRule="exact"/>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6320" w:type="dxa"/>
            <w:vAlign w:val="bottom"/>
            <w:vMerge w:val="continue"/>
          </w:tcPr>
          <w:p>
            <w:pPr>
              <w:spacing w:after="0"/>
              <w:rPr>
                <w:sz w:val="4"/>
                <w:szCs w:val="4"/>
                <w:color w:val="auto"/>
              </w:rPr>
            </w:pPr>
          </w:p>
        </w:tc>
        <w:tc>
          <w:tcPr>
            <w:tcW w:w="3100" w:type="dxa"/>
            <w:vAlign w:val="bottom"/>
            <w:gridSpan w:val="2"/>
            <w:vMerge w:val="restart"/>
          </w:tcPr>
          <w:p>
            <w:pPr>
              <w:ind w:left="1840"/>
              <w:spacing w:after="0" w:line="253" w:lineRule="exact"/>
              <w:rPr>
                <w:sz w:val="20"/>
                <w:szCs w:val="20"/>
                <w:color w:val="auto"/>
              </w:rPr>
            </w:pPr>
            <w:r>
              <w:rPr>
                <w:rFonts w:ascii="Times New Roman" w:cs="Times New Roman" w:eastAsia="Times New Roman" w:hAnsi="Times New Roman"/>
                <w:sz w:val="22"/>
                <w:szCs w:val="22"/>
                <w:color w:val="auto"/>
              </w:rPr>
              <w:t xml:space="preserve">(b)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361"/>
        </w:trPr>
        <w:tc>
          <w:tcPr>
            <w:tcW w:w="18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-747395</wp:posOffset>
            </wp:positionV>
            <wp:extent cx="7132320" cy="4483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483100"/>
                    </a:xfrm>
                    <a:prstGeom prst="rect">
                      <a:avLst/>
                    </a:prstGeom>
                    <a:noFill/>
                  </pic:spPr>
                </pic:pic>
              </a:graphicData>
            </a:graphic>
          </wp:anchor>
        </w:drawing>
      </w:r>
    </w:p>
    <w:p>
      <w:pPr>
        <w:ind w:left="1920" w:hanging="1079"/>
        <w:spacing w:after="0" w:line="183" w:lineRule="auto"/>
        <w:tabs>
          <w:tab w:leader="none" w:pos="1920" w:val="left"/>
        </w:tabs>
        <w:numPr>
          <w:ilvl w:val="0"/>
          <w:numId w:val="2"/>
        </w:numPr>
        <w:rPr>
          <w:rFonts w:ascii="Times New Roman" w:cs="Times New Roman" w:eastAsia="Times New Roman" w:hAnsi="Times New Roman"/>
          <w:sz w:val="25"/>
          <w:szCs w:val="25"/>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818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State of Delaware</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818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6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6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5"/>
                <w:szCs w:val="15"/>
                <w:color w:val="auto"/>
              </w:rPr>
            </w:pPr>
          </w:p>
        </w:tc>
        <w:tc>
          <w:tcPr>
            <w:tcW w:w="6680" w:type="dxa"/>
            <w:vAlign w:val="bottom"/>
            <w:vMerge w:val="restart"/>
          </w:tcPr>
          <w:p>
            <w:pPr>
              <w:ind w:left="420"/>
              <w:spacing w:after="0" w:line="211" w:lineRule="exact"/>
              <w:rPr>
                <w:sz w:val="20"/>
                <w:szCs w:val="20"/>
                <w:color w:val="auto"/>
              </w:rPr>
            </w:pPr>
            <w:r>
              <w:rPr>
                <w:rFonts w:ascii="Times New Roman" w:cs="Times New Roman" w:eastAsia="Times New Roman" w:hAnsi="Times New Roman"/>
                <w:sz w:val="20"/>
                <w:szCs w:val="20"/>
                <w:color w:val="auto"/>
              </w:rPr>
              <w:t>0</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800" w:type="dxa"/>
            <w:vAlign w:val="bottom"/>
            <w:vMerge w:val="continue"/>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6680" w:type="dxa"/>
            <w:vAlign w:val="bottom"/>
            <w:vMerge w:val="continue"/>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80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bottom w:val="single" w:sz="8" w:color="auto"/>
              <w:right w:val="single" w:sz="8" w:color="auto"/>
            </w:tcBorders>
          </w:tcPr>
          <w:p>
            <w:pPr>
              <w:spacing w:after="0"/>
              <w:rPr>
                <w:sz w:val="12"/>
                <w:szCs w:val="12"/>
                <w:color w:val="auto"/>
              </w:rPr>
            </w:pPr>
          </w:p>
        </w:tc>
        <w:tc>
          <w:tcPr>
            <w:tcW w:w="66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6</w:t>
            </w:r>
          </w:p>
        </w:tc>
        <w:tc>
          <w:tcPr>
            <w:tcW w:w="6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5"/>
                <w:szCs w:val="15"/>
                <w:color w:val="auto"/>
              </w:rPr>
            </w:pPr>
          </w:p>
        </w:tc>
        <w:tc>
          <w:tcPr>
            <w:tcW w:w="6680" w:type="dxa"/>
            <w:vAlign w:val="bottom"/>
            <w:vMerge w:val="restart"/>
          </w:tcPr>
          <w:p>
            <w:pPr>
              <w:ind w:left="420"/>
              <w:spacing w:after="0" w:line="211" w:lineRule="exact"/>
              <w:rPr>
                <w:sz w:val="20"/>
                <w:szCs w:val="20"/>
                <w:color w:val="auto"/>
              </w:rPr>
            </w:pPr>
            <w:r>
              <w:rPr>
                <w:rFonts w:ascii="Times New Roman" w:cs="Times New Roman" w:eastAsia="Times New Roman" w:hAnsi="Times New Roman"/>
                <w:sz w:val="20"/>
                <w:szCs w:val="20"/>
                <w:color w:val="auto"/>
              </w:rPr>
              <w:t>692,042 shares of Class A Common Stock issuable upon exercise of warrants</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800" w:type="dxa"/>
            <w:vAlign w:val="bottom"/>
            <w:vMerge w:val="continue"/>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6680" w:type="dxa"/>
            <w:vAlign w:val="bottom"/>
            <w:vMerge w:val="continue"/>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80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bottom w:val="single" w:sz="8" w:color="auto"/>
              <w:right w:val="single" w:sz="8" w:color="auto"/>
            </w:tcBorders>
          </w:tcPr>
          <w:p>
            <w:pPr>
              <w:spacing w:after="0"/>
              <w:rPr>
                <w:sz w:val="12"/>
                <w:szCs w:val="12"/>
                <w:color w:val="auto"/>
              </w:rPr>
            </w:pPr>
          </w:p>
        </w:tc>
        <w:tc>
          <w:tcPr>
            <w:tcW w:w="66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7</w:t>
            </w:r>
          </w:p>
        </w:tc>
        <w:tc>
          <w:tcPr>
            <w:tcW w:w="6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68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68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66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6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68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692,042 shares of Class A Common Stock issuable upon exercise of warrants</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68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66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818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692,042 shares of Class A Common Stock issuable upon exercise of warrants</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818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6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8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1260" w:type="dxa"/>
            <w:vAlign w:val="bottom"/>
          </w:tcPr>
          <w:p>
            <w:pPr>
              <w:ind w:left="12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8180" w:type="dxa"/>
            <w:vAlign w:val="bottom"/>
            <w:gridSpan w:val="2"/>
            <w:vMerge w:val="continue"/>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66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9.9%</w:t>
            </w:r>
          </w:p>
        </w:tc>
        <w:tc>
          <w:tcPr>
            <w:tcW w:w="6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6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6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IA, OO</w:t>
            </w:r>
          </w:p>
        </w:tc>
        <w:tc>
          <w:tcPr>
            <w:tcW w:w="6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6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 w:name="page3"/>
    <w:bookmarkEnd w:id="2"/>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05759B305</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3 of 6 Pages</w:t>
      </w:r>
    </w:p>
    <w:p>
      <w:pPr>
        <w:spacing w:after="0" w:line="34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NAME OF ISSUER:</w:t>
      </w:r>
    </w:p>
    <w:p>
      <w:pPr>
        <w:spacing w:after="0" w:line="2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The name of the issuer is Bakkt Holdings,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ADDRESS OF ISSUER'S PRINCIPAL EXECUTIVE OFFICES:</w:t>
      </w:r>
    </w:p>
    <w:p>
      <w:pPr>
        <w:spacing w:after="0" w:line="233" w:lineRule="exact"/>
        <w:rPr>
          <w:sz w:val="20"/>
          <w:szCs w:val="20"/>
          <w:color w:val="auto"/>
        </w:rPr>
      </w:pPr>
    </w:p>
    <w:p>
      <w:pPr>
        <w:jc w:val="both"/>
        <w:ind w:left="1700" w:right="100"/>
        <w:spacing w:after="0" w:line="269" w:lineRule="auto"/>
        <w:rPr>
          <w:sz w:val="20"/>
          <w:szCs w:val="20"/>
          <w:color w:val="auto"/>
        </w:rPr>
      </w:pPr>
      <w:r>
        <w:rPr>
          <w:rFonts w:ascii="Times New Roman" w:cs="Times New Roman" w:eastAsia="Times New Roman" w:hAnsi="Times New Roman"/>
          <w:sz w:val="20"/>
          <w:szCs w:val="20"/>
          <w:color w:val="auto"/>
        </w:rPr>
        <w:t>The Company's principal executive offices are located at 10000 Avalon Boulevard, Suite 1000, Alpharetta, Georgia 30009</w:t>
      </w:r>
    </w:p>
    <w:p>
      <w:pPr>
        <w:spacing w:after="0" w:line="16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2(a).</w:t>
      </w:r>
      <w:r>
        <w:rPr>
          <w:sz w:val="20"/>
          <w:szCs w:val="20"/>
          <w:color w:val="auto"/>
        </w:rPr>
        <w:tab/>
      </w:r>
      <w:r>
        <w:rPr>
          <w:rFonts w:ascii="Times New Roman" w:cs="Times New Roman" w:eastAsia="Times New Roman" w:hAnsi="Times New Roman"/>
          <w:sz w:val="19"/>
          <w:szCs w:val="19"/>
          <w:b w:val="1"/>
          <w:bCs w:val="1"/>
          <w:color w:val="auto"/>
        </w:rPr>
        <w:t>NAME OF PERSON FILING:</w:t>
      </w:r>
    </w:p>
    <w:p>
      <w:pPr>
        <w:spacing w:after="0" w:line="233" w:lineRule="exact"/>
        <w:rPr>
          <w:sz w:val="20"/>
          <w:szCs w:val="20"/>
          <w:color w:val="auto"/>
        </w:rPr>
      </w:pPr>
    </w:p>
    <w:p>
      <w:pPr>
        <w:jc w:val="both"/>
        <w:ind w:left="1700" w:right="100"/>
        <w:spacing w:after="0" w:line="249" w:lineRule="auto"/>
        <w:rPr>
          <w:sz w:val="20"/>
          <w:szCs w:val="20"/>
          <w:color w:val="auto"/>
        </w:rPr>
      </w:pPr>
      <w:r>
        <w:rPr>
          <w:rFonts w:ascii="Times New Roman" w:cs="Times New Roman" w:eastAsia="Times New Roman" w:hAnsi="Times New Roman"/>
          <w:sz w:val="20"/>
          <w:szCs w:val="20"/>
          <w:color w:val="auto"/>
        </w:rPr>
        <w:t>This statement is filed by Highbridge Capital Management, LLC (“</w:t>
      </w:r>
      <w:r>
        <w:rPr>
          <w:rFonts w:ascii="Times New Roman" w:cs="Times New Roman" w:eastAsia="Times New Roman" w:hAnsi="Times New Roman"/>
          <w:sz w:val="20"/>
          <w:szCs w:val="20"/>
          <w:u w:val="single" w:color="auto"/>
          <w:color w:val="auto"/>
        </w:rPr>
        <w:t>Highbridge</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u w:val="single" w:color="auto"/>
          <w:color w:val="auto"/>
        </w:rPr>
        <w:t>Reporting Person</w:t>
      </w:r>
      <w:r>
        <w:rPr>
          <w:rFonts w:ascii="Times New Roman" w:cs="Times New Roman" w:eastAsia="Times New Roman" w:hAnsi="Times New Roman"/>
          <w:sz w:val="20"/>
          <w:szCs w:val="20"/>
          <w:color w:val="auto"/>
        </w:rPr>
        <w:t>”), a Delaware limited liability company and the investment adviser to certain funds and accounts (the “</w:t>
      </w:r>
      <w:r>
        <w:rPr>
          <w:rFonts w:ascii="Times New Roman" w:cs="Times New Roman" w:eastAsia="Times New Roman" w:hAnsi="Times New Roman"/>
          <w:sz w:val="20"/>
          <w:szCs w:val="20"/>
          <w:u w:val="single" w:color="auto"/>
          <w:color w:val="auto"/>
        </w:rPr>
        <w:t>Highbridge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Funds</w:t>
      </w:r>
      <w:r>
        <w:rPr>
          <w:rFonts w:ascii="Times New Roman" w:cs="Times New Roman" w:eastAsia="Times New Roman" w:hAnsi="Times New Roman"/>
          <w:sz w:val="20"/>
          <w:szCs w:val="20"/>
          <w:color w:val="auto"/>
        </w:rPr>
        <w:t>”), with respect to the shares of Class A Common Stock (as defined in Item 2(d) below) issuable upon exercise of warrants directly held by the Highbridge Funds.</w:t>
      </w:r>
    </w:p>
    <w:p>
      <w:pPr>
        <w:spacing w:after="0" w:line="193" w:lineRule="exact"/>
        <w:rPr>
          <w:sz w:val="20"/>
          <w:szCs w:val="20"/>
          <w:color w:val="auto"/>
        </w:rPr>
      </w:pPr>
    </w:p>
    <w:p>
      <w:pPr>
        <w:jc w:val="both"/>
        <w:ind w:left="1700" w:right="100"/>
        <w:spacing w:after="0" w:line="269" w:lineRule="auto"/>
        <w:rPr>
          <w:sz w:val="20"/>
          <w:szCs w:val="20"/>
          <w:color w:val="auto"/>
        </w:rPr>
      </w:pPr>
      <w:r>
        <w:rPr>
          <w:rFonts w:ascii="Times New Roman" w:cs="Times New Roman" w:eastAsia="Times New Roman" w:hAnsi="Times New Roman"/>
          <w:sz w:val="20"/>
          <w:szCs w:val="20"/>
          <w:color w:val="auto"/>
        </w:rPr>
        <w:t>The filing of this statement should not be construed as an admission that any of the foregoing persons or the Reporting Person is, for the purposes of Section 13 of the Act, the beneficial owner of the securities reported herein.</w:t>
      </w:r>
    </w:p>
    <w:p>
      <w:pPr>
        <w:spacing w:after="0" w:line="15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2(b).</w:t>
      </w:r>
      <w:r>
        <w:rPr>
          <w:sz w:val="20"/>
          <w:szCs w:val="20"/>
          <w:color w:val="auto"/>
        </w:rPr>
        <w:tab/>
      </w:r>
      <w:r>
        <w:rPr>
          <w:rFonts w:ascii="Times New Roman" w:cs="Times New Roman" w:eastAsia="Times New Roman" w:hAnsi="Times New Roman"/>
          <w:sz w:val="19"/>
          <w:szCs w:val="19"/>
          <w:b w:val="1"/>
          <w:bCs w:val="1"/>
          <w:color w:val="auto"/>
        </w:rPr>
        <w:t>ADDRESS OF PRINCIPAL BUSINESS OFFICE OR, IF NONE, RESIDENCE:</w:t>
      </w:r>
    </w:p>
    <w:p>
      <w:pPr>
        <w:spacing w:after="0" w:line="233" w:lineRule="exact"/>
        <w:rPr>
          <w:sz w:val="20"/>
          <w:szCs w:val="20"/>
          <w:color w:val="auto"/>
        </w:rPr>
      </w:pPr>
    </w:p>
    <w:p>
      <w:pPr>
        <w:ind w:left="1700" w:right="580"/>
        <w:spacing w:after="0" w:line="269" w:lineRule="auto"/>
        <w:rPr>
          <w:sz w:val="20"/>
          <w:szCs w:val="20"/>
          <w:color w:val="auto"/>
        </w:rPr>
      </w:pPr>
      <w:r>
        <w:rPr>
          <w:rFonts w:ascii="Times New Roman" w:cs="Times New Roman" w:eastAsia="Times New Roman" w:hAnsi="Times New Roman"/>
          <w:sz w:val="20"/>
          <w:szCs w:val="20"/>
          <w:color w:val="auto"/>
        </w:rPr>
        <w:t>The address of the business office of the Reporting Person is 277 Park Avenue, 23rd Floor, New York, New York 10172.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98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980" w:type="dxa"/>
            <w:vAlign w:val="bottom"/>
            <w:gridSpan w:val="5"/>
          </w:tcPr>
          <w:p>
            <w:pPr>
              <w:ind w:left="440"/>
              <w:spacing w:after="0"/>
              <w:rPr>
                <w:sz w:val="20"/>
                <w:szCs w:val="20"/>
                <w:color w:val="auto"/>
              </w:rPr>
            </w:pPr>
            <w:r>
              <w:rPr>
                <w:rFonts w:ascii="Times New Roman" w:cs="Times New Roman" w:eastAsia="Times New Roman" w:hAnsi="Times New Roman"/>
                <w:sz w:val="20"/>
                <w:szCs w:val="20"/>
                <w:color w:val="auto"/>
              </w:rPr>
              <w:t>Highbridge is a Delaware limited liability company.</w:t>
            </w: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98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413"/>
        </w:trPr>
        <w:tc>
          <w:tcPr>
            <w:tcW w:w="1260" w:type="dxa"/>
            <w:vAlign w:val="bottom"/>
          </w:tcPr>
          <w:p>
            <w:pPr>
              <w:spacing w:after="0"/>
              <w:rPr>
                <w:sz w:val="24"/>
                <w:szCs w:val="24"/>
                <w:color w:val="auto"/>
              </w:rPr>
            </w:pPr>
          </w:p>
        </w:tc>
        <w:tc>
          <w:tcPr>
            <w:tcW w:w="9980" w:type="dxa"/>
            <w:vAlign w:val="bottom"/>
            <w:gridSpan w:val="5"/>
          </w:tcPr>
          <w:p>
            <w:pPr>
              <w:ind w:left="440"/>
              <w:spacing w:after="0"/>
              <w:rPr>
                <w:sz w:val="20"/>
                <w:szCs w:val="20"/>
                <w:color w:val="auto"/>
              </w:rPr>
            </w:pPr>
            <w:r>
              <w:rPr>
                <w:rFonts w:ascii="Times New Roman" w:cs="Times New Roman" w:eastAsia="Times New Roman" w:hAnsi="Times New Roman"/>
                <w:sz w:val="20"/>
                <w:szCs w:val="20"/>
                <w:color w:val="auto"/>
              </w:rPr>
              <w:t>Class A Common Stock, par value $0.0001 per share (the “Common Stock”).</w:t>
            </w:r>
          </w:p>
        </w:tc>
      </w:tr>
      <w:tr>
        <w:trPr>
          <w:trHeight w:val="48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5120" w:type="dxa"/>
            <w:vAlign w:val="bottom"/>
            <w:gridSpan w:val="3"/>
          </w:tcPr>
          <w:p>
            <w:pPr>
              <w:ind w:left="440"/>
              <w:spacing w:after="0"/>
              <w:rPr>
                <w:sz w:val="20"/>
                <w:szCs w:val="20"/>
                <w:color w:val="auto"/>
              </w:rPr>
            </w:pPr>
            <w:r>
              <w:rPr>
                <w:rFonts w:ascii="Times New Roman" w:cs="Times New Roman" w:eastAsia="Times New Roman" w:hAnsi="Times New Roman"/>
                <w:sz w:val="20"/>
                <w:szCs w:val="20"/>
                <w:b w:val="1"/>
                <w:bCs w:val="1"/>
                <w:color w:val="auto"/>
              </w:rPr>
              <w:t>CUSIP NUMBER:</w:t>
            </w:r>
          </w:p>
        </w:tc>
        <w:tc>
          <w:tcPr>
            <w:tcW w:w="1240" w:type="dxa"/>
            <w:vAlign w:val="bottom"/>
            <w:tcBorders>
              <w:top w:val="single" w:sz="8" w:color="auto"/>
            </w:tcBorders>
          </w:tcPr>
          <w:p>
            <w:pPr>
              <w:spacing w:after="0"/>
              <w:rPr>
                <w:sz w:val="24"/>
                <w:szCs w:val="24"/>
                <w:color w:val="auto"/>
              </w:rPr>
            </w:pPr>
          </w:p>
        </w:tc>
        <w:tc>
          <w:tcPr>
            <w:tcW w:w="3620" w:type="dxa"/>
            <w:vAlign w:val="bottom"/>
          </w:tcPr>
          <w:p>
            <w:pPr>
              <w:spacing w:after="0"/>
              <w:rPr>
                <w:sz w:val="24"/>
                <w:szCs w:val="24"/>
                <w:color w:val="auto"/>
              </w:rPr>
            </w:pPr>
          </w:p>
        </w:tc>
      </w:tr>
      <w:tr>
        <w:trPr>
          <w:trHeight w:val="459"/>
        </w:trPr>
        <w:tc>
          <w:tcPr>
            <w:tcW w:w="1260" w:type="dxa"/>
            <w:vAlign w:val="bottom"/>
          </w:tcPr>
          <w:p>
            <w:pPr>
              <w:spacing w:after="0"/>
              <w:rPr>
                <w:sz w:val="24"/>
                <w:szCs w:val="24"/>
                <w:color w:val="auto"/>
              </w:rPr>
            </w:pPr>
          </w:p>
        </w:tc>
        <w:tc>
          <w:tcPr>
            <w:tcW w:w="162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05759B305</w:t>
            </w:r>
          </w:p>
        </w:tc>
        <w:tc>
          <w:tcPr>
            <w:tcW w:w="3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2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3.</w:t>
            </w:r>
          </w:p>
        </w:tc>
        <w:tc>
          <w:tcPr>
            <w:tcW w:w="998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w w:val="99"/>
              </w:rPr>
              <w:t>IF THIS STATEMENT IS FILED PURSUANT TO RULES 13d-1(b) OR 13d-2(b) OR (c), CHECK WHETHER</w:t>
            </w:r>
          </w:p>
        </w:tc>
      </w:tr>
      <w:tr>
        <w:trPr>
          <w:trHeight w:val="262"/>
        </w:trPr>
        <w:tc>
          <w:tcPr>
            <w:tcW w:w="1260" w:type="dxa"/>
            <w:vAlign w:val="bottom"/>
          </w:tcPr>
          <w:p>
            <w:pPr>
              <w:spacing w:after="0"/>
              <w:rPr>
                <w:sz w:val="22"/>
                <w:szCs w:val="22"/>
                <w:color w:val="auto"/>
              </w:rPr>
            </w:pPr>
          </w:p>
        </w:tc>
        <w:tc>
          <w:tcPr>
            <w:tcW w:w="998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rPr>
              <w:t>THE PERSON FILING IS A:</w:t>
            </w:r>
          </w:p>
        </w:tc>
      </w:tr>
      <w:tr>
        <w:trPr>
          <w:trHeight w:val="503"/>
        </w:trPr>
        <w:tc>
          <w:tcPr>
            <w:tcW w:w="1260" w:type="dxa"/>
            <w:vAlign w:val="bottom"/>
          </w:tcPr>
          <w:p>
            <w:pPr>
              <w:spacing w:after="0"/>
              <w:rPr>
                <w:sz w:val="24"/>
                <w:szCs w:val="24"/>
                <w:color w:val="auto"/>
              </w:rPr>
            </w:pPr>
          </w:p>
        </w:tc>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(a)</w:t>
            </w:r>
          </w:p>
        </w:tc>
        <w:tc>
          <w:tcPr>
            <w:tcW w:w="58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3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Broker or dealer registered under Section 15 of the Act,</w:t>
            </w:r>
          </w:p>
        </w:tc>
      </w:tr>
      <w:tr>
        <w:trPr>
          <w:trHeight w:val="445"/>
        </w:trPr>
        <w:tc>
          <w:tcPr>
            <w:tcW w:w="1260" w:type="dxa"/>
            <w:vAlign w:val="bottom"/>
          </w:tcPr>
          <w:p>
            <w:pPr>
              <w:spacing w:after="0"/>
              <w:rPr>
                <w:sz w:val="24"/>
                <w:szCs w:val="24"/>
                <w:color w:val="auto"/>
              </w:rPr>
            </w:pPr>
          </w:p>
        </w:tc>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(b)</w:t>
            </w:r>
          </w:p>
        </w:tc>
        <w:tc>
          <w:tcPr>
            <w:tcW w:w="58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3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Bank as defined in Section 3(a)(6) of the Act,</w:t>
            </w:r>
          </w:p>
        </w:tc>
      </w:tr>
      <w:tr>
        <w:trPr>
          <w:trHeight w:val="445"/>
        </w:trPr>
        <w:tc>
          <w:tcPr>
            <w:tcW w:w="1260" w:type="dxa"/>
            <w:vAlign w:val="bottom"/>
          </w:tcPr>
          <w:p>
            <w:pPr>
              <w:spacing w:after="0"/>
              <w:rPr>
                <w:sz w:val="24"/>
                <w:szCs w:val="24"/>
                <w:color w:val="auto"/>
              </w:rPr>
            </w:pPr>
          </w:p>
        </w:tc>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w:t>
            </w:r>
          </w:p>
        </w:tc>
        <w:tc>
          <w:tcPr>
            <w:tcW w:w="58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3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Insurance Company as defined in Section 3(a)(19) of the Act,</w:t>
            </w:r>
          </w:p>
        </w:tc>
      </w:tr>
      <w:tr>
        <w:trPr>
          <w:trHeight w:val="445"/>
        </w:trPr>
        <w:tc>
          <w:tcPr>
            <w:tcW w:w="1260" w:type="dxa"/>
            <w:vAlign w:val="bottom"/>
          </w:tcPr>
          <w:p>
            <w:pPr>
              <w:spacing w:after="0"/>
              <w:rPr>
                <w:sz w:val="24"/>
                <w:szCs w:val="24"/>
                <w:color w:val="auto"/>
              </w:rPr>
            </w:pPr>
          </w:p>
        </w:tc>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(d)</w:t>
            </w:r>
          </w:p>
        </w:tc>
        <w:tc>
          <w:tcPr>
            <w:tcW w:w="58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3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Investment Company registered under Section 8 of the Investment Company Act of 1940,</w:t>
            </w:r>
          </w:p>
        </w:tc>
      </w:tr>
    </w:tbl>
    <w:p>
      <w:pPr>
        <w:sectPr>
          <w:pgSz w:w="11900" w:h="16838" w:orient="portrait"/>
          <w:cols w:equalWidth="0" w:num="1">
            <w:col w:w="11240"/>
          </w:cols>
          <w:pgMar w:left="320" w:top="225" w:right="339" w:bottom="1440" w:gutter="0" w:footer="0" w:header="0"/>
        </w:sectPr>
      </w:pPr>
    </w:p>
    <w:bookmarkStart w:id="3" w:name="page4"/>
    <w:bookmarkEnd w:id="3"/>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05759B305</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4 of 6 Pages</w:t>
      </w:r>
    </w:p>
    <w:p>
      <w:pPr>
        <w:spacing w:after="0" w:line="314" w:lineRule="exact"/>
        <w:rPr>
          <w:sz w:val="20"/>
          <w:szCs w:val="20"/>
          <w:color w:val="auto"/>
        </w:rPr>
      </w:pPr>
    </w:p>
    <w:p>
      <w:pPr>
        <w:ind w:left="2560" w:hanging="767"/>
        <w:spacing w:after="0" w:line="230" w:lineRule="exact"/>
        <w:tabs>
          <w:tab w:leader="none" w:pos="2560" w:val="left"/>
        </w:tabs>
        <w:numPr>
          <w:ilvl w:val="0"/>
          <w:numId w:val="3"/>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An investment adviser in accordance with Rule 13d-1(b)(1)(ii)(E),</w:t>
      </w:r>
    </w:p>
    <w:p>
      <w:pPr>
        <w:spacing w:after="0" w:line="229"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3"/>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Employee Benefit Plan or Endowment Fund in accordance with Rule 13d-1(b)(1)(ii)(F),</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3"/>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Parent Holding Company or control person in accordance with Rule 13d-1(b)(1)(ii)(G),</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3"/>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Savings Association as defined in Section 3(b) of the Federal Deposit Insurance Act,</w:t>
      </w:r>
    </w:p>
    <w:p>
      <w:pPr>
        <w:spacing w:after="0" w:line="215" w:lineRule="exact"/>
        <w:rPr>
          <w:rFonts w:ascii="Times New Roman" w:cs="Times New Roman" w:eastAsia="Times New Roman" w:hAnsi="Times New Roman"/>
          <w:sz w:val="20"/>
          <w:szCs w:val="20"/>
          <w:color w:val="auto"/>
        </w:rPr>
      </w:pPr>
    </w:p>
    <w:p>
      <w:pPr>
        <w:ind w:left="3040" w:right="260" w:hanging="1247"/>
        <w:spacing w:after="0" w:line="260" w:lineRule="exact"/>
        <w:tabs>
          <w:tab w:leader="none" w:pos="2572" w:val="left"/>
        </w:tabs>
        <w:numPr>
          <w:ilvl w:val="0"/>
          <w:numId w:val="3"/>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w:t>
      </w:r>
    </w:p>
    <w:p>
      <w:pPr>
        <w:spacing w:after="0" w:line="15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3"/>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3"/>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p>
      <w:pPr>
        <w:spacing w:after="0" w:line="200" w:lineRule="exact"/>
        <w:rPr>
          <w:sz w:val="20"/>
          <w:szCs w:val="20"/>
          <w:color w:val="auto"/>
        </w:rPr>
      </w:pPr>
    </w:p>
    <w:p>
      <w:pPr>
        <w:spacing w:after="0" w:line="277" w:lineRule="exact"/>
        <w:rPr>
          <w:sz w:val="20"/>
          <w:szCs w:val="20"/>
          <w:color w:val="auto"/>
        </w:rPr>
      </w:pPr>
    </w:p>
    <w:p>
      <w:pPr>
        <w:ind w:left="1800" w:right="2880"/>
        <w:spacing w:after="0" w:line="295" w:lineRule="auto"/>
        <w:rPr>
          <w:sz w:val="20"/>
          <w:szCs w:val="20"/>
          <w:color w:val="auto"/>
        </w:rPr>
      </w:pPr>
      <w:r>
        <w:rPr>
          <w:rFonts w:ascii="Times New Roman" w:cs="Times New Roman" w:eastAsia="Times New Roman" w:hAnsi="Times New Roman"/>
          <w:sz w:val="19"/>
          <w:szCs w:val="19"/>
          <w:color w:val="auto"/>
        </w:rPr>
        <w:t>If filing as a non-U.S. institution in accordance with Rule 13d-1(b)(1)(ii)(J), please specify the type of institution:__________________________________________</w:t>
      </w:r>
    </w:p>
    <w:p>
      <w:pPr>
        <w:spacing w:after="0" w:line="201"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33" w:lineRule="exact"/>
        <w:rPr>
          <w:sz w:val="20"/>
          <w:szCs w:val="20"/>
          <w:color w:val="auto"/>
        </w:rPr>
      </w:pPr>
    </w:p>
    <w:p>
      <w:pPr>
        <w:ind w:left="1700" w:right="28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of the Reporting Person and is incorporated herein by reference.</w:t>
      </w:r>
    </w:p>
    <w:p>
      <w:pPr>
        <w:spacing w:after="0" w:line="173" w:lineRule="exact"/>
        <w:rPr>
          <w:sz w:val="20"/>
          <w:szCs w:val="20"/>
          <w:color w:val="auto"/>
        </w:rPr>
      </w:pPr>
    </w:p>
    <w:p>
      <w:pPr>
        <w:jc w:val="both"/>
        <w:ind w:left="1700" w:right="100"/>
        <w:spacing w:after="0" w:line="249" w:lineRule="auto"/>
        <w:rPr>
          <w:sz w:val="20"/>
          <w:szCs w:val="20"/>
          <w:color w:val="auto"/>
        </w:rPr>
      </w:pPr>
      <w:r>
        <w:rPr>
          <w:rFonts w:ascii="Times New Roman" w:cs="Times New Roman" w:eastAsia="Times New Roman" w:hAnsi="Times New Roman"/>
          <w:sz w:val="20"/>
          <w:szCs w:val="20"/>
          <w:color w:val="auto"/>
        </w:rPr>
        <w:t>The percentages set forth herein are calculated based upon 6,321,593 shares of Class A Common Stock reported to be outstanding as of August 9, 2024, as reported in the Company's Quarterly Report on Form 10-Q for the quarterly period ended June 30, 2024, filed with the Securities and Exchange Commission on August 14, 2024, and assumes the exercise of the warrants held by the Highbridge Funds.</w:t>
      </w:r>
    </w:p>
    <w:p>
      <w:pPr>
        <w:spacing w:after="0" w:line="18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jc w:val="both"/>
        <w:ind w:left="1700" w:right="20"/>
        <w:spacing w:after="0" w:line="249" w:lineRule="auto"/>
        <w:rPr>
          <w:sz w:val="20"/>
          <w:szCs w:val="20"/>
          <w:color w:val="auto"/>
        </w:rPr>
      </w:pPr>
      <w:r>
        <w:rPr>
          <w:rFonts w:ascii="Times New Roman" w:cs="Times New Roman" w:eastAsia="Times New Roman" w:hAnsi="Times New Roman"/>
          <w:sz w:val="20"/>
          <w:szCs w:val="20"/>
          <w:color w:val="auto"/>
        </w:rPr>
        <w:t>See Item 2. The Highbridge Funds have the right to receive or the power to direct the receipt of dividends from, or the proceeds from the sale of, the Class A Common Stock reported herein. Highbridge Tactical Credit Master Fund, L.P., a Highbridge Fund, has the right to receive or the power to direct the receipt of dividends or the proceeds from the sale of more than 5% of the Class A Common Stock.</w:t>
      </w:r>
    </w:p>
    <w:p>
      <w:pPr>
        <w:spacing w:after="0" w:line="189" w:lineRule="exact"/>
        <w:rPr>
          <w:sz w:val="20"/>
          <w:szCs w:val="20"/>
          <w:color w:val="auto"/>
        </w:rPr>
      </w:pPr>
    </w:p>
    <w:p>
      <w:pPr>
        <w:ind w:left="1700" w:hanging="1686"/>
        <w:spacing w:after="0" w:line="273" w:lineRule="auto"/>
        <w:tabs>
          <w:tab w:leader="none" w:pos="16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11240"/>
          </w:cols>
          <w:pgMar w:left="320" w:top="225" w:right="339" w:bottom="1440" w:gutter="0" w:footer="0" w:header="0"/>
        </w:sectPr>
      </w:pPr>
    </w:p>
    <w:bookmarkStart w:id="4" w:name="page5"/>
    <w:bookmarkEnd w:id="4"/>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05759B305</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5 of 6 Pages</w:t>
      </w:r>
    </w:p>
    <w:p>
      <w:pPr>
        <w:spacing w:after="0" w:line="34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The Reporting Person hereby makes the following certification:</w:t>
      </w:r>
    </w:p>
    <w:p>
      <w:pPr>
        <w:spacing w:after="0" w:line="229" w:lineRule="exact"/>
        <w:rPr>
          <w:sz w:val="20"/>
          <w:szCs w:val="20"/>
          <w:color w:val="auto"/>
        </w:rPr>
      </w:pPr>
    </w:p>
    <w:p>
      <w:pPr>
        <w:jc w:val="both"/>
        <w:ind w:left="1700" w:right="100"/>
        <w:spacing w:after="0" w:line="249" w:lineRule="auto"/>
        <w:rPr>
          <w:sz w:val="20"/>
          <w:szCs w:val="20"/>
          <w:color w:val="auto"/>
        </w:rPr>
      </w:pPr>
      <w:r>
        <w:rPr>
          <w:rFonts w:ascii="Times New Roman" w:cs="Times New Roman" w:eastAsia="Times New Roman" w:hAnsi="Times New Roman"/>
          <w:sz w:val="20"/>
          <w:szCs w:val="20"/>
          <w:color w:val="auto"/>
        </w:rPr>
        <w:t>By signing below the Reporting Person certifies that, to the best of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5" w:right="339" w:bottom="1440" w:gutter="0" w:footer="0" w:header="0"/>
        </w:sectPr>
      </w:pPr>
    </w:p>
    <w:bookmarkStart w:id="5" w:name="page6"/>
    <w:bookmarkEnd w:id="5"/>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05759B305</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6 of 6 Pages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our knowledge and belief, the undersigned certifies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November 14,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HIGHBRIDGE CAPITAL MANAGEMENT, LLC</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160" w:type="dxa"/>
            <w:vAlign w:val="bottom"/>
          </w:tcPr>
          <w:p>
            <w:pPr>
              <w:spacing w:after="0"/>
              <w:rPr>
                <w:sz w:val="20"/>
                <w:szCs w:val="20"/>
                <w:color w:val="auto"/>
              </w:rPr>
            </w:pPr>
            <w:r>
              <w:rPr>
                <w:rFonts w:ascii="Times New Roman" w:cs="Times New Roman" w:eastAsia="Times New Roman" w:hAnsi="Times New Roman"/>
                <w:sz w:val="20"/>
                <w:szCs w:val="20"/>
                <w:color w:val="auto"/>
              </w:rPr>
              <w:t>/s/ Kirk Rule</w:t>
            </w:r>
          </w:p>
        </w:tc>
        <w:tc>
          <w:tcPr>
            <w:tcW w:w="0" w:type="dxa"/>
            <w:vAlign w:val="bottom"/>
          </w:tcPr>
          <w:p>
            <w:pPr>
              <w:spacing w:after="0"/>
              <w:rPr>
                <w:sz w:val="1"/>
                <w:szCs w:val="1"/>
                <w:color w:val="auto"/>
              </w:rPr>
            </w:pPr>
          </w:p>
        </w:tc>
      </w:tr>
      <w:tr>
        <w:trPr>
          <w:trHeight w:val="23"/>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020" w:type="dxa"/>
            <w:vAlign w:val="bottom"/>
            <w:vMerge w:val="continue"/>
          </w:tcPr>
          <w:p>
            <w:pPr>
              <w:spacing w:after="0"/>
              <w:rPr>
                <w:sz w:val="17"/>
                <w:szCs w:val="17"/>
                <w:color w:val="auto"/>
              </w:rPr>
            </w:pPr>
          </w:p>
        </w:tc>
        <w:tc>
          <w:tcPr>
            <w:tcW w:w="41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Kirk Rule</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160" w:type="dxa"/>
            <w:vAlign w:val="bottom"/>
          </w:tcPr>
          <w:p>
            <w:pPr>
              <w:spacing w:after="0"/>
              <w:rPr>
                <w:sz w:val="20"/>
                <w:szCs w:val="20"/>
                <w:color w:val="auto"/>
              </w:rPr>
            </w:pPr>
            <w:r>
              <w:rPr>
                <w:rFonts w:ascii="Times New Roman" w:cs="Times New Roman" w:eastAsia="Times New Roman" w:hAnsi="Times New Roman"/>
                <w:sz w:val="20"/>
                <w:szCs w:val="20"/>
                <w:color w:val="auto"/>
              </w:rPr>
              <w:t>Executive Director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3"/>
      <w:numFmt w:val="bullet"/>
      <w:start w:val="1"/>
    </w:lvl>
  </w:abstractNum>
  <w:abstractNum w:abstractNumId="2">
    <w:nsid w:val="19495CFF"/>
    <w:multiLevelType w:val="hybridMultilevel"/>
    <w:lvl w:ilvl="0">
      <w:lvlJc w:val="left"/>
      <w:lvlText w:val="(%1)"/>
      <w:numFmt w:val="lowerLetter"/>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2024-11-14T09:14:45Z</dcterms:created>
  <dcterms:modified xsi:type="dcterms:W3CDTF">2024-11-14T09:14:45Z</dcterms:modified>
</cp:coreProperties>
</file>