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4" w:lineRule="exact"/>
        <w:rPr>
          <w:sz w:val="24"/>
          <w:szCs w:val="24"/>
          <w:color w:val="auto"/>
        </w:rPr>
      </w:pPr>
    </w:p>
    <w:p>
      <w:pPr>
        <w:ind w:left="380"/>
        <w:spacing w:after="0"/>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-241935</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6"/>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line="147"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2"/>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5"/>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24765</wp:posOffset>
            </wp:positionV>
            <wp:extent cx="6989445" cy="52463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246370"/>
                    </a:xfrm>
                    <a:prstGeom prst="rect">
                      <a:avLst/>
                    </a:prstGeom>
                    <a:noFill/>
                  </pic:spPr>
                </pic:pic>
              </a:graphicData>
            </a:graphic>
          </wp:anchor>
        </w:drawing>
      </w:r>
    </w:p>
    <w:p>
      <w:pPr>
        <w:spacing w:after="0" w:line="109"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Alexander Karen</w:t>
        </w:r>
      </w:hyperlink>
    </w:p>
    <w:p>
      <w:pPr>
        <w:spacing w:after="0" w:line="313"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7"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C/O BAKKT HOLDINGS, INC.</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10000 AVALON BOULEVARD, SUITE 1000</w:t>
      </w:r>
    </w:p>
    <w:p>
      <w:pPr>
        <w:spacing w:after="0" w:line="297" w:lineRule="exact"/>
        <w:rPr>
          <w:sz w:val="24"/>
          <w:szCs w:val="24"/>
          <w:color w:val="auto"/>
        </w:rPr>
      </w:pPr>
    </w:p>
    <w:tbl>
      <w:tblPr>
        <w:tblLayout w:type="fixed"/>
        <w:tblInd w:w="80" w:type="dxa"/>
        <w:tblCellMar>
          <w:top w:w="0" w:type="dxa"/>
          <w:left w:w="0" w:type="dxa"/>
          <w:bottom w:w="0" w:type="dxa"/>
          <w:right w:w="0" w:type="dxa"/>
        </w:tblCellMar>
      </w:tblPr>
      <w:tr>
        <w:trPr>
          <w:trHeight w:val="169"/>
        </w:trPr>
        <w:tc>
          <w:tcPr>
            <w:tcW w:w="8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39"/>
        </w:trPr>
        <w:tc>
          <w:tcPr>
            <w:tcW w:w="40" w:type="dxa"/>
            <w:vAlign w:val="bottom"/>
          </w:tcPr>
          <w:p>
            <w:pPr>
              <w:spacing w:after="0"/>
              <w:rPr>
                <w:sz w:val="20"/>
                <w:szCs w:val="20"/>
                <w:color w:val="auto"/>
              </w:rPr>
            </w:pPr>
          </w:p>
        </w:tc>
        <w:tc>
          <w:tcPr>
            <w:tcW w:w="2040" w:type="dxa"/>
            <w:vAlign w:val="bottom"/>
            <w:gridSpan w:val="2"/>
          </w:tcPr>
          <w:p>
            <w:pPr>
              <w:spacing w:after="0"/>
              <w:rPr>
                <w:sz w:val="20"/>
                <w:szCs w:val="20"/>
                <w:color w:val="auto"/>
              </w:rPr>
            </w:pPr>
            <w:r>
              <w:rPr>
                <w:rFonts w:ascii="Arial" w:cs="Arial" w:eastAsia="Arial" w:hAnsi="Arial"/>
                <w:sz w:val="17"/>
                <w:szCs w:val="17"/>
                <w:color w:val="0000FF"/>
              </w:rPr>
              <w:t>ALPHARETTE GA</w:t>
            </w:r>
          </w:p>
        </w:tc>
        <w:tc>
          <w:tcPr>
            <w:tcW w:w="1600" w:type="dxa"/>
            <w:vAlign w:val="bottom"/>
          </w:tcPr>
          <w:p>
            <w:pPr>
              <w:ind w:left="400"/>
              <w:spacing w:after="0"/>
              <w:rPr>
                <w:sz w:val="20"/>
                <w:szCs w:val="20"/>
                <w:color w:val="auto"/>
              </w:rPr>
            </w:pPr>
            <w:r>
              <w:rPr>
                <w:rFonts w:ascii="Arial" w:cs="Arial" w:eastAsia="Arial" w:hAnsi="Arial"/>
                <w:sz w:val="17"/>
                <w:szCs w:val="17"/>
                <w:color w:val="0000FF"/>
              </w:rPr>
              <w:t>30009</w:t>
            </w:r>
          </w:p>
        </w:tc>
      </w:tr>
      <w:tr>
        <w:trPr>
          <w:trHeight w:val="155"/>
        </w:trPr>
        <w:tc>
          <w:tcPr>
            <w:tcW w:w="40" w:type="dxa"/>
            <w:vAlign w:val="bottom"/>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820" w:type="dxa"/>
            <w:vAlign w:val="bottom"/>
          </w:tcPr>
          <w:p>
            <w:pPr>
              <w:spacing w:after="0"/>
              <w:rPr>
                <w:sz w:val="20"/>
                <w:szCs w:val="20"/>
                <w:color w:val="auto"/>
              </w:rPr>
            </w:pPr>
            <w:r>
              <w:rPr>
                <w:rFonts w:ascii="Arial" w:cs="Arial" w:eastAsia="Arial" w:hAnsi="Arial"/>
                <w:sz w:val="13"/>
                <w:szCs w:val="13"/>
                <w:color w:val="auto"/>
              </w:rPr>
              <w:t>(City)</w:t>
            </w:r>
          </w:p>
        </w:tc>
        <w:tc>
          <w:tcPr>
            <w:tcW w:w="1220" w:type="dxa"/>
            <w:vAlign w:val="bottom"/>
          </w:tcPr>
          <w:p>
            <w:pPr>
              <w:ind w:left="4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1"/>
        </w:trPr>
        <w:tc>
          <w:tcPr>
            <w:tcW w:w="80" w:type="dxa"/>
            <w:vAlign w:val="bottom"/>
          </w:tcPr>
          <w:p>
            <w:pPr>
              <w:spacing w:after="0"/>
              <w:rPr>
                <w:sz w:val="12"/>
                <w:szCs w:val="12"/>
                <w:color w:val="auto"/>
              </w:rPr>
            </w:pPr>
          </w:p>
        </w:tc>
        <w:tc>
          <w:tcPr>
            <w:tcW w:w="3740" w:type="dxa"/>
            <w:vAlign w:val="bottom"/>
            <w:gridSpan w:val="3"/>
          </w:tcPr>
          <w:p>
            <w:pPr>
              <w:spacing w:after="0" w:line="142" w:lineRule="exact"/>
              <w:rPr>
                <w:rFonts w:ascii="Arial" w:cs="Arial" w:eastAsia="Arial" w:hAnsi="Arial"/>
                <w:sz w:val="16"/>
                <w:szCs w:val="16"/>
                <w:color w:val="0000EE"/>
              </w:rPr>
            </w:pPr>
            <w:hyperlink r:id="rId13">
              <w:r>
                <w:rPr>
                  <w:rFonts w:ascii="Arial" w:cs="Arial" w:eastAsia="Arial" w:hAnsi="Arial"/>
                  <w:sz w:val="16"/>
                  <w:szCs w:val="16"/>
                  <w:color w:val="0000EE"/>
                </w:rPr>
                <w:t xml:space="preserve">Bakkt Holdings, Inc.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BKKT</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860" w:type="dxa"/>
            <w:vAlign w:val="bottom"/>
            <w:gridSpan w:val="3"/>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40" w:type="dxa"/>
            <w:vAlign w:val="bottom"/>
          </w:tcPr>
          <w:p>
            <w:pPr>
              <w:spacing w:after="0"/>
              <w:rPr>
                <w:sz w:val="3"/>
                <w:szCs w:val="3"/>
                <w:color w:val="auto"/>
              </w:rPr>
            </w:pPr>
          </w:p>
        </w:tc>
        <w:tc>
          <w:tcPr>
            <w:tcW w:w="1980" w:type="dxa"/>
            <w:vAlign w:val="bottom"/>
          </w:tcPr>
          <w:p>
            <w:pPr>
              <w:spacing w:after="0"/>
              <w:rPr>
                <w:sz w:val="3"/>
                <w:szCs w:val="3"/>
                <w:color w:val="auto"/>
              </w:rPr>
            </w:pPr>
          </w:p>
        </w:tc>
        <w:tc>
          <w:tcPr>
            <w:tcW w:w="1860" w:type="dxa"/>
            <w:vAlign w:val="bottom"/>
            <w:gridSpan w:val="3"/>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640" w:type="dxa"/>
            <w:vAlign w:val="bottom"/>
            <w:tcBorders>
              <w:bottom w:val="single" w:sz="8" w:color="0000EE"/>
            </w:tcBorders>
          </w:tcPr>
          <w:p>
            <w:pPr>
              <w:spacing w:after="0"/>
              <w:rPr>
                <w:sz w:val="3"/>
                <w:szCs w:val="3"/>
                <w:color w:val="auto"/>
              </w:rPr>
            </w:pPr>
          </w:p>
        </w:tc>
        <w:tc>
          <w:tcPr>
            <w:tcW w:w="1980" w:type="dxa"/>
            <w:vAlign w:val="bottom"/>
          </w:tcPr>
          <w:p>
            <w:pPr>
              <w:spacing w:after="0"/>
              <w:rPr>
                <w:sz w:val="3"/>
                <w:szCs w:val="3"/>
                <w:color w:val="auto"/>
              </w:rPr>
            </w:pPr>
          </w:p>
        </w:tc>
        <w:tc>
          <w:tcPr>
            <w:tcW w:w="2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7"/>
        </w:trPr>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40" w:type="dxa"/>
            <w:vAlign w:val="bottom"/>
          </w:tcPr>
          <w:p>
            <w:pPr>
              <w:spacing w:after="0"/>
              <w:rPr>
                <w:sz w:val="11"/>
                <w:szCs w:val="11"/>
                <w:color w:val="auto"/>
              </w:rPr>
            </w:pPr>
          </w:p>
        </w:tc>
        <w:tc>
          <w:tcPr>
            <w:tcW w:w="19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36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3"/>
        </w:trPr>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1640" w:type="dxa"/>
            <w:vAlign w:val="bottom"/>
            <w:tcBorders>
              <w:bottom w:val="single" w:sz="8" w:color="2C2C2C"/>
            </w:tcBorders>
          </w:tcPr>
          <w:p>
            <w:pPr>
              <w:spacing w:after="0"/>
              <w:rPr>
                <w:sz w:val="6"/>
                <w:szCs w:val="6"/>
                <w:color w:val="auto"/>
              </w:rPr>
            </w:pPr>
          </w:p>
        </w:tc>
        <w:tc>
          <w:tcPr>
            <w:tcW w:w="1980" w:type="dxa"/>
            <w:vAlign w:val="bottom"/>
            <w:tcBorders>
              <w:bottom w:val="single" w:sz="8" w:color="2C2C2C"/>
            </w:tcBorders>
          </w:tcPr>
          <w:p>
            <w:pPr>
              <w:spacing w:after="0"/>
              <w:rPr>
                <w:sz w:val="6"/>
                <w:szCs w:val="6"/>
                <w:color w:val="auto"/>
              </w:rPr>
            </w:pPr>
          </w:p>
        </w:tc>
        <w:tc>
          <w:tcPr>
            <w:tcW w:w="200" w:type="dxa"/>
            <w:vAlign w:val="bottom"/>
          </w:tcPr>
          <w:p>
            <w:pPr>
              <w:spacing w:after="0"/>
              <w:rPr>
                <w:sz w:val="6"/>
                <w:szCs w:val="6"/>
                <w:color w:val="auto"/>
              </w:rPr>
            </w:pPr>
          </w:p>
        </w:tc>
        <w:tc>
          <w:tcPr>
            <w:tcW w:w="300" w:type="dxa"/>
            <w:vAlign w:val="bottom"/>
            <w:vMerge w:val="restart"/>
          </w:tcPr>
          <w:p>
            <w:pPr>
              <w:ind w:left="80"/>
              <w:spacing w:after="0"/>
              <w:rPr>
                <w:sz w:val="20"/>
                <w:szCs w:val="20"/>
                <w:color w:val="auto"/>
              </w:rPr>
            </w:pPr>
            <w:r>
              <w:rPr>
                <w:rFonts w:ascii="Arial" w:cs="Arial" w:eastAsia="Arial" w:hAnsi="Arial"/>
                <w:sz w:val="17"/>
                <w:szCs w:val="17"/>
                <w:color w:val="0000FF"/>
              </w:rPr>
              <w:t>X</w:t>
            </w: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85"/>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7"/>
                <w:szCs w:val="7"/>
                <w:color w:val="auto"/>
              </w:rPr>
            </w:pPr>
          </w:p>
        </w:tc>
        <w:tc>
          <w:tcPr>
            <w:tcW w:w="300" w:type="dxa"/>
            <w:vAlign w:val="bottom"/>
            <w:vMerge w:val="continue"/>
          </w:tcPr>
          <w:p>
            <w:pPr>
              <w:spacing w:after="0"/>
              <w:rPr>
                <w:sz w:val="7"/>
                <w:szCs w:val="7"/>
                <w:color w:val="auto"/>
              </w:rPr>
            </w:pPr>
          </w:p>
        </w:tc>
        <w:tc>
          <w:tcPr>
            <w:tcW w:w="1360" w:type="dxa"/>
            <w:vAlign w:val="bottom"/>
            <w:vMerge w:val="continue"/>
          </w:tcPr>
          <w:p>
            <w:pPr>
              <w:spacing w:after="0"/>
              <w:rPr>
                <w:sz w:val="7"/>
                <w:szCs w:val="7"/>
                <w:color w:val="auto"/>
              </w:rPr>
            </w:pPr>
          </w:p>
        </w:tc>
        <w:tc>
          <w:tcPr>
            <w:tcW w:w="1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1"/>
        </w:trPr>
        <w:tc>
          <w:tcPr>
            <w:tcW w:w="200" w:type="dxa"/>
            <w:vAlign w:val="bottom"/>
            <w:gridSpan w:val="2"/>
            <w:vMerge w:val="continue"/>
          </w:tcPr>
          <w:p>
            <w:pPr>
              <w:spacing w:after="0"/>
              <w:rPr>
                <w:sz w:val="10"/>
                <w:szCs w:val="10"/>
                <w:color w:val="auto"/>
              </w:rPr>
            </w:pPr>
          </w:p>
        </w:tc>
        <w:tc>
          <w:tcPr>
            <w:tcW w:w="362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300" w:type="dxa"/>
            <w:vAlign w:val="bottom"/>
            <w:vMerge w:val="continue"/>
          </w:tcPr>
          <w:p>
            <w:pPr>
              <w:spacing w:after="0"/>
              <w:rPr>
                <w:sz w:val="10"/>
                <w:szCs w:val="10"/>
                <w:color w:val="auto"/>
              </w:rPr>
            </w:pPr>
          </w:p>
        </w:tc>
        <w:tc>
          <w:tcPr>
            <w:tcW w:w="1360" w:type="dxa"/>
            <w:vAlign w:val="bottom"/>
          </w:tcPr>
          <w:p>
            <w:pPr>
              <w:ind w:left="100"/>
              <w:spacing w:after="0" w:line="121"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1"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20"/>
        </w:trPr>
        <w:tc>
          <w:tcPr>
            <w:tcW w:w="1840" w:type="dxa"/>
            <w:vAlign w:val="bottom"/>
            <w:gridSpan w:val="3"/>
          </w:tcPr>
          <w:p>
            <w:pPr>
              <w:ind w:left="80"/>
              <w:spacing w:after="0"/>
              <w:rPr>
                <w:sz w:val="20"/>
                <w:szCs w:val="20"/>
                <w:color w:val="auto"/>
              </w:rPr>
            </w:pPr>
            <w:r>
              <w:rPr>
                <w:rFonts w:ascii="Arial" w:cs="Arial" w:eastAsia="Arial" w:hAnsi="Arial"/>
                <w:sz w:val="17"/>
                <w:szCs w:val="17"/>
                <w:color w:val="0000FF"/>
              </w:rPr>
              <w:t>08/26/2023</w:t>
            </w:r>
          </w:p>
        </w:tc>
        <w:tc>
          <w:tcPr>
            <w:tcW w:w="19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0" w:type="dxa"/>
            <w:vAlign w:val="bottom"/>
            <w:gridSpan w:val="2"/>
            <w:vMerge w:val="restart"/>
          </w:tcPr>
          <w:p>
            <w:pPr>
              <w:ind w:left="340"/>
              <w:spacing w:after="0"/>
              <w:rPr>
                <w:sz w:val="20"/>
                <w:szCs w:val="20"/>
                <w:color w:val="auto"/>
              </w:rPr>
            </w:pPr>
            <w:r>
              <w:rPr>
                <w:rFonts w:ascii="Arial" w:cs="Arial" w:eastAsia="Arial" w:hAnsi="Arial"/>
                <w:sz w:val="17"/>
                <w:szCs w:val="17"/>
                <w:color w:val="0000FF"/>
              </w:rPr>
              <w:t>Chief Financial Officer</w:t>
            </w:r>
          </w:p>
        </w:tc>
        <w:tc>
          <w:tcPr>
            <w:tcW w:w="0" w:type="dxa"/>
            <w:vAlign w:val="bottom"/>
          </w:tcPr>
          <w:p>
            <w:pPr>
              <w:spacing w:after="0"/>
              <w:rPr>
                <w:sz w:val="1"/>
                <w:szCs w:val="1"/>
                <w:color w:val="auto"/>
              </w:rPr>
            </w:pPr>
          </w:p>
        </w:tc>
      </w:tr>
      <w:tr>
        <w:trPr>
          <w:trHeight w:val="79"/>
        </w:trPr>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640" w:type="dxa"/>
            <w:vAlign w:val="bottom"/>
          </w:tcPr>
          <w:p>
            <w:pPr>
              <w:spacing w:after="0"/>
              <w:rPr>
                <w:sz w:val="6"/>
                <w:szCs w:val="6"/>
                <w:color w:val="auto"/>
              </w:rPr>
            </w:pPr>
          </w:p>
        </w:tc>
        <w:tc>
          <w:tcPr>
            <w:tcW w:w="1980" w:type="dxa"/>
            <w:vAlign w:val="bottom"/>
          </w:tcPr>
          <w:p>
            <w:pPr>
              <w:spacing w:after="0"/>
              <w:rPr>
                <w:sz w:val="6"/>
                <w:szCs w:val="6"/>
                <w:color w:val="auto"/>
              </w:rPr>
            </w:pPr>
          </w:p>
        </w:tc>
        <w:tc>
          <w:tcPr>
            <w:tcW w:w="200" w:type="dxa"/>
            <w:vAlign w:val="bottom"/>
          </w:tcPr>
          <w:p>
            <w:pPr>
              <w:spacing w:after="0"/>
              <w:rPr>
                <w:sz w:val="6"/>
                <w:szCs w:val="6"/>
                <w:color w:val="auto"/>
              </w:rPr>
            </w:pPr>
          </w:p>
        </w:tc>
        <w:tc>
          <w:tcPr>
            <w:tcW w:w="300" w:type="dxa"/>
            <w:vAlign w:val="bottom"/>
          </w:tcPr>
          <w:p>
            <w:pPr>
              <w:spacing w:after="0"/>
              <w:rPr>
                <w:sz w:val="6"/>
                <w:szCs w:val="6"/>
                <w:color w:val="auto"/>
              </w:rPr>
            </w:pPr>
          </w:p>
        </w:tc>
        <w:tc>
          <w:tcPr>
            <w:tcW w:w="28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1"/>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640" w:type="dxa"/>
            <w:vAlign w:val="bottom"/>
            <w:tcBorders>
              <w:bottom w:val="single" w:sz="8" w:color="2C2C2C"/>
            </w:tcBorders>
          </w:tcPr>
          <w:p>
            <w:pPr>
              <w:spacing w:after="0"/>
              <w:rPr>
                <w:sz w:val="8"/>
                <w:szCs w:val="8"/>
                <w:color w:val="auto"/>
              </w:rPr>
            </w:pPr>
          </w:p>
        </w:tc>
        <w:tc>
          <w:tcPr>
            <w:tcW w:w="198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100"/>
        <w:spacing w:after="0"/>
        <w:tabs>
          <w:tab w:leader="none" w:pos="44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8"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5"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51"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2" w:lineRule="exact"/>
        <w:rPr>
          <w:sz w:val="24"/>
          <w:szCs w:val="24"/>
          <w:color w:val="auto"/>
        </w:rPr>
      </w:pPr>
    </w:p>
    <w:p>
      <w:pPr>
        <w:ind w:left="340" w:right="420"/>
        <w:spacing w:after="0" w:line="25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9" w:lineRule="exact"/>
        <w:rPr>
          <w:sz w:val="24"/>
          <w:szCs w:val="24"/>
          <w:color w:val="auto"/>
        </w:rPr>
      </w:pPr>
    </w:p>
    <w:p>
      <w:pPr>
        <w:sectPr>
          <w:pgSz w:w="11900" w:h="16838" w:orient="portrait"/>
          <w:cols w:equalWidth="0" w:num="2">
            <w:col w:w="3760" w:space="80"/>
            <w:col w:w="7240"/>
          </w:cols>
          <w:pgMar w:left="460" w:top="225"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60" w:type="dxa"/>
            <w:vAlign w:val="bottom"/>
            <w:gridSpan w:val="2"/>
          </w:tcPr>
          <w:p>
            <w:pPr>
              <w:ind w:left="50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0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00"/>
              <w:spacing w:after="0" w:line="131"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1"/>
                <w:szCs w:val="11"/>
                <w:color w:val="auto"/>
              </w:rPr>
            </w:pPr>
          </w:p>
        </w:tc>
        <w:tc>
          <w:tcPr>
            <w:tcW w:w="112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6"/>
          </w:tcPr>
          <w:p>
            <w:pPr>
              <w:ind w:left="6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60" w:type="dxa"/>
            <w:vAlign w:val="bottom"/>
            <w:gridSpan w:val="2"/>
          </w:tcPr>
          <w:p>
            <w:pPr>
              <w:ind w:left="50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2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2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2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8"/>
                <w:szCs w:val="8"/>
                <w:color w:val="auto"/>
              </w:rPr>
            </w:pPr>
          </w:p>
        </w:tc>
        <w:tc>
          <w:tcPr>
            <w:tcW w:w="4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560" w:type="dxa"/>
            <w:vAlign w:val="bottom"/>
            <w:tcBorders>
              <w:bottom w:val="single" w:sz="8" w:color="2C2C2C"/>
            </w:tcBorders>
            <w:gridSpan w:val="2"/>
          </w:tcPr>
          <w:p>
            <w:pPr>
              <w:ind w:left="600"/>
              <w:spacing w:after="0"/>
              <w:rPr>
                <w:sz w:val="20"/>
                <w:szCs w:val="20"/>
                <w:color w:val="auto"/>
              </w:rPr>
            </w:pPr>
            <w:r>
              <w:rPr>
                <w:rFonts w:ascii="Arial" w:cs="Arial" w:eastAsia="Arial" w:hAnsi="Arial"/>
                <w:sz w:val="17"/>
                <w:szCs w:val="17"/>
                <w:color w:val="0000FF"/>
              </w:rPr>
              <w:t>08/26/2023</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F</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rPr>
              <w:t>11,897</w:t>
            </w:r>
            <w:r>
              <w:rPr>
                <w:rFonts w:ascii="Arial" w:cs="Arial" w:eastAsia="Arial" w:hAnsi="Arial"/>
                <w:sz w:val="22"/>
                <w:szCs w:val="22"/>
                <w:color w:val="008000"/>
                <w:vertAlign w:val="superscript"/>
              </w:rPr>
              <w:t>(1)</w:t>
            </w:r>
          </w:p>
        </w:tc>
        <w:tc>
          <w:tcPr>
            <w:tcW w:w="420" w:type="dxa"/>
            <w:vAlign w:val="bottom"/>
            <w:tcBorders>
              <w:bottom w:val="single" w:sz="8" w:color="2C2C2C"/>
            </w:tcBorders>
          </w:tcPr>
          <w:p>
            <w:pPr>
              <w:ind w:left="260"/>
              <w:spacing w:after="0"/>
              <w:rPr>
                <w:sz w:val="20"/>
                <w:szCs w:val="20"/>
                <w:color w:val="auto"/>
              </w:rPr>
            </w:pPr>
            <w:r>
              <w:rPr>
                <w:rFonts w:ascii="Arial" w:cs="Arial" w:eastAsia="Arial" w:hAnsi="Arial"/>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gridSpan w:val="3"/>
          </w:tcPr>
          <w:p>
            <w:pPr>
              <w:ind w:left="20"/>
              <w:spacing w:after="0"/>
              <w:rPr>
                <w:sz w:val="20"/>
                <w:szCs w:val="20"/>
                <w:color w:val="auto"/>
              </w:rPr>
            </w:pPr>
            <w:r>
              <w:rPr>
                <w:rFonts w:ascii="Arial" w:cs="Arial" w:eastAsia="Arial" w:hAnsi="Arial"/>
                <w:sz w:val="17"/>
                <w:szCs w:val="17"/>
                <w:color w:val="auto"/>
                <w:w w:val="95"/>
              </w:rPr>
              <w:t>$</w:t>
            </w:r>
            <w:r>
              <w:rPr>
                <w:rFonts w:ascii="Arial" w:cs="Arial" w:eastAsia="Arial" w:hAnsi="Arial"/>
                <w:sz w:val="17"/>
                <w:szCs w:val="17"/>
                <w:color w:val="0000FF"/>
                <w:w w:val="95"/>
              </w:rPr>
              <w:t>1.31</w:t>
            </w:r>
            <w:r>
              <w:rPr>
                <w:rFonts w:ascii="Arial" w:cs="Arial" w:eastAsia="Arial" w:hAnsi="Arial"/>
                <w:sz w:val="22"/>
                <w:szCs w:val="22"/>
                <w:color w:val="008000"/>
                <w:w w:val="95"/>
                <w:vertAlign w:val="superscript"/>
              </w:rPr>
              <w:t>(1)</w:t>
            </w:r>
          </w:p>
        </w:tc>
        <w:tc>
          <w:tcPr>
            <w:tcW w:w="1200" w:type="dxa"/>
            <w:vAlign w:val="bottom"/>
            <w:tcBorders>
              <w:bottom w:val="single" w:sz="8" w:color="2C2C2C"/>
            </w:tcBorders>
            <w:gridSpan w:val="2"/>
          </w:tcPr>
          <w:p>
            <w:pPr>
              <w:ind w:left="220"/>
              <w:spacing w:after="0"/>
              <w:rPr>
                <w:sz w:val="20"/>
                <w:szCs w:val="20"/>
                <w:color w:val="auto"/>
              </w:rPr>
            </w:pPr>
            <w:r>
              <w:rPr>
                <w:rFonts w:ascii="Arial" w:cs="Arial" w:eastAsia="Arial" w:hAnsi="Arial"/>
                <w:sz w:val="17"/>
                <w:szCs w:val="17"/>
                <w:color w:val="0000FF"/>
              </w:rPr>
              <w:t>398,982</w:t>
            </w:r>
            <w:r>
              <w:rPr>
                <w:rFonts w:ascii="Arial" w:cs="Arial" w:eastAsia="Arial" w:hAnsi="Arial"/>
                <w:sz w:val="22"/>
                <w:szCs w:val="22"/>
                <w:color w:val="008000"/>
                <w:vertAlign w:val="superscript"/>
              </w:rPr>
              <w:t>(2)</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560" w:type="dxa"/>
            <w:vAlign w:val="bottom"/>
            <w:tcBorders>
              <w:bottom w:val="single" w:sz="8" w:color="2C2C2C"/>
            </w:tcBorders>
            <w:gridSpan w:val="2"/>
          </w:tcPr>
          <w:p>
            <w:pPr>
              <w:ind w:left="600"/>
              <w:spacing w:after="0"/>
              <w:rPr>
                <w:sz w:val="20"/>
                <w:szCs w:val="20"/>
                <w:color w:val="auto"/>
              </w:rPr>
            </w:pPr>
            <w:r>
              <w:rPr>
                <w:rFonts w:ascii="Arial" w:cs="Arial" w:eastAsia="Arial" w:hAnsi="Arial"/>
                <w:sz w:val="17"/>
                <w:szCs w:val="17"/>
                <w:color w:val="0000FF"/>
              </w:rPr>
              <w:t>08/26/2023</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F</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rPr>
              <w:t>9,012</w:t>
            </w:r>
            <w:r>
              <w:rPr>
                <w:rFonts w:ascii="Arial" w:cs="Arial" w:eastAsia="Arial" w:hAnsi="Arial"/>
                <w:sz w:val="22"/>
                <w:szCs w:val="22"/>
                <w:color w:val="008000"/>
                <w:vertAlign w:val="superscript"/>
              </w:rPr>
              <w:t>(3)</w:t>
            </w:r>
          </w:p>
        </w:tc>
        <w:tc>
          <w:tcPr>
            <w:tcW w:w="420" w:type="dxa"/>
            <w:vAlign w:val="bottom"/>
            <w:tcBorders>
              <w:bottom w:val="single" w:sz="8" w:color="2C2C2C"/>
            </w:tcBorders>
          </w:tcPr>
          <w:p>
            <w:pPr>
              <w:ind w:left="260"/>
              <w:spacing w:after="0"/>
              <w:rPr>
                <w:sz w:val="20"/>
                <w:szCs w:val="20"/>
                <w:color w:val="auto"/>
              </w:rPr>
            </w:pPr>
            <w:r>
              <w:rPr>
                <w:rFonts w:ascii="Arial" w:cs="Arial" w:eastAsia="Arial" w:hAnsi="Arial"/>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gridSpan w:val="3"/>
          </w:tcPr>
          <w:p>
            <w:pPr>
              <w:ind w:left="20"/>
              <w:spacing w:after="0"/>
              <w:rPr>
                <w:sz w:val="20"/>
                <w:szCs w:val="20"/>
                <w:color w:val="auto"/>
              </w:rPr>
            </w:pPr>
            <w:r>
              <w:rPr>
                <w:rFonts w:ascii="Arial" w:cs="Arial" w:eastAsia="Arial" w:hAnsi="Arial"/>
                <w:sz w:val="17"/>
                <w:szCs w:val="17"/>
                <w:color w:val="auto"/>
                <w:w w:val="95"/>
              </w:rPr>
              <w:t>$</w:t>
            </w:r>
            <w:r>
              <w:rPr>
                <w:rFonts w:ascii="Arial" w:cs="Arial" w:eastAsia="Arial" w:hAnsi="Arial"/>
                <w:sz w:val="17"/>
                <w:szCs w:val="17"/>
                <w:color w:val="0000FF"/>
                <w:w w:val="95"/>
              </w:rPr>
              <w:t>1.31</w:t>
            </w:r>
            <w:r>
              <w:rPr>
                <w:rFonts w:ascii="Arial" w:cs="Arial" w:eastAsia="Arial" w:hAnsi="Arial"/>
                <w:sz w:val="22"/>
                <w:szCs w:val="22"/>
                <w:color w:val="008000"/>
                <w:w w:val="95"/>
                <w:vertAlign w:val="superscript"/>
              </w:rPr>
              <w:t>(3)</w:t>
            </w:r>
          </w:p>
        </w:tc>
        <w:tc>
          <w:tcPr>
            <w:tcW w:w="1200" w:type="dxa"/>
            <w:vAlign w:val="bottom"/>
            <w:tcBorders>
              <w:bottom w:val="single" w:sz="8" w:color="2C2C2C"/>
            </w:tcBorders>
            <w:gridSpan w:val="2"/>
          </w:tcPr>
          <w:p>
            <w:pPr>
              <w:ind w:left="220"/>
              <w:spacing w:after="0"/>
              <w:rPr>
                <w:sz w:val="20"/>
                <w:szCs w:val="20"/>
                <w:color w:val="auto"/>
              </w:rPr>
            </w:pPr>
            <w:r>
              <w:rPr>
                <w:rFonts w:ascii="Arial" w:cs="Arial" w:eastAsia="Arial" w:hAnsi="Arial"/>
                <w:sz w:val="17"/>
                <w:szCs w:val="17"/>
                <w:color w:val="0000FF"/>
              </w:rPr>
              <w:t>389,970</w:t>
            </w:r>
            <w:r>
              <w:rPr>
                <w:rFonts w:ascii="Arial" w:cs="Arial" w:eastAsia="Arial" w:hAnsi="Arial"/>
                <w:sz w:val="22"/>
                <w:szCs w:val="22"/>
                <w:color w:val="008000"/>
                <w:vertAlign w:val="superscript"/>
              </w:rPr>
              <w:t>(4)</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Borders>
              <w:right w:val="single" w:sz="8" w:color="2C2C2C"/>
            </w:tcBorders>
          </w:tcPr>
          <w:p>
            <w:pPr>
              <w:spacing w:after="0"/>
              <w:rPr>
                <w:sz w:val="21"/>
                <w:szCs w:val="21"/>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040" w:type="dxa"/>
            <w:vAlign w:val="bottom"/>
            <w:gridSpan w:val="4"/>
          </w:tcPr>
          <w:p>
            <w:pPr>
              <w:ind w:left="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6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400" w:firstLine="7"/>
        <w:spacing w:after="0" w:line="266"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In connection with the vesting of restricted stock units on August 26, 2023, the issuer withheld Class A Common Stock that would otherwise have been issued to the reporting person to satisfy such person's tax withholding obligations. The number of shares withheld was determined based on the closing price per share of Class A Common Stock on August 25, 2023.</w:t>
      </w:r>
    </w:p>
    <w:p>
      <w:pPr>
        <w:spacing w:after="0" w:line="15" w:lineRule="exact"/>
        <w:rPr>
          <w:rFonts w:ascii="Arial" w:cs="Arial" w:eastAsia="Arial" w:hAnsi="Arial"/>
          <w:sz w:val="13"/>
          <w:szCs w:val="13"/>
          <w:color w:val="008000"/>
        </w:rPr>
      </w:pPr>
    </w:p>
    <w:p>
      <w:pPr>
        <w:ind w:left="180" w:hanging="133"/>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Includes 357,545 shares of Class A Common Stock subject to restricted stock units awards that remain subject to vesting.</w:t>
      </w:r>
    </w:p>
    <w:p>
      <w:pPr>
        <w:spacing w:after="0" w:line="50" w:lineRule="exact"/>
        <w:rPr>
          <w:rFonts w:ascii="Arial" w:cs="Arial" w:eastAsia="Arial" w:hAnsi="Arial"/>
          <w:sz w:val="13"/>
          <w:szCs w:val="13"/>
          <w:color w:val="008000"/>
        </w:rPr>
      </w:pPr>
    </w:p>
    <w:p>
      <w:pPr>
        <w:ind w:left="40" w:right="220" w:firstLine="7"/>
        <w:spacing w:after="0" w:line="266"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In connection with the vesting of performance stock units on August 26, 2023, the issuer withheld Class A Common Stock that would otherwise have been issued to the reporting person to satisfy such person's tax withholding obligations. The number of shares withheld was determined based on the closing price per share of Class A Common Stock on August 25, 2023.</w:t>
      </w:r>
    </w:p>
    <w:p>
      <w:pPr>
        <w:spacing w:after="0" w:line="15" w:lineRule="exact"/>
        <w:rPr>
          <w:rFonts w:ascii="Arial" w:cs="Arial" w:eastAsia="Arial" w:hAnsi="Arial"/>
          <w:sz w:val="13"/>
          <w:szCs w:val="13"/>
          <w:color w:val="008000"/>
        </w:rPr>
      </w:pPr>
    </w:p>
    <w:p>
      <w:pPr>
        <w:ind w:left="180" w:hanging="133"/>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Includes 332,546 shares of Class A Common Stock subject to restricted stock units awards that remain subject to vesting.</w:t>
      </w:r>
    </w:p>
    <w:p>
      <w:pPr>
        <w:spacing w:after="0" w:line="77" w:lineRule="exact"/>
        <w:rPr>
          <w:sz w:val="24"/>
          <w:szCs w:val="24"/>
          <w:color w:val="auto"/>
        </w:rPr>
      </w:pPr>
    </w:p>
    <w:p>
      <w:pPr>
        <w:ind w:left="6580"/>
        <w:spacing w:after="0"/>
        <w:rPr>
          <w:sz w:val="20"/>
          <w:szCs w:val="20"/>
          <w:color w:val="auto"/>
        </w:rPr>
      </w:pPr>
      <w:r>
        <w:rPr>
          <w:rFonts w:ascii="Arial" w:cs="Arial" w:eastAsia="Arial" w:hAnsi="Arial"/>
          <w:sz w:val="17"/>
          <w:szCs w:val="17"/>
          <w:color w:val="0000FF"/>
        </w:rPr>
        <w:t>/s/ Marc D'Annunzio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-8255</wp:posOffset>
            </wp:positionV>
            <wp:extent cx="92392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923925" cy="8255"/>
                    </a:xfrm>
                    <a:prstGeom prst="rect">
                      <a:avLst/>
                    </a:prstGeom>
                    <a:noFill/>
                  </pic:spPr>
                </pic:pic>
              </a:graphicData>
            </a:graphic>
          </wp:anchor>
        </w:drawing>
      </w:r>
    </w:p>
    <w:p>
      <w:pPr>
        <w:spacing w:after="0" w:line="5"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7"/>
          <w:szCs w:val="17"/>
          <w:color w:val="0000FF"/>
        </w:rPr>
        <w:t>Attorney-in-Fact for Karen</w:t>
      </w:r>
      <w:r>
        <w:rPr>
          <w:sz w:val="20"/>
          <w:szCs w:val="20"/>
          <w:color w:val="auto"/>
        </w:rPr>
        <w:tab/>
      </w:r>
      <w:r>
        <w:rPr>
          <w:rFonts w:ascii="Arial" w:cs="Arial" w:eastAsia="Arial" w:hAnsi="Arial"/>
          <w:sz w:val="15"/>
          <w:szCs w:val="15"/>
          <w:color w:val="0000FF"/>
        </w:rPr>
        <w:t>08/29/2023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7"/>
          <w:szCs w:val="17"/>
          <w:color w:val="0000FF"/>
        </w:rPr>
        <w:t>Alexander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45783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57835" cy="8255"/>
                    </a:xfrm>
                    <a:prstGeom prst="rect">
                      <a:avLst/>
                    </a:prstGeom>
                    <a:noFill/>
                  </pic:spPr>
                </pic:pic>
              </a:graphicData>
            </a:graphic>
          </wp:anchor>
        </w:drawing>
      </w:r>
    </w:p>
    <w:p>
      <w:pPr>
        <w:spacing w:after="0" w:line="44"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870910" TargetMode="External"/><Relationship Id="rId13" Type="http://schemas.openxmlformats.org/officeDocument/2006/relationships/hyperlink" Target="http://www.sec.gov/cgi-bin/browse-edgar?action=getcompany&amp;CIK=000182030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2023-08-29T17:13:05Z</dcterms:created>
  <dcterms:modified xsi:type="dcterms:W3CDTF">2023-08-29T17:13:05Z</dcterms:modified>
</cp:coreProperties>
</file>