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620990ds8.htm"/>
      <w:bookmarkStart w:id="1" w:name="ksd620990ds8"/>
      <w:bookmarkEnd w:id="0"/>
      <w:bookmarkEnd w:id="1"/>
      <w:r>
        <w:rPr>
          <w:rFonts w:ascii="Times New Roman" w:hAnsi="Times New Roman"/>
          <w:b/>
          <w:sz w:val="20"/>
        </w:rPr>
        <w:t xml:space="preserve">As filed with the Securities and Exchange Commission on December 1, 2023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BAKKT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98-1550750</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 xml:space="preserve">10000 Avalon Boulevard, Suite 1000 </w:t>
      </w:r>
    </w:p>
    <w:p>
      <w:pPr>
        <w:pStyle w:val="TextBody"/>
        <w:bidi w:val="0"/>
        <w:spacing w:before="0" w:after="0"/>
        <w:jc w:val="center"/>
        <w:rPr>
          <w:rFonts w:ascii="Times New Roman" w:hAnsi="Times New Roman"/>
          <w:b/>
          <w:sz w:val="20"/>
        </w:rPr>
      </w:pPr>
      <w:r>
        <w:rPr>
          <w:rFonts w:ascii="Times New Roman" w:hAnsi="Times New Roman"/>
          <w:b/>
          <w:sz w:val="20"/>
        </w:rPr>
        <w:t xml:space="preserve">Alpharetta, Georgia 30009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including zip code) </w:t>
      </w:r>
    </w:p>
    <w:p>
      <w:pPr>
        <w:pStyle w:val="TextBody"/>
        <w:bidi w:val="0"/>
        <w:spacing w:before="160" w:after="0"/>
        <w:jc w:val="center"/>
        <w:rPr>
          <w:rFonts w:ascii="Times New Roman" w:hAnsi="Times New Roman"/>
          <w:b/>
          <w:sz w:val="20"/>
        </w:rPr>
      </w:pPr>
      <w:r>
        <w:rPr>
          <w:rFonts w:ascii="Times New Roman" w:hAnsi="Times New Roman"/>
          <w:b/>
          <w:sz w:val="20"/>
        </w:rPr>
        <w:t xml:space="preserve">Bakkt Holdings, Inc. 2021 Omnibus Incentive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160" w:after="0"/>
        <w:jc w:val="center"/>
        <w:rPr>
          <w:rFonts w:ascii="Times New Roman" w:hAnsi="Times New Roman"/>
          <w:b/>
          <w:sz w:val="20"/>
        </w:rPr>
      </w:pPr>
      <w:r>
        <w:rPr>
          <w:rFonts w:ascii="Times New Roman" w:hAnsi="Times New Roman"/>
          <w:b/>
          <w:sz w:val="20"/>
        </w:rPr>
        <w:t xml:space="preserve">Gavin Michael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10000 Avalon Boulevard, Suite 1000 </w:t>
      </w:r>
    </w:p>
    <w:p>
      <w:pPr>
        <w:pStyle w:val="TextBody"/>
        <w:bidi w:val="0"/>
        <w:spacing w:before="0" w:after="0"/>
        <w:jc w:val="center"/>
        <w:rPr>
          <w:rFonts w:ascii="Times New Roman" w:hAnsi="Times New Roman"/>
          <w:b/>
          <w:sz w:val="20"/>
        </w:rPr>
      </w:pPr>
      <w:r>
        <w:rPr>
          <w:rFonts w:ascii="Times New Roman" w:hAnsi="Times New Roman"/>
          <w:b/>
          <w:sz w:val="20"/>
        </w:rPr>
        <w:t xml:space="preserve">Alpharetta, Georgia 30009 </w:t>
      </w:r>
    </w:p>
    <w:p>
      <w:pPr>
        <w:pStyle w:val="TextBody"/>
        <w:bidi w:val="0"/>
        <w:spacing w:before="0" w:after="0"/>
        <w:jc w:val="center"/>
        <w:rPr>
          <w:rFonts w:ascii="Times New Roman" w:hAnsi="Times New Roman"/>
          <w:b/>
          <w:sz w:val="20"/>
        </w:rPr>
      </w:pPr>
      <w:r>
        <w:rPr>
          <w:rFonts w:ascii="Times New Roman" w:hAnsi="Times New Roman"/>
          <w:b/>
          <w:sz w:val="20"/>
        </w:rPr>
        <w:t xml:space="preserve">(678) 534-5849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including area code, of agent for service) </w:t>
      </w:r>
    </w:p>
    <w:p>
      <w:pPr>
        <w:pStyle w:val="TextBody"/>
        <w:bidi w:val="0"/>
        <w:spacing w:before="16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J. Matthew Lyons</w:t>
            </w:r>
          </w:p>
          <w:p>
            <w:pPr>
              <w:pStyle w:val="TableContents"/>
              <w:bidi w:val="0"/>
              <w:spacing w:before="0" w:after="0"/>
              <w:jc w:val="center"/>
              <w:rPr>
                <w:rFonts w:ascii="Times New Roman" w:hAnsi="Times New Roman"/>
                <w:b/>
                <w:sz w:val="20"/>
              </w:rPr>
            </w:pPr>
            <w:r>
              <w:rPr>
                <w:rFonts w:ascii="Times New Roman" w:hAnsi="Times New Roman"/>
                <w:b/>
                <w:sz w:val="20"/>
              </w:rPr>
              <w:t>Austin D. March</w:t>
            </w:r>
          </w:p>
          <w:p>
            <w:pPr>
              <w:pStyle w:val="TableContents"/>
              <w:bidi w:val="0"/>
              <w:spacing w:before="0" w:after="0"/>
              <w:jc w:val="center"/>
              <w:rPr>
                <w:rFonts w:ascii="Times New Roman" w:hAnsi="Times New Roman"/>
                <w:b/>
                <w:sz w:val="20"/>
              </w:rPr>
            </w:pPr>
            <w:r>
              <w:rPr>
                <w:rFonts w:ascii="Times New Roman" w:hAnsi="Times New Roman"/>
                <w:b/>
                <w:sz w:val="20"/>
              </w:rPr>
              <w:t>Wilson Sonsini Goodrich &amp; Rosati, P.C.</w:t>
            </w:r>
          </w:p>
          <w:p>
            <w:pPr>
              <w:pStyle w:val="TableContents"/>
              <w:bidi w:val="0"/>
              <w:spacing w:before="0" w:after="0"/>
              <w:jc w:val="center"/>
              <w:rPr>
                <w:rFonts w:ascii="Times New Roman" w:hAnsi="Times New Roman"/>
                <w:b/>
                <w:sz w:val="20"/>
              </w:rPr>
            </w:pPr>
            <w:r>
              <w:rPr>
                <w:rFonts w:ascii="Times New Roman" w:hAnsi="Times New Roman"/>
                <w:b/>
                <w:sz w:val="20"/>
              </w:rPr>
              <w:t>900 S. Capital of Texas Highway</w:t>
            </w:r>
          </w:p>
          <w:p>
            <w:pPr>
              <w:pStyle w:val="TableContents"/>
              <w:bidi w:val="0"/>
              <w:spacing w:before="0" w:after="0"/>
              <w:jc w:val="center"/>
              <w:rPr>
                <w:rFonts w:ascii="Times New Roman" w:hAnsi="Times New Roman"/>
                <w:b/>
                <w:sz w:val="20"/>
              </w:rPr>
            </w:pPr>
            <w:r>
              <w:rPr>
                <w:rFonts w:ascii="Times New Roman" w:hAnsi="Times New Roman"/>
                <w:b/>
                <w:sz w:val="20"/>
              </w:rPr>
              <w:t>Las Cimas IV, 5th Floor</w:t>
            </w:r>
          </w:p>
          <w:p>
            <w:pPr>
              <w:pStyle w:val="TableContents"/>
              <w:bidi w:val="0"/>
              <w:spacing w:before="0" w:after="0"/>
              <w:jc w:val="center"/>
              <w:rPr>
                <w:rFonts w:ascii="Times New Roman" w:hAnsi="Times New Roman"/>
                <w:b/>
                <w:sz w:val="20"/>
              </w:rPr>
            </w:pPr>
            <w:r>
              <w:rPr>
                <w:rFonts w:ascii="Times New Roman" w:hAnsi="Times New Roman"/>
                <w:b/>
                <w:sz w:val="20"/>
              </w:rPr>
              <w:t>Austin, TX 78746</w:t>
            </w:r>
          </w:p>
          <w:p>
            <w:pPr>
              <w:pStyle w:val="TableContents"/>
              <w:bidi w:val="0"/>
              <w:spacing w:before="0" w:after="20"/>
              <w:jc w:val="center"/>
              <w:rPr>
                <w:rFonts w:ascii="Times New Roman" w:hAnsi="Times New Roman"/>
                <w:b/>
                <w:sz w:val="20"/>
              </w:rPr>
            </w:pPr>
            <w:r>
              <w:rPr>
                <w:rFonts w:ascii="Times New Roman" w:hAnsi="Times New Roman"/>
                <w:b/>
                <w:sz w:val="20"/>
              </w:rPr>
              <w:t>(512) 338-5400</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20"/>
              </w:rPr>
            </w:pPr>
            <w:r>
              <w:rPr>
                <w:rFonts w:ascii="Times New Roman" w:hAnsi="Times New Roman"/>
                <w:b/>
                <w:sz w:val="20"/>
              </w:rPr>
              <w:t>Marc DAnnunzio</w:t>
            </w:r>
          </w:p>
          <w:p>
            <w:pPr>
              <w:pStyle w:val="TableContents"/>
              <w:bidi w:val="0"/>
              <w:spacing w:before="0" w:after="0"/>
              <w:jc w:val="center"/>
              <w:rPr>
                <w:rFonts w:ascii="Times New Roman" w:hAnsi="Times New Roman"/>
                <w:b/>
                <w:sz w:val="20"/>
              </w:rPr>
            </w:pPr>
            <w:r>
              <w:rPr>
                <w:rFonts w:ascii="Times New Roman" w:hAnsi="Times New Roman"/>
                <w:b/>
                <w:sz w:val="20"/>
              </w:rPr>
              <w:t>General Counsel</w:t>
            </w:r>
          </w:p>
          <w:p>
            <w:pPr>
              <w:pStyle w:val="TableContents"/>
              <w:bidi w:val="0"/>
              <w:spacing w:before="0" w:after="0"/>
              <w:jc w:val="center"/>
              <w:rPr>
                <w:rFonts w:ascii="Times New Roman" w:hAnsi="Times New Roman"/>
                <w:b/>
                <w:sz w:val="20"/>
              </w:rPr>
            </w:pPr>
            <w:r>
              <w:rPr>
                <w:rFonts w:ascii="Times New Roman" w:hAnsi="Times New Roman"/>
                <w:b/>
                <w:sz w:val="20"/>
              </w:rPr>
              <w:t>10000 Avalon Boulevard, Suite 1000</w:t>
            </w:r>
          </w:p>
          <w:p>
            <w:pPr>
              <w:pStyle w:val="TableContents"/>
              <w:bidi w:val="0"/>
              <w:spacing w:before="0" w:after="0"/>
              <w:jc w:val="center"/>
              <w:rPr>
                <w:rFonts w:ascii="Times New Roman" w:hAnsi="Times New Roman"/>
                <w:b/>
                <w:sz w:val="20"/>
              </w:rPr>
            </w:pPr>
            <w:r>
              <w:rPr>
                <w:rFonts w:ascii="Times New Roman" w:hAnsi="Times New Roman"/>
                <w:b/>
                <w:sz w:val="20"/>
              </w:rPr>
              <w:t>Alpharetta, Georgia 30009</w:t>
            </w:r>
          </w:p>
          <w:p>
            <w:pPr>
              <w:pStyle w:val="TableContents"/>
              <w:bidi w:val="0"/>
              <w:spacing w:before="0" w:after="20"/>
              <w:jc w:val="center"/>
              <w:rPr>
                <w:rFonts w:ascii="Times New Roman" w:hAnsi="Times New Roman"/>
                <w:b/>
                <w:sz w:val="20"/>
              </w:rPr>
            </w:pPr>
            <w:r>
              <w:rPr>
                <w:rFonts w:ascii="Times New Roman" w:hAnsi="Times New Roman"/>
                <w:b/>
                <w:sz w:val="20"/>
              </w:rPr>
              <w:t>(678) 534-5849</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16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Bakkt Holdings, Inc. (the Registrant or the Company) is filing this Registration Statement with the Securities and Exchange Commission (the SEC) to register 26,590,466 shares of Class A Common Stock to be issued under Bakkt Holdings, Inc.s 2021 Omnibus Incentive Plan (the Plan). These 26,590,466 shares represent an increase in the number of shares of Class A Common Stock reserved for issuance under the Plan, which increase was approved by the stockholders on June 6, 2023. As a result of the foregoing, the total number of shares of common stock registered for offer and sale under the Plan is now 52,407,412.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Registrant incorporates by reference the following documents that the Registrant has previously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pPr>
            <w:r>
              <w:rPr>
                <w:rFonts w:ascii="Times New Roman" w:hAnsi="Times New Roman"/>
                <w:sz w:val="20"/>
              </w:rPr>
              <w:t xml:space="preserve">The Registrants Annual Report on </w:t>
            </w:r>
            <w:hyperlink r:id="rId2">
              <w:r>
                <w:rPr>
                  <w:rStyle w:val="InternetLink"/>
                  <w:rFonts w:ascii="Times New Roman" w:hAnsi="Times New Roman"/>
                  <w:sz w:val="20"/>
                </w:rPr>
                <w:t>Form 10-K</w:t>
              </w:r>
            </w:hyperlink>
            <w:r>
              <w:rPr>
                <w:rFonts w:ascii="Times New Roman" w:hAnsi="Times New Roman"/>
                <w:sz w:val="20"/>
              </w:rPr>
              <w:t xml:space="preserve"> for the fiscal year ended December 31, 2022, filed with the SEC on March 24, 2023 (the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pPr>
            <w:r>
              <w:rPr>
                <w:rFonts w:ascii="Times New Roman" w:hAnsi="Times New Roman"/>
                <w:sz w:val="20"/>
              </w:rPr>
              <w:t xml:space="preserve">The portions of the Registrants Definitive Proxy Statement on </w:t>
            </w:r>
            <w:hyperlink r:id="rId3">
              <w:r>
                <w:rPr>
                  <w:rStyle w:val="InternetLink"/>
                  <w:rFonts w:ascii="Times New Roman" w:hAnsi="Times New Roman"/>
                  <w:sz w:val="20"/>
                </w:rPr>
                <w:t>Schedule 14A</w:t>
              </w:r>
            </w:hyperlink>
            <w:r>
              <w:rPr>
                <w:rFonts w:ascii="Times New Roman" w:hAnsi="Times New Roman"/>
                <w:sz w:val="20"/>
              </w:rPr>
              <w:t xml:space="preserve"> (other than information furnished rather than filed) that are incorporated by reference into the Annual Report, filed with the SEC on April 24,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pPr>
            <w:r>
              <w:rPr>
                <w:rFonts w:ascii="Times New Roman" w:hAnsi="Times New Roman"/>
                <w:sz w:val="20"/>
              </w:rPr>
              <w:t xml:space="preserve">The Registrants Quarterly Reports on Form 10-Q for the quarters ended March 31, 2023, June 30, 2023 and September  30, 2023, filed with the SEC on each of </w:t>
            </w:r>
            <w:hyperlink r:id="rId4">
              <w:r>
                <w:rPr>
                  <w:rStyle w:val="InternetLink"/>
                  <w:rFonts w:ascii="Times New Roman" w:hAnsi="Times New Roman"/>
                  <w:sz w:val="20"/>
                </w:rPr>
                <w:t>May  11, 2023</w:t>
              </w:r>
            </w:hyperlink>
            <w:r>
              <w:rPr>
                <w:rFonts w:ascii="Times New Roman" w:hAnsi="Times New Roman"/>
                <w:sz w:val="20"/>
              </w:rPr>
              <w:t xml:space="preserve">, </w:t>
            </w:r>
            <w:hyperlink r:id="rId5">
              <w:r>
                <w:rPr>
                  <w:rStyle w:val="InternetLink"/>
                  <w:rFonts w:ascii="Times New Roman" w:hAnsi="Times New Roman"/>
                  <w:sz w:val="20"/>
                </w:rPr>
                <w:t>August  10, 2023</w:t>
              </w:r>
            </w:hyperlink>
            <w:r>
              <w:rPr>
                <w:rFonts w:ascii="Times New Roman" w:hAnsi="Times New Roman"/>
                <w:sz w:val="20"/>
              </w:rPr>
              <w:t xml:space="preserve"> and </w:t>
            </w:r>
            <w:hyperlink r:id="rId6">
              <w:r>
                <w:rPr>
                  <w:rStyle w:val="InternetLink"/>
                  <w:rFonts w:ascii="Times New Roman" w:hAnsi="Times New Roman"/>
                  <w:sz w:val="20"/>
                </w:rPr>
                <w:t>November 14, 2023</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reports filed pursuant to Section 13(a) or 15(d) of the Securities Exchange Act of 1934, as amended (the Exchange Act), since the end of the fiscal year covered by the Annual Report (other than the portions of these documents not deemed to be filed);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pPr>
            <w:r>
              <w:rPr>
                <w:rFonts w:ascii="Times New Roman" w:hAnsi="Times New Roman"/>
                <w:sz w:val="20"/>
              </w:rPr>
              <w:t xml:space="preserve">The description of the Registrants common stock contained in the Registrants Registration Statement on </w:t>
            </w:r>
            <w:hyperlink r:id="rId7">
              <w:r>
                <w:rPr>
                  <w:rStyle w:val="InternetLink"/>
                  <w:rFonts w:ascii="Times New Roman" w:hAnsi="Times New Roman"/>
                  <w:sz w:val="20"/>
                </w:rPr>
                <w:t>Form 8-A</w:t>
              </w:r>
            </w:hyperlink>
            <w:r>
              <w:rPr>
                <w:rFonts w:ascii="Times New Roman" w:hAnsi="Times New Roman"/>
                <w:sz w:val="20"/>
              </w:rPr>
              <w:t xml:space="preserve"> (File No. 001-39544) filed with the SEC on October 15, 2021, pursuant to Section  12(b) of the Exchange Act, including any amendment or report filed for the purpose of updating such description, including </w:t>
            </w:r>
            <w:hyperlink r:id="rId8">
              <w:r>
                <w:rPr>
                  <w:rStyle w:val="InternetLink"/>
                  <w:rFonts w:ascii="Times New Roman" w:hAnsi="Times New Roman"/>
                  <w:sz w:val="20"/>
                </w:rPr>
                <w:t>Exhibit 4.7</w:t>
              </w:r>
            </w:hyperlink>
            <w:r>
              <w:rPr>
                <w:rFonts w:ascii="Times New Roman" w:hAnsi="Times New Roman"/>
                <w:sz w:val="20"/>
              </w:rPr>
              <w:t xml:space="preserve"> of the Annual Report.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filed by the Registrant with the SEC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hAnsi="Times New Roman"/>
          <w:i/>
          <w:sz w:val="20"/>
        </w:rPr>
        <w:t>provided, however</w:t>
      </w:r>
      <w:r>
        <w:rPr>
          <w:rFonts w:ascii="Times New Roman" w:hAnsi="Times New Roman"/>
          <w:sz w:val="20"/>
        </w:rPr>
        <w:t xml:space="preserve">, that documents or information deemed to have been furnished and not filed in accordance with the rules of the SEC (including, without limitation, information furnished under Item 2.02 or Item 7.01 of Current Reports on Form 8-K and the exhibits related to such items furnished under Item 9.01) shall not be deemed incorporated by reference into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Registration Statement, or in a document incorporated or deemed to be incorporated by reference herein, shall be deemed to be modified or superseded for purposes of this Registration Statement to the extent that a statement contained herein or in any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Corporate Law (DGCL) authorizes a corporations board of directors to grant, and authorizes a court to award, indemnity to officers, directors and other corporate agents.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Certificate of Incorporation contains provisions that limit the liability of the Companys directors for monetary damages to the fullest extent permitted by the DGCL. Consequently, the Companys directors will not be personally liable to the Company or its stockholders for monetary damages for any breach of fiduciary duties as directors, except liability for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their duty of loyalty to the Company or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unlawful payments of dividends or unlawful stock repurchases or redemptions as provided in Section 174 of the DGCL;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they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the Companys directors will be further limited to the greatest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Companys bylaws (By-Laws) provide that the Company will indemnify its directors and officers, and may indemnify its employees, agents and any other persons, to the fullest extent permitted by the DGCL. The Companys By-Laws also provide that the Company must advance expenses incurred by or on behalf of a director or officer in advance of the final disposition of any action or proceeding, subject to limited exceptions. </w:t>
      </w:r>
    </w:p>
    <w:p>
      <w:pPr>
        <w:pStyle w:val="TextBody"/>
        <w:bidi w:val="0"/>
        <w:spacing w:before="240" w:after="0"/>
        <w:jc w:val="left"/>
        <w:rPr>
          <w:rFonts w:ascii="Times New Roman" w:hAnsi="Times New Roman"/>
          <w:sz w:val="20"/>
        </w:rPr>
      </w:pPr>
      <w:r>
        <w:rPr>
          <w:rFonts w:ascii="Times New Roman" w:hAnsi="Times New Roman"/>
          <w:sz w:val="20"/>
        </w:rPr>
        <w:t xml:space="preserve">Further, the Company has entered into or will enter into indemnification agreements with each of its directors and executive officers that may be broader than the specific indemnification provisions contained in the DGCL. These indemnification agreements require the Company, among other things, to indemnify its directors and executive officers against liabilities that may arise by reason of their status or service. These indemnification agreements also require the Company to advance all expenses reasonably and actually incurred by the directors and executive officers in investigating or defending any such action, suit or proceeding. The Company believes that these agreements are necessary to attract and retain qualified individuals to serve as 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and indemnification provisions included in the Companys Certificate of Incorporation, By-Laws and the indemnification agreements that the Company has entered into or will enter into with its directors and executive officers may discourage stockholders from bringing a lawsuit against the Companys directors and executive officers for breach of their fiduciary duties. They may also reduce the likelihood of derivative litigation against the Companys directors and executive officers, even though an action, if successful, might benefit the Company and its stockholders. Further, a stockholders investment may be adversely affected to the extent that the Company pays the costs of settlement and damage awards against directors and executive officers as required by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obtained insurance policies under which, subject to the limitations of the policies, coverage is provided to the Companys directors and executive officers against loss arising from claims made by reason of breach of fiduciary duty or other wrongful acts as a director or executive officer, including claims relating to public securities matters, and to the Company with respect to payments that may be made by the Company to these directors and executive officers pursuant to the Companys indemnification obligations or otherwise as a matter of law.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Companys non-employee directors may, through their relationships with their employers, be insured and/or indemnified against certain liabilities incurred in their capacity as members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the Company pursuant to the foregoing provisions, the Company has been informed that, in the opinion of the Commission, such indemnification is against public policy as expressed in the Securities Act and is therefore unenforceable.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48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4"/>
        <w:gridCol w:w="425"/>
        <w:gridCol w:w="9006"/>
      </w:tblGrid>
      <w:tr>
        <w:trPr/>
        <w:tc>
          <w:tcPr>
            <w:tcW w:w="774"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9006" w:type="dxa"/>
            <w:tcBorders/>
            <w:vAlign w:val="center"/>
          </w:tcPr>
          <w:p>
            <w:pPr>
              <w:pStyle w:val="TableContents"/>
              <w:bidi w:val="0"/>
              <w:spacing w:before="0" w:after="283"/>
              <w:jc w:val="left"/>
              <w:rPr>
                <w:sz w:val="4"/>
                <w:szCs w:val="4"/>
              </w:rPr>
            </w:pPr>
            <w:r>
              <w:rPr>
                <w:sz w:val="4"/>
                <w:szCs w:val="4"/>
              </w:rPr>
            </w:r>
          </w:p>
        </w:tc>
      </w:tr>
      <w:tr>
        <w:trPr/>
        <w:tc>
          <w:tcPr>
            <w:tcW w:w="774"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No.</w:t>
            </w:r>
          </w:p>
        </w:tc>
        <w:tc>
          <w:tcPr>
            <w:tcW w:w="425" w:type="dxa"/>
            <w:tcBorders/>
            <w:vAlign w:val="bottom"/>
          </w:tcPr>
          <w:p>
            <w:pPr>
              <w:pStyle w:val="TableContents"/>
              <w:bidi w:val="0"/>
              <w:spacing w:before="0" w:after="283"/>
              <w:jc w:val="left"/>
              <w:rPr/>
            </w:pPr>
            <w:r>
              <w:rPr/>
              <w:t>  </w:t>
            </w:r>
          </w:p>
        </w:tc>
        <w:tc>
          <w:tcPr>
            <w:tcW w:w="900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rHeight w:val="120" w:hRule="atLeast"/>
        </w:trPr>
        <w:tc>
          <w:tcPr>
            <w:tcW w:w="774" w:type="dxa"/>
            <w:tcBorders/>
            <w:vAlign w:val="center"/>
          </w:tcPr>
          <w:p>
            <w:pPr>
              <w:pStyle w:val="TableContents"/>
              <w:bidi w:val="0"/>
              <w:spacing w:before="0" w:after="283"/>
              <w:jc w:val="left"/>
              <w:rPr>
                <w:sz w:val="4"/>
                <w:szCs w:val="4"/>
              </w:rPr>
            </w:pPr>
            <w:r>
              <w:rPr>
                <w:sz w:val="4"/>
                <w:szCs w:val="4"/>
              </w:rPr>
            </w:r>
          </w:p>
        </w:tc>
        <w:tc>
          <w:tcPr>
            <w:tcW w:w="9431" w:type="dxa"/>
            <w:gridSpan w:val="2"/>
            <w:tcBorders/>
            <w:vAlign w:val="center"/>
          </w:tcPr>
          <w:p>
            <w:pPr>
              <w:pStyle w:val="TableContents"/>
              <w:bidi w:val="0"/>
              <w:spacing w:before="0" w:after="283"/>
              <w:jc w:val="left"/>
              <w:rPr>
                <w:sz w:val="4"/>
                <w:szCs w:val="4"/>
              </w:rPr>
            </w:pPr>
            <w:r>
              <w:rPr>
                <w:sz w:val="4"/>
                <w:szCs w:val="4"/>
              </w:rPr>
            </w:r>
          </w:p>
        </w:tc>
      </w:tr>
      <w:tr>
        <w:trPr/>
        <w:tc>
          <w:tcPr>
            <w:tcW w:w="774" w:type="dxa"/>
            <w:tcBorders/>
          </w:tcPr>
          <w:p>
            <w:pPr>
              <w:pStyle w:val="TableContents"/>
              <w:bidi w:val="0"/>
              <w:spacing w:before="0" w:after="283"/>
              <w:jc w:val="left"/>
              <w:rPr/>
            </w:pPr>
            <w:r>
              <w:rPr/>
              <w:t>  </w:t>
            </w:r>
            <w:r>
              <w:rPr/>
              <w:t>3.1</w:t>
            </w:r>
          </w:p>
        </w:tc>
        <w:tc>
          <w:tcPr>
            <w:tcW w:w="425" w:type="dxa"/>
            <w:tcBorders/>
            <w:vAlign w:val="bottom"/>
          </w:tcPr>
          <w:p>
            <w:pPr>
              <w:pStyle w:val="TableContents"/>
              <w:bidi w:val="0"/>
              <w:spacing w:before="0" w:after="283"/>
              <w:jc w:val="left"/>
              <w:rPr/>
            </w:pPr>
            <w:r>
              <w:rPr/>
              <w:t>  </w:t>
            </w:r>
          </w:p>
        </w:tc>
        <w:tc>
          <w:tcPr>
            <w:tcW w:w="9006" w:type="dxa"/>
            <w:tcBorders/>
          </w:tcPr>
          <w:p>
            <w:pPr>
              <w:pStyle w:val="TableContents"/>
              <w:bidi w:val="0"/>
              <w:spacing w:before="0" w:after="283"/>
              <w:jc w:val="left"/>
              <w:rPr/>
            </w:pPr>
            <w:hyperlink r:id="rId9">
              <w:r>
                <w:rPr>
                  <w:rStyle w:val="InternetLink"/>
                </w:rPr>
                <w:t>Certificate of Incorporation of the Registrant, as currently in effect (incorporated by reference to Exhibit 3.1 to the Registrants Form  8-K filed with the SEC on October 21, 2021).</w:t>
              </w:r>
            </w:hyperlink>
          </w:p>
        </w:tc>
      </w:tr>
      <w:tr>
        <w:trPr>
          <w:trHeight w:val="120" w:hRule="atLeast"/>
        </w:trPr>
        <w:tc>
          <w:tcPr>
            <w:tcW w:w="774" w:type="dxa"/>
            <w:tcBorders/>
            <w:vAlign w:val="center"/>
          </w:tcPr>
          <w:p>
            <w:pPr>
              <w:pStyle w:val="TableContents"/>
              <w:bidi w:val="0"/>
              <w:spacing w:before="0" w:after="283"/>
              <w:jc w:val="left"/>
              <w:rPr>
                <w:sz w:val="4"/>
                <w:szCs w:val="4"/>
              </w:rPr>
            </w:pPr>
            <w:r>
              <w:rPr>
                <w:sz w:val="4"/>
                <w:szCs w:val="4"/>
              </w:rPr>
            </w:r>
          </w:p>
        </w:tc>
        <w:tc>
          <w:tcPr>
            <w:tcW w:w="9431" w:type="dxa"/>
            <w:gridSpan w:val="2"/>
            <w:tcBorders/>
            <w:vAlign w:val="center"/>
          </w:tcPr>
          <w:p>
            <w:pPr>
              <w:pStyle w:val="TableContents"/>
              <w:bidi w:val="0"/>
              <w:spacing w:before="0" w:after="283"/>
              <w:jc w:val="left"/>
              <w:rPr>
                <w:sz w:val="4"/>
                <w:szCs w:val="4"/>
              </w:rPr>
            </w:pPr>
            <w:r>
              <w:rPr>
                <w:sz w:val="4"/>
                <w:szCs w:val="4"/>
              </w:rPr>
            </w:r>
          </w:p>
        </w:tc>
      </w:tr>
      <w:tr>
        <w:trPr/>
        <w:tc>
          <w:tcPr>
            <w:tcW w:w="774" w:type="dxa"/>
            <w:tcBorders/>
          </w:tcPr>
          <w:p>
            <w:pPr>
              <w:pStyle w:val="TableContents"/>
              <w:bidi w:val="0"/>
              <w:spacing w:before="0" w:after="283"/>
              <w:jc w:val="left"/>
              <w:rPr/>
            </w:pPr>
            <w:r>
              <w:rPr/>
              <w:t>  </w:t>
            </w:r>
            <w:r>
              <w:rPr/>
              <w:t>3.2</w:t>
            </w:r>
          </w:p>
        </w:tc>
        <w:tc>
          <w:tcPr>
            <w:tcW w:w="425" w:type="dxa"/>
            <w:tcBorders/>
            <w:vAlign w:val="bottom"/>
          </w:tcPr>
          <w:p>
            <w:pPr>
              <w:pStyle w:val="TableContents"/>
              <w:bidi w:val="0"/>
              <w:spacing w:before="0" w:after="283"/>
              <w:jc w:val="left"/>
              <w:rPr/>
            </w:pPr>
            <w:r>
              <w:rPr/>
              <w:t>  </w:t>
            </w:r>
          </w:p>
        </w:tc>
        <w:tc>
          <w:tcPr>
            <w:tcW w:w="9006" w:type="dxa"/>
            <w:tcBorders/>
          </w:tcPr>
          <w:p>
            <w:pPr>
              <w:pStyle w:val="TableContents"/>
              <w:bidi w:val="0"/>
              <w:spacing w:before="0" w:after="283"/>
              <w:jc w:val="left"/>
              <w:rPr/>
            </w:pPr>
            <w:hyperlink r:id="rId10">
              <w:r>
                <w:rPr>
                  <w:rStyle w:val="InternetLink"/>
                </w:rPr>
                <w:t>By-Laws  of the Registrant, as currently in effect (incorporated by reference to Exhibit 3.2 to the Registrants Form 8-K filed with the SEC on October 21, 2021).</w:t>
              </w:r>
            </w:hyperlink>
          </w:p>
        </w:tc>
      </w:tr>
      <w:tr>
        <w:trPr>
          <w:trHeight w:val="120" w:hRule="atLeast"/>
        </w:trPr>
        <w:tc>
          <w:tcPr>
            <w:tcW w:w="774" w:type="dxa"/>
            <w:tcBorders/>
            <w:vAlign w:val="center"/>
          </w:tcPr>
          <w:p>
            <w:pPr>
              <w:pStyle w:val="TableContents"/>
              <w:bidi w:val="0"/>
              <w:spacing w:before="0" w:after="283"/>
              <w:jc w:val="left"/>
              <w:rPr>
                <w:sz w:val="4"/>
                <w:szCs w:val="4"/>
              </w:rPr>
            </w:pPr>
            <w:r>
              <w:rPr>
                <w:sz w:val="4"/>
                <w:szCs w:val="4"/>
              </w:rPr>
            </w:r>
          </w:p>
        </w:tc>
        <w:tc>
          <w:tcPr>
            <w:tcW w:w="9431" w:type="dxa"/>
            <w:gridSpan w:val="2"/>
            <w:tcBorders/>
            <w:vAlign w:val="center"/>
          </w:tcPr>
          <w:p>
            <w:pPr>
              <w:pStyle w:val="TableContents"/>
              <w:bidi w:val="0"/>
              <w:spacing w:before="0" w:after="283"/>
              <w:jc w:val="left"/>
              <w:rPr>
                <w:sz w:val="4"/>
                <w:szCs w:val="4"/>
              </w:rPr>
            </w:pPr>
            <w:r>
              <w:rPr>
                <w:sz w:val="4"/>
                <w:szCs w:val="4"/>
              </w:rPr>
            </w:r>
          </w:p>
        </w:tc>
      </w:tr>
      <w:tr>
        <w:trPr/>
        <w:tc>
          <w:tcPr>
            <w:tcW w:w="774" w:type="dxa"/>
            <w:tcBorders/>
          </w:tcPr>
          <w:p>
            <w:pPr>
              <w:pStyle w:val="TableContents"/>
              <w:bidi w:val="0"/>
              <w:spacing w:before="0" w:after="283"/>
              <w:jc w:val="left"/>
              <w:rPr/>
            </w:pPr>
            <w:r>
              <w:rPr/>
              <w:t>  </w:t>
            </w:r>
            <w:r>
              <w:rPr/>
              <w:t>4.1</w:t>
            </w:r>
          </w:p>
        </w:tc>
        <w:tc>
          <w:tcPr>
            <w:tcW w:w="425" w:type="dxa"/>
            <w:tcBorders/>
            <w:vAlign w:val="bottom"/>
          </w:tcPr>
          <w:p>
            <w:pPr>
              <w:pStyle w:val="TableContents"/>
              <w:bidi w:val="0"/>
              <w:spacing w:before="0" w:after="283"/>
              <w:jc w:val="left"/>
              <w:rPr/>
            </w:pPr>
            <w:r>
              <w:rPr/>
              <w:t>  </w:t>
            </w:r>
          </w:p>
        </w:tc>
        <w:tc>
          <w:tcPr>
            <w:tcW w:w="9006" w:type="dxa"/>
            <w:tcBorders/>
          </w:tcPr>
          <w:p>
            <w:pPr>
              <w:pStyle w:val="TableContents"/>
              <w:bidi w:val="0"/>
              <w:spacing w:before="0" w:after="283"/>
              <w:jc w:val="left"/>
              <w:rPr/>
            </w:pPr>
            <w:hyperlink r:id="rId11">
              <w:r>
                <w:rPr>
                  <w:rStyle w:val="InternetLink"/>
                </w:rPr>
                <w:t>Specimen Class  A Common Stock Certificate of the Registrant (incorporated by reference to Exhibit 4.1 to the Registrants Form 8-K filed with the SEC on October 21, 2021).</w:t>
              </w:r>
            </w:hyperlink>
          </w:p>
        </w:tc>
      </w:tr>
      <w:tr>
        <w:trPr>
          <w:trHeight w:val="120" w:hRule="atLeast"/>
        </w:trPr>
        <w:tc>
          <w:tcPr>
            <w:tcW w:w="774" w:type="dxa"/>
            <w:tcBorders/>
            <w:vAlign w:val="center"/>
          </w:tcPr>
          <w:p>
            <w:pPr>
              <w:pStyle w:val="TableContents"/>
              <w:bidi w:val="0"/>
              <w:spacing w:before="0" w:after="283"/>
              <w:jc w:val="left"/>
              <w:rPr>
                <w:sz w:val="4"/>
                <w:szCs w:val="4"/>
              </w:rPr>
            </w:pPr>
            <w:r>
              <w:rPr>
                <w:sz w:val="4"/>
                <w:szCs w:val="4"/>
              </w:rPr>
            </w:r>
          </w:p>
        </w:tc>
        <w:tc>
          <w:tcPr>
            <w:tcW w:w="9431" w:type="dxa"/>
            <w:gridSpan w:val="2"/>
            <w:tcBorders/>
            <w:vAlign w:val="center"/>
          </w:tcPr>
          <w:p>
            <w:pPr>
              <w:pStyle w:val="TableContents"/>
              <w:bidi w:val="0"/>
              <w:spacing w:before="0" w:after="283"/>
              <w:jc w:val="left"/>
              <w:rPr>
                <w:sz w:val="4"/>
                <w:szCs w:val="4"/>
              </w:rPr>
            </w:pPr>
            <w:r>
              <w:rPr>
                <w:sz w:val="4"/>
                <w:szCs w:val="4"/>
              </w:rPr>
            </w:r>
          </w:p>
        </w:tc>
      </w:tr>
      <w:tr>
        <w:trPr/>
        <w:tc>
          <w:tcPr>
            <w:tcW w:w="774" w:type="dxa"/>
            <w:tcBorders/>
          </w:tcPr>
          <w:p>
            <w:pPr>
              <w:pStyle w:val="TableContents"/>
              <w:bidi w:val="0"/>
              <w:spacing w:before="0" w:after="283"/>
              <w:jc w:val="left"/>
              <w:rPr/>
            </w:pPr>
            <w:r>
              <w:rPr/>
              <w:t>  </w:t>
            </w:r>
            <w:r>
              <w:rPr/>
              <w:t>4.2</w:t>
            </w:r>
          </w:p>
        </w:tc>
        <w:tc>
          <w:tcPr>
            <w:tcW w:w="425" w:type="dxa"/>
            <w:tcBorders/>
            <w:vAlign w:val="bottom"/>
          </w:tcPr>
          <w:p>
            <w:pPr>
              <w:pStyle w:val="TableContents"/>
              <w:bidi w:val="0"/>
              <w:spacing w:before="0" w:after="283"/>
              <w:jc w:val="left"/>
              <w:rPr/>
            </w:pPr>
            <w:r>
              <w:rPr/>
              <w:t>  </w:t>
            </w:r>
          </w:p>
        </w:tc>
        <w:tc>
          <w:tcPr>
            <w:tcW w:w="9006" w:type="dxa"/>
            <w:tcBorders/>
          </w:tcPr>
          <w:p>
            <w:pPr>
              <w:pStyle w:val="TableContents"/>
              <w:bidi w:val="0"/>
              <w:spacing w:before="0" w:after="283"/>
              <w:jc w:val="left"/>
              <w:rPr/>
            </w:pPr>
            <w:hyperlink r:id="rId12">
              <w:r>
                <w:rPr>
                  <w:rStyle w:val="InternetLink"/>
                </w:rPr>
                <w:t>Bakkt Holdings, Inc. 2021 Omnibus Incentive Plan (incorporated by reference to Exhibit 10.9 to the Registrants Form 8-K filed with the SEC on October 21, 2021).</w:t>
              </w:r>
            </w:hyperlink>
          </w:p>
        </w:tc>
      </w:tr>
      <w:tr>
        <w:trPr>
          <w:trHeight w:val="120" w:hRule="atLeast"/>
        </w:trPr>
        <w:tc>
          <w:tcPr>
            <w:tcW w:w="774" w:type="dxa"/>
            <w:tcBorders/>
            <w:vAlign w:val="center"/>
          </w:tcPr>
          <w:p>
            <w:pPr>
              <w:pStyle w:val="TableContents"/>
              <w:bidi w:val="0"/>
              <w:spacing w:before="0" w:after="283"/>
              <w:jc w:val="left"/>
              <w:rPr>
                <w:sz w:val="4"/>
                <w:szCs w:val="4"/>
              </w:rPr>
            </w:pPr>
            <w:r>
              <w:rPr>
                <w:sz w:val="4"/>
                <w:szCs w:val="4"/>
              </w:rPr>
            </w:r>
          </w:p>
        </w:tc>
        <w:tc>
          <w:tcPr>
            <w:tcW w:w="9431" w:type="dxa"/>
            <w:gridSpan w:val="2"/>
            <w:tcBorders/>
            <w:vAlign w:val="center"/>
          </w:tcPr>
          <w:p>
            <w:pPr>
              <w:pStyle w:val="TableContents"/>
              <w:bidi w:val="0"/>
              <w:spacing w:before="0" w:after="283"/>
              <w:jc w:val="left"/>
              <w:rPr>
                <w:sz w:val="4"/>
                <w:szCs w:val="4"/>
              </w:rPr>
            </w:pPr>
            <w:r>
              <w:rPr>
                <w:sz w:val="4"/>
                <w:szCs w:val="4"/>
              </w:rPr>
            </w:r>
          </w:p>
        </w:tc>
      </w:tr>
      <w:tr>
        <w:trPr/>
        <w:tc>
          <w:tcPr>
            <w:tcW w:w="774" w:type="dxa"/>
            <w:tcBorders/>
          </w:tcPr>
          <w:p>
            <w:pPr>
              <w:pStyle w:val="TableContents"/>
              <w:bidi w:val="0"/>
              <w:spacing w:before="0" w:after="283"/>
              <w:jc w:val="left"/>
              <w:rPr/>
            </w:pPr>
            <w:r>
              <w:rPr/>
              <w:t>  </w:t>
            </w:r>
            <w:r>
              <w:rPr/>
              <w:t>4.3</w:t>
            </w:r>
          </w:p>
        </w:tc>
        <w:tc>
          <w:tcPr>
            <w:tcW w:w="425" w:type="dxa"/>
            <w:tcBorders/>
            <w:vAlign w:val="bottom"/>
          </w:tcPr>
          <w:p>
            <w:pPr>
              <w:pStyle w:val="TableContents"/>
              <w:bidi w:val="0"/>
              <w:spacing w:before="0" w:after="283"/>
              <w:jc w:val="left"/>
              <w:rPr/>
            </w:pPr>
            <w:r>
              <w:rPr/>
              <w:t>  </w:t>
            </w:r>
          </w:p>
        </w:tc>
        <w:tc>
          <w:tcPr>
            <w:tcW w:w="9006" w:type="dxa"/>
            <w:tcBorders/>
          </w:tcPr>
          <w:p>
            <w:pPr>
              <w:pStyle w:val="TableContents"/>
              <w:bidi w:val="0"/>
              <w:spacing w:before="0" w:after="283"/>
              <w:jc w:val="left"/>
              <w:rPr/>
            </w:pPr>
            <w:hyperlink r:id="rId13">
              <w:r>
                <w:rPr>
                  <w:rStyle w:val="InternetLink"/>
                </w:rPr>
                <w:t>Form of Director Restricted Stock Unit Agreement under the Bakkt Holdings, Inc. 2021 Omnibus Incentive Plan (incorporated by reference to Exhibit 10.11 to the Registrants Form 10-K filed with the SEC on March 31, 2022).</w:t>
              </w:r>
            </w:hyperlink>
          </w:p>
        </w:tc>
      </w:tr>
      <w:tr>
        <w:trPr>
          <w:trHeight w:val="120" w:hRule="atLeast"/>
        </w:trPr>
        <w:tc>
          <w:tcPr>
            <w:tcW w:w="774" w:type="dxa"/>
            <w:tcBorders/>
            <w:vAlign w:val="center"/>
          </w:tcPr>
          <w:p>
            <w:pPr>
              <w:pStyle w:val="TableContents"/>
              <w:bidi w:val="0"/>
              <w:spacing w:before="0" w:after="283"/>
              <w:jc w:val="left"/>
              <w:rPr>
                <w:sz w:val="4"/>
                <w:szCs w:val="4"/>
              </w:rPr>
            </w:pPr>
            <w:r>
              <w:rPr>
                <w:sz w:val="4"/>
                <w:szCs w:val="4"/>
              </w:rPr>
            </w:r>
          </w:p>
        </w:tc>
        <w:tc>
          <w:tcPr>
            <w:tcW w:w="9431" w:type="dxa"/>
            <w:gridSpan w:val="2"/>
            <w:tcBorders/>
            <w:vAlign w:val="center"/>
          </w:tcPr>
          <w:p>
            <w:pPr>
              <w:pStyle w:val="TableContents"/>
              <w:bidi w:val="0"/>
              <w:spacing w:before="0" w:after="283"/>
              <w:jc w:val="left"/>
              <w:rPr>
                <w:sz w:val="4"/>
                <w:szCs w:val="4"/>
              </w:rPr>
            </w:pPr>
            <w:r>
              <w:rPr>
                <w:sz w:val="4"/>
                <w:szCs w:val="4"/>
              </w:rPr>
            </w:r>
          </w:p>
        </w:tc>
      </w:tr>
      <w:tr>
        <w:trPr/>
        <w:tc>
          <w:tcPr>
            <w:tcW w:w="774" w:type="dxa"/>
            <w:tcBorders/>
          </w:tcPr>
          <w:p>
            <w:pPr>
              <w:pStyle w:val="TableContents"/>
              <w:bidi w:val="0"/>
              <w:spacing w:before="0" w:after="283"/>
              <w:jc w:val="left"/>
              <w:rPr/>
            </w:pPr>
            <w:r>
              <w:rPr/>
              <w:t>  </w:t>
            </w:r>
            <w:r>
              <w:rPr/>
              <w:t>4.4</w:t>
            </w:r>
          </w:p>
        </w:tc>
        <w:tc>
          <w:tcPr>
            <w:tcW w:w="425" w:type="dxa"/>
            <w:tcBorders/>
            <w:vAlign w:val="bottom"/>
          </w:tcPr>
          <w:p>
            <w:pPr>
              <w:pStyle w:val="TableContents"/>
              <w:bidi w:val="0"/>
              <w:spacing w:before="0" w:after="283"/>
              <w:jc w:val="left"/>
              <w:rPr/>
            </w:pPr>
            <w:r>
              <w:rPr/>
              <w:t>  </w:t>
            </w:r>
          </w:p>
        </w:tc>
        <w:tc>
          <w:tcPr>
            <w:tcW w:w="9006" w:type="dxa"/>
            <w:tcBorders/>
          </w:tcPr>
          <w:p>
            <w:pPr>
              <w:pStyle w:val="TableContents"/>
              <w:bidi w:val="0"/>
              <w:spacing w:before="0" w:after="283"/>
              <w:jc w:val="left"/>
              <w:rPr/>
            </w:pPr>
            <w:hyperlink r:id="rId14">
              <w:r>
                <w:rPr>
                  <w:rStyle w:val="InternetLink"/>
                </w:rPr>
                <w:t xml:space="preserve">Form of Executive Officer Restricted Stock Unit Agreement under the Bakkt Holdings, Inc. 2021 Omnibus Incentive Plan (incorporated by reference to Exhibit 10.2 to the Registrants Form 10-Q filed with the SEC on May 11, 2023). </w:t>
              </w:r>
            </w:hyperlink>
          </w:p>
        </w:tc>
      </w:tr>
      <w:tr>
        <w:trPr>
          <w:trHeight w:val="120" w:hRule="atLeast"/>
        </w:trPr>
        <w:tc>
          <w:tcPr>
            <w:tcW w:w="774" w:type="dxa"/>
            <w:tcBorders/>
            <w:vAlign w:val="center"/>
          </w:tcPr>
          <w:p>
            <w:pPr>
              <w:pStyle w:val="TableContents"/>
              <w:bidi w:val="0"/>
              <w:spacing w:before="0" w:after="283"/>
              <w:jc w:val="left"/>
              <w:rPr>
                <w:sz w:val="4"/>
                <w:szCs w:val="4"/>
              </w:rPr>
            </w:pPr>
            <w:r>
              <w:rPr>
                <w:sz w:val="4"/>
                <w:szCs w:val="4"/>
              </w:rPr>
            </w:r>
          </w:p>
        </w:tc>
        <w:tc>
          <w:tcPr>
            <w:tcW w:w="9431" w:type="dxa"/>
            <w:gridSpan w:val="2"/>
            <w:tcBorders/>
            <w:vAlign w:val="center"/>
          </w:tcPr>
          <w:p>
            <w:pPr>
              <w:pStyle w:val="TableContents"/>
              <w:bidi w:val="0"/>
              <w:spacing w:before="0" w:after="283"/>
              <w:jc w:val="left"/>
              <w:rPr>
                <w:sz w:val="4"/>
                <w:szCs w:val="4"/>
              </w:rPr>
            </w:pPr>
            <w:r>
              <w:rPr>
                <w:sz w:val="4"/>
                <w:szCs w:val="4"/>
              </w:rPr>
            </w:r>
          </w:p>
        </w:tc>
      </w:tr>
      <w:tr>
        <w:trPr/>
        <w:tc>
          <w:tcPr>
            <w:tcW w:w="774" w:type="dxa"/>
            <w:tcBorders/>
          </w:tcPr>
          <w:p>
            <w:pPr>
              <w:pStyle w:val="TableContents"/>
              <w:bidi w:val="0"/>
              <w:spacing w:before="0" w:after="283"/>
              <w:jc w:val="left"/>
              <w:rPr/>
            </w:pPr>
            <w:r>
              <w:rPr/>
              <w:t>  </w:t>
            </w:r>
            <w:r>
              <w:rPr/>
              <w:t>4.5</w:t>
            </w:r>
          </w:p>
        </w:tc>
        <w:tc>
          <w:tcPr>
            <w:tcW w:w="425" w:type="dxa"/>
            <w:tcBorders/>
            <w:vAlign w:val="bottom"/>
          </w:tcPr>
          <w:p>
            <w:pPr>
              <w:pStyle w:val="TableContents"/>
              <w:bidi w:val="0"/>
              <w:spacing w:before="0" w:after="283"/>
              <w:jc w:val="left"/>
              <w:rPr/>
            </w:pPr>
            <w:r>
              <w:rPr/>
              <w:t>  </w:t>
            </w:r>
          </w:p>
        </w:tc>
        <w:tc>
          <w:tcPr>
            <w:tcW w:w="9006" w:type="dxa"/>
            <w:tcBorders/>
          </w:tcPr>
          <w:p>
            <w:pPr>
              <w:pStyle w:val="TableContents"/>
              <w:bidi w:val="0"/>
              <w:spacing w:before="0" w:after="283"/>
              <w:jc w:val="left"/>
              <w:rPr/>
            </w:pPr>
            <w:hyperlink r:id="rId15">
              <w:r>
                <w:rPr>
                  <w:rStyle w:val="InternetLink"/>
                </w:rPr>
                <w:t>Form of Performance Unit Agreement under the Bakkt Holdings, Inc. 2021 Omnibus Incentive Plan (incorporated by reference to Exhibit 10.1 to the Registrants Form 10-Q filed with the SEC on May 11, 2023).</w:t>
              </w:r>
            </w:hyperlink>
          </w:p>
        </w:tc>
      </w:tr>
      <w:tr>
        <w:trPr>
          <w:trHeight w:val="120" w:hRule="atLeast"/>
        </w:trPr>
        <w:tc>
          <w:tcPr>
            <w:tcW w:w="774" w:type="dxa"/>
            <w:tcBorders/>
            <w:vAlign w:val="center"/>
          </w:tcPr>
          <w:p>
            <w:pPr>
              <w:pStyle w:val="TableContents"/>
              <w:bidi w:val="0"/>
              <w:spacing w:before="0" w:after="283"/>
              <w:jc w:val="left"/>
              <w:rPr>
                <w:sz w:val="4"/>
                <w:szCs w:val="4"/>
              </w:rPr>
            </w:pPr>
            <w:r>
              <w:rPr>
                <w:sz w:val="4"/>
                <w:szCs w:val="4"/>
              </w:rPr>
            </w:r>
          </w:p>
        </w:tc>
        <w:tc>
          <w:tcPr>
            <w:tcW w:w="9431" w:type="dxa"/>
            <w:gridSpan w:val="2"/>
            <w:tcBorders/>
            <w:vAlign w:val="center"/>
          </w:tcPr>
          <w:p>
            <w:pPr>
              <w:pStyle w:val="TableContents"/>
              <w:bidi w:val="0"/>
              <w:spacing w:before="0" w:after="283"/>
              <w:jc w:val="left"/>
              <w:rPr>
                <w:sz w:val="4"/>
                <w:szCs w:val="4"/>
              </w:rPr>
            </w:pPr>
            <w:r>
              <w:rPr>
                <w:sz w:val="4"/>
                <w:szCs w:val="4"/>
              </w:rPr>
            </w:r>
          </w:p>
        </w:tc>
      </w:tr>
      <w:tr>
        <w:trPr/>
        <w:tc>
          <w:tcPr>
            <w:tcW w:w="774" w:type="dxa"/>
            <w:tcBorders/>
          </w:tcPr>
          <w:p>
            <w:pPr>
              <w:pStyle w:val="TableContents"/>
              <w:bidi w:val="0"/>
              <w:spacing w:before="0" w:after="283"/>
              <w:jc w:val="left"/>
              <w:rPr/>
            </w:pPr>
            <w:r>
              <w:rPr/>
              <w:t>  </w:t>
            </w:r>
            <w:r>
              <w:rPr/>
              <w:t>5.1*</w:t>
            </w:r>
          </w:p>
        </w:tc>
        <w:tc>
          <w:tcPr>
            <w:tcW w:w="425" w:type="dxa"/>
            <w:tcBorders/>
            <w:vAlign w:val="bottom"/>
          </w:tcPr>
          <w:p>
            <w:pPr>
              <w:pStyle w:val="TableContents"/>
              <w:bidi w:val="0"/>
              <w:spacing w:before="0" w:after="283"/>
              <w:jc w:val="left"/>
              <w:rPr/>
            </w:pPr>
            <w:r>
              <w:rPr/>
              <w:t>  </w:t>
            </w:r>
          </w:p>
        </w:tc>
        <w:tc>
          <w:tcPr>
            <w:tcW w:w="9006" w:type="dxa"/>
            <w:tcBorders/>
          </w:tcPr>
          <w:p>
            <w:pPr>
              <w:pStyle w:val="TableContents"/>
              <w:bidi w:val="0"/>
              <w:spacing w:before="0" w:after="283"/>
              <w:jc w:val="left"/>
              <w:rPr/>
            </w:pPr>
            <w:hyperlink w:anchor="d620990dex51.htm">
              <w:r>
                <w:rPr>
                  <w:rStyle w:val="InternetLink"/>
                </w:rPr>
                <w:t xml:space="preserve">Opinion of Wilson Sonsini Goodrich and Rosati, P.C. </w:t>
              </w:r>
            </w:hyperlink>
          </w:p>
        </w:tc>
      </w:tr>
      <w:tr>
        <w:trPr>
          <w:trHeight w:val="120" w:hRule="atLeast"/>
        </w:trPr>
        <w:tc>
          <w:tcPr>
            <w:tcW w:w="774" w:type="dxa"/>
            <w:tcBorders/>
            <w:vAlign w:val="center"/>
          </w:tcPr>
          <w:p>
            <w:pPr>
              <w:pStyle w:val="TableContents"/>
              <w:bidi w:val="0"/>
              <w:spacing w:before="0" w:after="283"/>
              <w:jc w:val="left"/>
              <w:rPr>
                <w:sz w:val="4"/>
                <w:szCs w:val="4"/>
              </w:rPr>
            </w:pPr>
            <w:r>
              <w:rPr>
                <w:sz w:val="4"/>
                <w:szCs w:val="4"/>
              </w:rPr>
            </w:r>
          </w:p>
        </w:tc>
        <w:tc>
          <w:tcPr>
            <w:tcW w:w="9431" w:type="dxa"/>
            <w:gridSpan w:val="2"/>
            <w:tcBorders/>
            <w:vAlign w:val="center"/>
          </w:tcPr>
          <w:p>
            <w:pPr>
              <w:pStyle w:val="TableContents"/>
              <w:bidi w:val="0"/>
              <w:spacing w:before="0" w:after="283"/>
              <w:jc w:val="left"/>
              <w:rPr>
                <w:sz w:val="4"/>
                <w:szCs w:val="4"/>
              </w:rPr>
            </w:pPr>
            <w:r>
              <w:rPr>
                <w:sz w:val="4"/>
                <w:szCs w:val="4"/>
              </w:rPr>
            </w:r>
          </w:p>
        </w:tc>
      </w:tr>
      <w:tr>
        <w:trPr/>
        <w:tc>
          <w:tcPr>
            <w:tcW w:w="774" w:type="dxa"/>
            <w:tcBorders/>
          </w:tcPr>
          <w:p>
            <w:pPr>
              <w:pStyle w:val="TableContents"/>
              <w:bidi w:val="0"/>
              <w:spacing w:before="0" w:after="283"/>
              <w:jc w:val="left"/>
              <w:rPr/>
            </w:pPr>
            <w:r>
              <w:rPr/>
              <w:t>23.1*</w:t>
            </w:r>
          </w:p>
        </w:tc>
        <w:tc>
          <w:tcPr>
            <w:tcW w:w="425" w:type="dxa"/>
            <w:tcBorders/>
            <w:vAlign w:val="bottom"/>
          </w:tcPr>
          <w:p>
            <w:pPr>
              <w:pStyle w:val="TableContents"/>
              <w:bidi w:val="0"/>
              <w:spacing w:before="0" w:after="283"/>
              <w:jc w:val="left"/>
              <w:rPr/>
            </w:pPr>
            <w:r>
              <w:rPr/>
              <w:t>  </w:t>
            </w:r>
          </w:p>
        </w:tc>
        <w:tc>
          <w:tcPr>
            <w:tcW w:w="9006" w:type="dxa"/>
            <w:tcBorders/>
          </w:tcPr>
          <w:p>
            <w:pPr>
              <w:pStyle w:val="TableContents"/>
              <w:bidi w:val="0"/>
              <w:spacing w:before="0" w:after="283"/>
              <w:jc w:val="left"/>
              <w:rPr/>
            </w:pPr>
            <w:hyperlink w:anchor="d620990dex231.htm">
              <w:r>
                <w:rPr>
                  <w:rStyle w:val="InternetLink"/>
                </w:rPr>
                <w:t xml:space="preserve">Consent of Ernst &amp; Young LLP, independent registered public accounting firm. </w:t>
              </w:r>
            </w:hyperlink>
          </w:p>
        </w:tc>
      </w:tr>
      <w:tr>
        <w:trPr>
          <w:trHeight w:val="120" w:hRule="atLeast"/>
        </w:trPr>
        <w:tc>
          <w:tcPr>
            <w:tcW w:w="774" w:type="dxa"/>
            <w:tcBorders/>
            <w:vAlign w:val="center"/>
          </w:tcPr>
          <w:p>
            <w:pPr>
              <w:pStyle w:val="TableContents"/>
              <w:bidi w:val="0"/>
              <w:spacing w:before="0" w:after="283"/>
              <w:jc w:val="left"/>
              <w:rPr>
                <w:sz w:val="4"/>
                <w:szCs w:val="4"/>
              </w:rPr>
            </w:pPr>
            <w:r>
              <w:rPr>
                <w:sz w:val="4"/>
                <w:szCs w:val="4"/>
              </w:rPr>
            </w:r>
          </w:p>
        </w:tc>
        <w:tc>
          <w:tcPr>
            <w:tcW w:w="9431" w:type="dxa"/>
            <w:gridSpan w:val="2"/>
            <w:tcBorders/>
            <w:vAlign w:val="center"/>
          </w:tcPr>
          <w:p>
            <w:pPr>
              <w:pStyle w:val="TableContents"/>
              <w:bidi w:val="0"/>
              <w:spacing w:before="0" w:after="283"/>
              <w:jc w:val="left"/>
              <w:rPr>
                <w:sz w:val="4"/>
                <w:szCs w:val="4"/>
              </w:rPr>
            </w:pPr>
            <w:r>
              <w:rPr>
                <w:sz w:val="4"/>
                <w:szCs w:val="4"/>
              </w:rPr>
            </w:r>
          </w:p>
        </w:tc>
      </w:tr>
      <w:tr>
        <w:trPr/>
        <w:tc>
          <w:tcPr>
            <w:tcW w:w="774" w:type="dxa"/>
            <w:tcBorders/>
          </w:tcPr>
          <w:p>
            <w:pPr>
              <w:pStyle w:val="TableContents"/>
              <w:bidi w:val="0"/>
              <w:spacing w:before="0" w:after="283"/>
              <w:jc w:val="left"/>
              <w:rPr/>
            </w:pPr>
            <w:r>
              <w:rPr/>
              <w:t>23.2*</w:t>
            </w:r>
          </w:p>
        </w:tc>
        <w:tc>
          <w:tcPr>
            <w:tcW w:w="425" w:type="dxa"/>
            <w:tcBorders/>
            <w:vAlign w:val="bottom"/>
          </w:tcPr>
          <w:p>
            <w:pPr>
              <w:pStyle w:val="TableContents"/>
              <w:bidi w:val="0"/>
              <w:spacing w:before="0" w:after="283"/>
              <w:jc w:val="left"/>
              <w:rPr/>
            </w:pPr>
            <w:r>
              <w:rPr/>
              <w:t>  </w:t>
            </w:r>
          </w:p>
        </w:tc>
        <w:tc>
          <w:tcPr>
            <w:tcW w:w="9006" w:type="dxa"/>
            <w:tcBorders/>
          </w:tcPr>
          <w:p>
            <w:pPr>
              <w:pStyle w:val="TableContents"/>
              <w:bidi w:val="0"/>
              <w:spacing w:before="0" w:after="283"/>
              <w:jc w:val="left"/>
              <w:rPr/>
            </w:pPr>
            <w:hyperlink w:anchor="d620990dex232.htm">
              <w:r>
                <w:rPr>
                  <w:rStyle w:val="InternetLink"/>
                </w:rPr>
                <w:t xml:space="preserve">Consent of WithumSmith+Brown, PC, independent registered public accounting firm of VPC Impact Acquisition Holdings </w:t>
              </w:r>
            </w:hyperlink>
          </w:p>
        </w:tc>
      </w:tr>
      <w:tr>
        <w:trPr>
          <w:trHeight w:val="120" w:hRule="atLeast"/>
        </w:trPr>
        <w:tc>
          <w:tcPr>
            <w:tcW w:w="774" w:type="dxa"/>
            <w:tcBorders/>
            <w:vAlign w:val="center"/>
          </w:tcPr>
          <w:p>
            <w:pPr>
              <w:pStyle w:val="TableContents"/>
              <w:bidi w:val="0"/>
              <w:spacing w:before="0" w:after="283"/>
              <w:jc w:val="left"/>
              <w:rPr>
                <w:sz w:val="4"/>
                <w:szCs w:val="4"/>
              </w:rPr>
            </w:pPr>
            <w:r>
              <w:rPr>
                <w:sz w:val="4"/>
                <w:szCs w:val="4"/>
              </w:rPr>
            </w:r>
          </w:p>
        </w:tc>
        <w:tc>
          <w:tcPr>
            <w:tcW w:w="9431" w:type="dxa"/>
            <w:gridSpan w:val="2"/>
            <w:tcBorders/>
            <w:vAlign w:val="center"/>
          </w:tcPr>
          <w:p>
            <w:pPr>
              <w:pStyle w:val="TableContents"/>
              <w:bidi w:val="0"/>
              <w:spacing w:before="0" w:after="283"/>
              <w:jc w:val="left"/>
              <w:rPr>
                <w:sz w:val="4"/>
                <w:szCs w:val="4"/>
              </w:rPr>
            </w:pPr>
            <w:r>
              <w:rPr>
                <w:sz w:val="4"/>
                <w:szCs w:val="4"/>
              </w:rPr>
            </w:r>
          </w:p>
        </w:tc>
      </w:tr>
      <w:tr>
        <w:trPr/>
        <w:tc>
          <w:tcPr>
            <w:tcW w:w="774" w:type="dxa"/>
            <w:tcBorders/>
          </w:tcPr>
          <w:p>
            <w:pPr>
              <w:pStyle w:val="TableContents"/>
              <w:bidi w:val="0"/>
              <w:spacing w:before="0" w:after="283"/>
              <w:jc w:val="left"/>
              <w:rPr/>
            </w:pPr>
            <w:r>
              <w:rPr/>
              <w:t>23.3*</w:t>
            </w:r>
          </w:p>
        </w:tc>
        <w:tc>
          <w:tcPr>
            <w:tcW w:w="425" w:type="dxa"/>
            <w:tcBorders/>
            <w:vAlign w:val="bottom"/>
          </w:tcPr>
          <w:p>
            <w:pPr>
              <w:pStyle w:val="TableContents"/>
              <w:bidi w:val="0"/>
              <w:spacing w:before="0" w:after="283"/>
              <w:jc w:val="left"/>
              <w:rPr/>
            </w:pPr>
            <w:r>
              <w:rPr/>
              <w:t>  </w:t>
            </w:r>
          </w:p>
        </w:tc>
        <w:tc>
          <w:tcPr>
            <w:tcW w:w="9006" w:type="dxa"/>
            <w:tcBorders/>
          </w:tcPr>
          <w:p>
            <w:pPr>
              <w:pStyle w:val="TableContents"/>
              <w:bidi w:val="0"/>
              <w:spacing w:before="0" w:after="283"/>
              <w:jc w:val="left"/>
              <w:rPr/>
            </w:pPr>
            <w:hyperlink w:anchor="d620990dex233.htm">
              <w:r>
                <w:rPr>
                  <w:rStyle w:val="InternetLink"/>
                </w:rPr>
                <w:t xml:space="preserve">Consent of RSM US LLP, independent auditors of Apex Crypto, LLC </w:t>
              </w:r>
            </w:hyperlink>
          </w:p>
        </w:tc>
      </w:tr>
      <w:tr>
        <w:trPr>
          <w:trHeight w:val="120" w:hRule="atLeast"/>
        </w:trPr>
        <w:tc>
          <w:tcPr>
            <w:tcW w:w="774" w:type="dxa"/>
            <w:tcBorders/>
            <w:vAlign w:val="center"/>
          </w:tcPr>
          <w:p>
            <w:pPr>
              <w:pStyle w:val="TableContents"/>
              <w:bidi w:val="0"/>
              <w:spacing w:before="0" w:after="283"/>
              <w:jc w:val="left"/>
              <w:rPr>
                <w:sz w:val="4"/>
                <w:szCs w:val="4"/>
              </w:rPr>
            </w:pPr>
            <w:r>
              <w:rPr>
                <w:sz w:val="4"/>
                <w:szCs w:val="4"/>
              </w:rPr>
            </w:r>
          </w:p>
        </w:tc>
        <w:tc>
          <w:tcPr>
            <w:tcW w:w="9431" w:type="dxa"/>
            <w:gridSpan w:val="2"/>
            <w:tcBorders/>
            <w:vAlign w:val="center"/>
          </w:tcPr>
          <w:p>
            <w:pPr>
              <w:pStyle w:val="TableContents"/>
              <w:bidi w:val="0"/>
              <w:spacing w:before="0" w:after="283"/>
              <w:jc w:val="left"/>
              <w:rPr>
                <w:sz w:val="4"/>
                <w:szCs w:val="4"/>
              </w:rPr>
            </w:pPr>
            <w:r>
              <w:rPr>
                <w:sz w:val="4"/>
                <w:szCs w:val="4"/>
              </w:rPr>
            </w:r>
          </w:p>
        </w:tc>
      </w:tr>
      <w:tr>
        <w:trPr/>
        <w:tc>
          <w:tcPr>
            <w:tcW w:w="774" w:type="dxa"/>
            <w:tcBorders/>
          </w:tcPr>
          <w:p>
            <w:pPr>
              <w:pStyle w:val="TableContents"/>
              <w:bidi w:val="0"/>
              <w:spacing w:before="0" w:after="283"/>
              <w:jc w:val="left"/>
              <w:rPr/>
            </w:pPr>
            <w:r>
              <w:rPr/>
              <w:t>23.4*</w:t>
            </w:r>
          </w:p>
        </w:tc>
        <w:tc>
          <w:tcPr>
            <w:tcW w:w="425" w:type="dxa"/>
            <w:tcBorders/>
            <w:vAlign w:val="bottom"/>
          </w:tcPr>
          <w:p>
            <w:pPr>
              <w:pStyle w:val="TableContents"/>
              <w:bidi w:val="0"/>
              <w:spacing w:before="0" w:after="283"/>
              <w:jc w:val="left"/>
              <w:rPr/>
            </w:pPr>
            <w:r>
              <w:rPr/>
              <w:t>  </w:t>
            </w:r>
          </w:p>
        </w:tc>
        <w:tc>
          <w:tcPr>
            <w:tcW w:w="9006" w:type="dxa"/>
            <w:tcBorders/>
          </w:tcPr>
          <w:p>
            <w:pPr>
              <w:pStyle w:val="TableContents"/>
              <w:bidi w:val="0"/>
              <w:spacing w:before="0" w:after="283"/>
              <w:jc w:val="left"/>
              <w:rPr/>
            </w:pPr>
            <w:hyperlink w:anchor="d620990dex51.htm">
              <w:r>
                <w:rPr>
                  <w:rStyle w:val="InternetLink"/>
                </w:rPr>
                <w:t xml:space="preserve">Consent of Wilson Sonsini Goodrich and Rosati, P.C. (included in Exhibit 5.1). </w:t>
              </w:r>
            </w:hyperlink>
          </w:p>
        </w:tc>
      </w:tr>
      <w:tr>
        <w:trPr>
          <w:trHeight w:val="120" w:hRule="atLeast"/>
        </w:trPr>
        <w:tc>
          <w:tcPr>
            <w:tcW w:w="774" w:type="dxa"/>
            <w:tcBorders/>
            <w:vAlign w:val="center"/>
          </w:tcPr>
          <w:p>
            <w:pPr>
              <w:pStyle w:val="TableContents"/>
              <w:bidi w:val="0"/>
              <w:spacing w:before="0" w:after="283"/>
              <w:jc w:val="left"/>
              <w:rPr>
                <w:sz w:val="4"/>
                <w:szCs w:val="4"/>
              </w:rPr>
            </w:pPr>
            <w:r>
              <w:rPr>
                <w:sz w:val="4"/>
                <w:szCs w:val="4"/>
              </w:rPr>
            </w:r>
          </w:p>
        </w:tc>
        <w:tc>
          <w:tcPr>
            <w:tcW w:w="9431" w:type="dxa"/>
            <w:gridSpan w:val="2"/>
            <w:tcBorders/>
            <w:vAlign w:val="center"/>
          </w:tcPr>
          <w:p>
            <w:pPr>
              <w:pStyle w:val="TableContents"/>
              <w:bidi w:val="0"/>
              <w:spacing w:before="0" w:after="283"/>
              <w:jc w:val="left"/>
              <w:rPr>
                <w:sz w:val="4"/>
                <w:szCs w:val="4"/>
              </w:rPr>
            </w:pPr>
            <w:r>
              <w:rPr>
                <w:sz w:val="4"/>
                <w:szCs w:val="4"/>
              </w:rPr>
            </w:r>
          </w:p>
        </w:tc>
      </w:tr>
      <w:tr>
        <w:trPr/>
        <w:tc>
          <w:tcPr>
            <w:tcW w:w="774" w:type="dxa"/>
            <w:tcBorders/>
          </w:tcPr>
          <w:p>
            <w:pPr>
              <w:pStyle w:val="TableContents"/>
              <w:bidi w:val="0"/>
              <w:spacing w:before="0" w:after="283"/>
              <w:jc w:val="left"/>
              <w:rPr/>
            </w:pPr>
            <w:r>
              <w:rPr/>
              <w:t>24.1*</w:t>
            </w:r>
          </w:p>
        </w:tc>
        <w:tc>
          <w:tcPr>
            <w:tcW w:w="425" w:type="dxa"/>
            <w:tcBorders/>
            <w:vAlign w:val="bottom"/>
          </w:tcPr>
          <w:p>
            <w:pPr>
              <w:pStyle w:val="TableContents"/>
              <w:bidi w:val="0"/>
              <w:spacing w:before="0" w:after="283"/>
              <w:jc w:val="left"/>
              <w:rPr/>
            </w:pPr>
            <w:r>
              <w:rPr/>
              <w:t>  </w:t>
            </w:r>
          </w:p>
        </w:tc>
        <w:tc>
          <w:tcPr>
            <w:tcW w:w="9006" w:type="dxa"/>
            <w:tcBorders/>
          </w:tcPr>
          <w:p>
            <w:pPr>
              <w:pStyle w:val="TableContents"/>
              <w:bidi w:val="0"/>
              <w:spacing w:before="0" w:after="283"/>
              <w:jc w:val="left"/>
              <w:rPr/>
            </w:pPr>
            <w:hyperlink w:anchor="sig">
              <w:r>
                <w:rPr>
                  <w:rStyle w:val="InternetLink"/>
                </w:rPr>
                <w:t xml:space="preserve">Power of Attorney (included on signature page). </w:t>
              </w:r>
            </w:hyperlink>
          </w:p>
        </w:tc>
      </w:tr>
      <w:tr>
        <w:trPr>
          <w:trHeight w:val="120" w:hRule="atLeast"/>
        </w:trPr>
        <w:tc>
          <w:tcPr>
            <w:tcW w:w="774" w:type="dxa"/>
            <w:tcBorders/>
            <w:vAlign w:val="center"/>
          </w:tcPr>
          <w:p>
            <w:pPr>
              <w:pStyle w:val="TableContents"/>
              <w:bidi w:val="0"/>
              <w:spacing w:before="0" w:after="283"/>
              <w:jc w:val="left"/>
              <w:rPr>
                <w:sz w:val="4"/>
                <w:szCs w:val="4"/>
              </w:rPr>
            </w:pPr>
            <w:r>
              <w:rPr>
                <w:sz w:val="4"/>
                <w:szCs w:val="4"/>
              </w:rPr>
            </w:r>
          </w:p>
        </w:tc>
        <w:tc>
          <w:tcPr>
            <w:tcW w:w="9431" w:type="dxa"/>
            <w:gridSpan w:val="2"/>
            <w:tcBorders/>
            <w:vAlign w:val="center"/>
          </w:tcPr>
          <w:p>
            <w:pPr>
              <w:pStyle w:val="TableContents"/>
              <w:bidi w:val="0"/>
              <w:spacing w:before="0" w:after="283"/>
              <w:jc w:val="left"/>
              <w:rPr>
                <w:sz w:val="4"/>
                <w:szCs w:val="4"/>
              </w:rPr>
            </w:pPr>
            <w:r>
              <w:rPr>
                <w:sz w:val="4"/>
                <w:szCs w:val="4"/>
              </w:rPr>
            </w:r>
          </w:p>
        </w:tc>
      </w:tr>
      <w:tr>
        <w:trPr/>
        <w:tc>
          <w:tcPr>
            <w:tcW w:w="774" w:type="dxa"/>
            <w:tcBorders/>
          </w:tcPr>
          <w:p>
            <w:pPr>
              <w:pStyle w:val="TableContents"/>
              <w:bidi w:val="0"/>
              <w:spacing w:before="0" w:after="283"/>
              <w:jc w:val="left"/>
              <w:rPr/>
            </w:pPr>
            <w:r>
              <w:rPr/>
              <w:t>107*</w:t>
            </w:r>
          </w:p>
        </w:tc>
        <w:tc>
          <w:tcPr>
            <w:tcW w:w="425" w:type="dxa"/>
            <w:tcBorders/>
            <w:vAlign w:val="bottom"/>
          </w:tcPr>
          <w:p>
            <w:pPr>
              <w:pStyle w:val="TableContents"/>
              <w:bidi w:val="0"/>
              <w:spacing w:before="0" w:after="283"/>
              <w:jc w:val="left"/>
              <w:rPr/>
            </w:pPr>
            <w:r>
              <w:rPr/>
              <w:t>  </w:t>
            </w:r>
          </w:p>
        </w:tc>
        <w:tc>
          <w:tcPr>
            <w:tcW w:w="9006" w:type="dxa"/>
            <w:tcBorders/>
          </w:tcPr>
          <w:p>
            <w:pPr>
              <w:pStyle w:val="TableContents"/>
              <w:bidi w:val="0"/>
              <w:spacing w:before="0" w:after="283"/>
              <w:jc w:val="left"/>
              <w:rPr/>
            </w:pPr>
            <w:hyperlink w:anchor="d620990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Alpharetta, State of Georgia, on the 1st day of December,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3"/>
        <w:gridCol w:w="61"/>
        <w:gridCol w:w="3618"/>
      </w:tblGrid>
      <w:tr>
        <w:trPr/>
        <w:tc>
          <w:tcPr>
            <w:tcW w:w="40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BAKKT HOLDINGS, INC.</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Gavin Michael</w:t>
            </w:r>
          </w:p>
        </w:tc>
      </w:tr>
      <w:tr>
        <w:trPr/>
        <w:tc>
          <w:tcPr>
            <w:tcW w:w="40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8" w:type="dxa"/>
            <w:tcBorders/>
          </w:tcPr>
          <w:p>
            <w:pPr>
              <w:pStyle w:val="TableContents"/>
              <w:bidi w:val="0"/>
              <w:spacing w:before="0" w:after="283"/>
              <w:jc w:val="left"/>
              <w:rPr/>
            </w:pPr>
            <w:r>
              <w:rPr/>
              <w:t>Gavin Michael</w:t>
            </w:r>
          </w:p>
        </w:tc>
      </w:tr>
      <w:tr>
        <w:trPr/>
        <w:tc>
          <w:tcPr>
            <w:tcW w:w="40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8" w:type="dxa"/>
            <w:tcBorders/>
          </w:tcPr>
          <w:p>
            <w:pPr>
              <w:pStyle w:val="TableContents"/>
              <w:bidi w:val="0"/>
              <w:spacing w:before="0" w:after="283"/>
              <w:jc w:val="left"/>
              <w:rPr>
                <w:i/>
              </w:rPr>
            </w:pPr>
            <w:r>
              <w:rPr>
                <w:i/>
              </w:rPr>
              <w:t>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AND SIGNATURES </w:t>
      </w:r>
    </w:p>
    <w:p>
      <w:pPr>
        <w:pStyle w:val="TextBody"/>
        <w:bidi w:val="0"/>
        <w:spacing w:before="240" w:after="0"/>
        <w:jc w:val="left"/>
        <w:rPr>
          <w:rFonts w:ascii="Times New Roman" w:hAnsi="Times New Roman"/>
          <w:sz w:val="20"/>
        </w:rPr>
      </w:pPr>
      <w:r>
        <w:rPr>
          <w:rFonts w:ascii="Times New Roman" w:hAnsi="Times New Roman"/>
          <w:sz w:val="20"/>
        </w:rPr>
        <w:t xml:space="preserve">KNOW ALL BY THESE PRESENT, that each individual whose signature appears below hereby constitutes and appoints each of Gavin Michael, Marc DAnnunzio and Karen Alexander, and each or any one of them,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SEC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and on the dates indicated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12"/>
        <w:gridCol w:w="121"/>
        <w:gridCol w:w="4852"/>
        <w:gridCol w:w="121"/>
        <w:gridCol w:w="1799"/>
      </w:tblGrid>
      <w:tr>
        <w:trPr/>
        <w:tc>
          <w:tcPr>
            <w:tcW w:w="331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5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r>
      <w:tr>
        <w:trPr/>
        <w:tc>
          <w:tcPr>
            <w:tcW w:w="33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1" w:type="dxa"/>
            <w:tcBorders/>
            <w:vAlign w:val="bottom"/>
          </w:tcPr>
          <w:p>
            <w:pPr>
              <w:pStyle w:val="TableContents"/>
              <w:bidi w:val="0"/>
              <w:spacing w:before="0" w:after="283"/>
              <w:jc w:val="left"/>
              <w:rPr/>
            </w:pPr>
            <w:r>
              <w:rPr/>
              <w:t>  </w:t>
            </w:r>
          </w:p>
        </w:tc>
        <w:tc>
          <w:tcPr>
            <w:tcW w:w="485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1" w:type="dxa"/>
            <w:tcBorders/>
            <w:vAlign w:val="bottom"/>
          </w:tcPr>
          <w:p>
            <w:pPr>
              <w:pStyle w:val="TableContents"/>
              <w:bidi w:val="0"/>
              <w:spacing w:before="0" w:after="283"/>
              <w:jc w:val="left"/>
              <w:rPr/>
            </w:pPr>
            <w:r>
              <w:rPr/>
              <w:t>  </w:t>
            </w:r>
          </w:p>
        </w:tc>
        <w:tc>
          <w:tcPr>
            <w:tcW w:w="179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312" w:type="dxa"/>
            <w:tcBorders/>
            <w:vAlign w:val="center"/>
          </w:tcPr>
          <w:p>
            <w:pPr>
              <w:pStyle w:val="TableContents"/>
              <w:bidi w:val="0"/>
              <w:spacing w:before="0" w:after="283"/>
              <w:jc w:val="left"/>
              <w:rPr>
                <w:sz w:val="4"/>
                <w:szCs w:val="4"/>
              </w:rPr>
            </w:pPr>
            <w:r>
              <w:rPr>
                <w:sz w:val="4"/>
                <w:szCs w:val="4"/>
              </w:rPr>
            </w:r>
          </w:p>
        </w:tc>
        <w:tc>
          <w:tcPr>
            <w:tcW w:w="4973" w:type="dxa"/>
            <w:gridSpan w:val="2"/>
            <w:tcBorders/>
            <w:vAlign w:val="center"/>
          </w:tcPr>
          <w:p>
            <w:pPr>
              <w:pStyle w:val="TableContents"/>
              <w:bidi w:val="0"/>
              <w:spacing w:before="0" w:after="283"/>
              <w:jc w:val="left"/>
              <w:rPr>
                <w:sz w:val="4"/>
                <w:szCs w:val="4"/>
              </w:rPr>
            </w:pPr>
            <w:r>
              <w:rPr>
                <w:sz w:val="4"/>
                <w:szCs w:val="4"/>
              </w:rPr>
            </w:r>
          </w:p>
        </w:tc>
        <w:tc>
          <w:tcPr>
            <w:tcW w:w="1920" w:type="dxa"/>
            <w:gridSpan w:val="2"/>
            <w:tcBorders/>
            <w:vAlign w:val="center"/>
          </w:tcPr>
          <w:p>
            <w:pPr>
              <w:pStyle w:val="TableContents"/>
              <w:bidi w:val="0"/>
              <w:spacing w:before="0" w:after="283"/>
              <w:jc w:val="left"/>
              <w:rPr>
                <w:sz w:val="4"/>
                <w:szCs w:val="4"/>
              </w:rPr>
            </w:pPr>
            <w:r>
              <w:rPr>
                <w:sz w:val="4"/>
                <w:szCs w:val="4"/>
              </w:rPr>
            </w:r>
          </w:p>
        </w:tc>
      </w:tr>
      <w:tr>
        <w:trPr/>
        <w:tc>
          <w:tcPr>
            <w:tcW w:w="331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Gavin Michael</w:t>
            </w:r>
          </w:p>
          <w:p>
            <w:pPr>
              <w:pStyle w:val="TableContents"/>
              <w:bidi w:val="0"/>
              <w:spacing w:before="0" w:after="20"/>
              <w:jc w:val="center"/>
              <w:rPr>
                <w:rFonts w:ascii="Times New Roman" w:hAnsi="Times New Roman"/>
                <w:sz w:val="20"/>
              </w:rPr>
            </w:pPr>
            <w:r>
              <w:rPr>
                <w:rFonts w:ascii="Times New Roman" w:hAnsi="Times New Roman"/>
                <w:sz w:val="20"/>
              </w:rPr>
              <w:t>Gavin Michael</w:t>
            </w:r>
          </w:p>
        </w:tc>
        <w:tc>
          <w:tcPr>
            <w:tcW w:w="121" w:type="dxa"/>
            <w:tcBorders/>
            <w:vAlign w:val="bottom"/>
          </w:tcPr>
          <w:p>
            <w:pPr>
              <w:pStyle w:val="TableContents"/>
              <w:bidi w:val="0"/>
              <w:spacing w:before="0" w:after="283"/>
              <w:jc w:val="left"/>
              <w:rPr/>
            </w:pPr>
            <w:r>
              <w:rPr/>
              <w:t>  </w:t>
            </w:r>
          </w:p>
        </w:tc>
        <w:tc>
          <w:tcPr>
            <w:tcW w:w="4852"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Executive Officer</w:t>
            </w:r>
            <w:r>
              <w:rPr>
                <w:rFonts w:ascii="Times New Roman" w:hAnsi="Times New Roman"/>
                <w:sz w:val="20"/>
              </w:rPr>
              <w:t>)</w:t>
            </w:r>
          </w:p>
        </w:tc>
        <w:tc>
          <w:tcPr>
            <w:tcW w:w="121" w:type="dxa"/>
            <w:tcBorders/>
            <w:vAlign w:val="bottom"/>
          </w:tcPr>
          <w:p>
            <w:pPr>
              <w:pStyle w:val="TableContents"/>
              <w:bidi w:val="0"/>
              <w:spacing w:before="0" w:after="283"/>
              <w:jc w:val="left"/>
              <w:rPr/>
            </w:pPr>
            <w:r>
              <w:rPr/>
              <w:t>  </w:t>
            </w:r>
          </w:p>
        </w:tc>
        <w:tc>
          <w:tcPr>
            <w:tcW w:w="1799" w:type="dxa"/>
            <w:tcBorders/>
          </w:tcPr>
          <w:p>
            <w:pPr>
              <w:pStyle w:val="TableContents"/>
              <w:bidi w:val="0"/>
              <w:spacing w:before="0" w:after="283"/>
              <w:jc w:val="center"/>
              <w:rPr/>
            </w:pPr>
            <w:r>
              <w:rPr/>
              <w:t>December 1, 2023</w:t>
            </w:r>
          </w:p>
        </w:tc>
      </w:tr>
      <w:tr>
        <w:trPr>
          <w:trHeight w:val="240" w:hRule="atLeast"/>
        </w:trPr>
        <w:tc>
          <w:tcPr>
            <w:tcW w:w="3312" w:type="dxa"/>
            <w:tcBorders/>
            <w:vAlign w:val="center"/>
          </w:tcPr>
          <w:p>
            <w:pPr>
              <w:pStyle w:val="TableContents"/>
              <w:bidi w:val="0"/>
              <w:spacing w:before="0" w:after="283"/>
              <w:jc w:val="left"/>
              <w:rPr>
                <w:sz w:val="4"/>
                <w:szCs w:val="4"/>
              </w:rPr>
            </w:pPr>
            <w:r>
              <w:rPr>
                <w:sz w:val="4"/>
                <w:szCs w:val="4"/>
              </w:rPr>
            </w:r>
          </w:p>
        </w:tc>
        <w:tc>
          <w:tcPr>
            <w:tcW w:w="4973" w:type="dxa"/>
            <w:gridSpan w:val="2"/>
            <w:tcBorders/>
            <w:vAlign w:val="center"/>
          </w:tcPr>
          <w:p>
            <w:pPr>
              <w:pStyle w:val="TableContents"/>
              <w:bidi w:val="0"/>
              <w:spacing w:before="0" w:after="283"/>
              <w:jc w:val="left"/>
              <w:rPr>
                <w:sz w:val="4"/>
                <w:szCs w:val="4"/>
              </w:rPr>
            </w:pPr>
            <w:r>
              <w:rPr>
                <w:sz w:val="4"/>
                <w:szCs w:val="4"/>
              </w:rPr>
            </w:r>
          </w:p>
        </w:tc>
        <w:tc>
          <w:tcPr>
            <w:tcW w:w="1920" w:type="dxa"/>
            <w:gridSpan w:val="2"/>
            <w:tcBorders/>
            <w:vAlign w:val="center"/>
          </w:tcPr>
          <w:p>
            <w:pPr>
              <w:pStyle w:val="TableContents"/>
              <w:bidi w:val="0"/>
              <w:spacing w:before="0" w:after="283"/>
              <w:jc w:val="left"/>
              <w:rPr>
                <w:sz w:val="4"/>
                <w:szCs w:val="4"/>
              </w:rPr>
            </w:pPr>
            <w:r>
              <w:rPr>
                <w:sz w:val="4"/>
                <w:szCs w:val="4"/>
              </w:rPr>
            </w:r>
          </w:p>
        </w:tc>
      </w:tr>
      <w:tr>
        <w:trPr/>
        <w:tc>
          <w:tcPr>
            <w:tcW w:w="331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Karen Alexander</w:t>
            </w:r>
          </w:p>
          <w:p>
            <w:pPr>
              <w:pStyle w:val="TableContents"/>
              <w:bidi w:val="0"/>
              <w:spacing w:before="0" w:after="20"/>
              <w:jc w:val="center"/>
              <w:rPr>
                <w:rFonts w:ascii="Times New Roman" w:hAnsi="Times New Roman"/>
                <w:sz w:val="20"/>
              </w:rPr>
            </w:pPr>
            <w:r>
              <w:rPr>
                <w:rFonts w:ascii="Times New Roman" w:hAnsi="Times New Roman"/>
                <w:sz w:val="20"/>
              </w:rPr>
              <w:t>Karen Alexander</w:t>
            </w:r>
          </w:p>
        </w:tc>
        <w:tc>
          <w:tcPr>
            <w:tcW w:w="121" w:type="dxa"/>
            <w:tcBorders/>
            <w:vAlign w:val="bottom"/>
          </w:tcPr>
          <w:p>
            <w:pPr>
              <w:pStyle w:val="TableContents"/>
              <w:bidi w:val="0"/>
              <w:spacing w:before="0" w:after="283"/>
              <w:jc w:val="left"/>
              <w:rPr/>
            </w:pPr>
            <w:r>
              <w:rPr/>
              <w:t>  </w:t>
            </w:r>
          </w:p>
        </w:tc>
        <w:tc>
          <w:tcPr>
            <w:tcW w:w="4852"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Financial Officer</w:t>
            </w:r>
            <w:r>
              <w:rPr>
                <w:rFonts w:ascii="Times New Roman" w:hAnsi="Times New Roman"/>
                <w:sz w:val="20"/>
              </w:rPr>
              <w:t>)</w:t>
            </w:r>
          </w:p>
        </w:tc>
        <w:tc>
          <w:tcPr>
            <w:tcW w:w="121" w:type="dxa"/>
            <w:tcBorders/>
            <w:vAlign w:val="bottom"/>
          </w:tcPr>
          <w:p>
            <w:pPr>
              <w:pStyle w:val="TableContents"/>
              <w:bidi w:val="0"/>
              <w:spacing w:before="0" w:after="283"/>
              <w:jc w:val="left"/>
              <w:rPr/>
            </w:pPr>
            <w:r>
              <w:rPr/>
              <w:t>  </w:t>
            </w:r>
          </w:p>
        </w:tc>
        <w:tc>
          <w:tcPr>
            <w:tcW w:w="1799" w:type="dxa"/>
            <w:tcBorders/>
          </w:tcPr>
          <w:p>
            <w:pPr>
              <w:pStyle w:val="TableContents"/>
              <w:bidi w:val="0"/>
              <w:spacing w:before="0" w:after="283"/>
              <w:jc w:val="center"/>
              <w:rPr/>
            </w:pPr>
            <w:r>
              <w:rPr/>
              <w:t>December 1, 2023</w:t>
            </w:r>
          </w:p>
        </w:tc>
      </w:tr>
      <w:tr>
        <w:trPr>
          <w:trHeight w:val="240" w:hRule="atLeast"/>
        </w:trPr>
        <w:tc>
          <w:tcPr>
            <w:tcW w:w="3312" w:type="dxa"/>
            <w:tcBorders/>
            <w:vAlign w:val="center"/>
          </w:tcPr>
          <w:p>
            <w:pPr>
              <w:pStyle w:val="TableContents"/>
              <w:bidi w:val="0"/>
              <w:spacing w:before="0" w:after="283"/>
              <w:jc w:val="left"/>
              <w:rPr>
                <w:sz w:val="4"/>
                <w:szCs w:val="4"/>
              </w:rPr>
            </w:pPr>
            <w:r>
              <w:rPr>
                <w:sz w:val="4"/>
                <w:szCs w:val="4"/>
              </w:rPr>
            </w:r>
          </w:p>
        </w:tc>
        <w:tc>
          <w:tcPr>
            <w:tcW w:w="4973" w:type="dxa"/>
            <w:gridSpan w:val="2"/>
            <w:tcBorders/>
            <w:vAlign w:val="center"/>
          </w:tcPr>
          <w:p>
            <w:pPr>
              <w:pStyle w:val="TableContents"/>
              <w:bidi w:val="0"/>
              <w:spacing w:before="0" w:after="283"/>
              <w:jc w:val="left"/>
              <w:rPr>
                <w:sz w:val="4"/>
                <w:szCs w:val="4"/>
              </w:rPr>
            </w:pPr>
            <w:r>
              <w:rPr>
                <w:sz w:val="4"/>
                <w:szCs w:val="4"/>
              </w:rPr>
            </w:r>
          </w:p>
        </w:tc>
        <w:tc>
          <w:tcPr>
            <w:tcW w:w="1920" w:type="dxa"/>
            <w:gridSpan w:val="2"/>
            <w:tcBorders/>
            <w:vAlign w:val="center"/>
          </w:tcPr>
          <w:p>
            <w:pPr>
              <w:pStyle w:val="TableContents"/>
              <w:bidi w:val="0"/>
              <w:spacing w:before="0" w:after="283"/>
              <w:jc w:val="left"/>
              <w:rPr>
                <w:sz w:val="4"/>
                <w:szCs w:val="4"/>
              </w:rPr>
            </w:pPr>
            <w:r>
              <w:rPr>
                <w:sz w:val="4"/>
                <w:szCs w:val="4"/>
              </w:rPr>
            </w:r>
          </w:p>
        </w:tc>
      </w:tr>
      <w:tr>
        <w:trPr/>
        <w:tc>
          <w:tcPr>
            <w:tcW w:w="331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Chip Goodroe</w:t>
            </w:r>
          </w:p>
          <w:p>
            <w:pPr>
              <w:pStyle w:val="TableContents"/>
              <w:bidi w:val="0"/>
              <w:spacing w:before="0" w:after="20"/>
              <w:jc w:val="center"/>
              <w:rPr>
                <w:rFonts w:ascii="Times New Roman" w:hAnsi="Times New Roman"/>
                <w:sz w:val="20"/>
              </w:rPr>
            </w:pPr>
            <w:r>
              <w:rPr>
                <w:rFonts w:ascii="Times New Roman" w:hAnsi="Times New Roman"/>
                <w:sz w:val="20"/>
              </w:rPr>
              <w:t>Chip Goodroe</w:t>
            </w:r>
          </w:p>
        </w:tc>
        <w:tc>
          <w:tcPr>
            <w:tcW w:w="121" w:type="dxa"/>
            <w:tcBorders/>
            <w:vAlign w:val="bottom"/>
          </w:tcPr>
          <w:p>
            <w:pPr>
              <w:pStyle w:val="TableContents"/>
              <w:bidi w:val="0"/>
              <w:spacing w:before="0" w:after="283"/>
              <w:jc w:val="left"/>
              <w:rPr/>
            </w:pPr>
            <w:r>
              <w:rPr/>
              <w:t>  </w:t>
            </w:r>
          </w:p>
        </w:tc>
        <w:tc>
          <w:tcPr>
            <w:tcW w:w="4852" w:type="dxa"/>
            <w:tcBorders/>
          </w:tcPr>
          <w:p>
            <w:pPr>
              <w:pStyle w:val="TableContents"/>
              <w:bidi w:val="0"/>
              <w:spacing w:before="0" w:after="0"/>
              <w:jc w:val="center"/>
              <w:rPr>
                <w:rFonts w:ascii="Times New Roman" w:hAnsi="Times New Roman"/>
                <w:sz w:val="20"/>
              </w:rPr>
            </w:pPr>
            <w:r>
              <w:rPr>
                <w:rFonts w:ascii="Times New Roman" w:hAnsi="Times New Roman"/>
                <w:sz w:val="20"/>
              </w:rPr>
              <w:t>Chief Accounting Officer</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Accounting Officer</w:t>
            </w:r>
            <w:r>
              <w:rPr>
                <w:rFonts w:ascii="Times New Roman" w:hAnsi="Times New Roman"/>
                <w:sz w:val="20"/>
              </w:rPr>
              <w:t>)</w:t>
            </w:r>
          </w:p>
        </w:tc>
        <w:tc>
          <w:tcPr>
            <w:tcW w:w="121" w:type="dxa"/>
            <w:tcBorders/>
            <w:vAlign w:val="bottom"/>
          </w:tcPr>
          <w:p>
            <w:pPr>
              <w:pStyle w:val="TableContents"/>
              <w:bidi w:val="0"/>
              <w:spacing w:before="0" w:after="283"/>
              <w:jc w:val="left"/>
              <w:rPr/>
            </w:pPr>
            <w:r>
              <w:rPr/>
              <w:t>  </w:t>
            </w:r>
          </w:p>
        </w:tc>
        <w:tc>
          <w:tcPr>
            <w:tcW w:w="1799" w:type="dxa"/>
            <w:tcBorders/>
          </w:tcPr>
          <w:p>
            <w:pPr>
              <w:pStyle w:val="TableContents"/>
              <w:bidi w:val="0"/>
              <w:spacing w:before="0" w:after="283"/>
              <w:jc w:val="center"/>
              <w:rPr/>
            </w:pPr>
            <w:r>
              <w:rPr/>
              <w:t>December 1, 2023</w:t>
            </w:r>
          </w:p>
        </w:tc>
      </w:tr>
      <w:tr>
        <w:trPr>
          <w:trHeight w:val="240" w:hRule="atLeast"/>
        </w:trPr>
        <w:tc>
          <w:tcPr>
            <w:tcW w:w="3312" w:type="dxa"/>
            <w:tcBorders/>
            <w:vAlign w:val="center"/>
          </w:tcPr>
          <w:p>
            <w:pPr>
              <w:pStyle w:val="TableContents"/>
              <w:bidi w:val="0"/>
              <w:spacing w:before="0" w:after="283"/>
              <w:jc w:val="left"/>
              <w:rPr>
                <w:sz w:val="4"/>
                <w:szCs w:val="4"/>
              </w:rPr>
            </w:pPr>
            <w:r>
              <w:rPr>
                <w:sz w:val="4"/>
                <w:szCs w:val="4"/>
              </w:rPr>
            </w:r>
          </w:p>
        </w:tc>
        <w:tc>
          <w:tcPr>
            <w:tcW w:w="4973" w:type="dxa"/>
            <w:gridSpan w:val="2"/>
            <w:tcBorders/>
            <w:vAlign w:val="center"/>
          </w:tcPr>
          <w:p>
            <w:pPr>
              <w:pStyle w:val="TableContents"/>
              <w:bidi w:val="0"/>
              <w:spacing w:before="0" w:after="283"/>
              <w:jc w:val="left"/>
              <w:rPr>
                <w:sz w:val="4"/>
                <w:szCs w:val="4"/>
              </w:rPr>
            </w:pPr>
            <w:r>
              <w:rPr>
                <w:sz w:val="4"/>
                <w:szCs w:val="4"/>
              </w:rPr>
            </w:r>
          </w:p>
        </w:tc>
        <w:tc>
          <w:tcPr>
            <w:tcW w:w="1920" w:type="dxa"/>
            <w:gridSpan w:val="2"/>
            <w:tcBorders/>
            <w:vAlign w:val="center"/>
          </w:tcPr>
          <w:p>
            <w:pPr>
              <w:pStyle w:val="TableContents"/>
              <w:bidi w:val="0"/>
              <w:spacing w:before="0" w:after="283"/>
              <w:jc w:val="left"/>
              <w:rPr>
                <w:sz w:val="4"/>
                <w:szCs w:val="4"/>
              </w:rPr>
            </w:pPr>
            <w:r>
              <w:rPr>
                <w:sz w:val="4"/>
                <w:szCs w:val="4"/>
              </w:rPr>
            </w:r>
          </w:p>
        </w:tc>
      </w:tr>
      <w:tr>
        <w:trPr/>
        <w:tc>
          <w:tcPr>
            <w:tcW w:w="331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David C. Clifton</w:t>
            </w:r>
          </w:p>
          <w:p>
            <w:pPr>
              <w:pStyle w:val="TableContents"/>
              <w:bidi w:val="0"/>
              <w:spacing w:before="0" w:after="20"/>
              <w:jc w:val="center"/>
              <w:rPr>
                <w:rFonts w:ascii="Times New Roman" w:hAnsi="Times New Roman"/>
                <w:sz w:val="20"/>
              </w:rPr>
            </w:pPr>
            <w:r>
              <w:rPr>
                <w:rFonts w:ascii="Times New Roman" w:hAnsi="Times New Roman"/>
                <w:sz w:val="20"/>
              </w:rPr>
              <w:t>David C. Clifton</w:t>
            </w:r>
          </w:p>
        </w:tc>
        <w:tc>
          <w:tcPr>
            <w:tcW w:w="121" w:type="dxa"/>
            <w:tcBorders/>
            <w:vAlign w:val="bottom"/>
          </w:tcPr>
          <w:p>
            <w:pPr>
              <w:pStyle w:val="TableContents"/>
              <w:bidi w:val="0"/>
              <w:spacing w:before="0" w:after="283"/>
              <w:jc w:val="left"/>
              <w:rPr/>
            </w:pPr>
            <w:r>
              <w:rPr/>
              <w:t>  </w:t>
            </w:r>
          </w:p>
        </w:tc>
        <w:tc>
          <w:tcPr>
            <w:tcW w:w="4852" w:type="dxa"/>
            <w:tcBorders/>
          </w:tcPr>
          <w:p>
            <w:pPr>
              <w:pStyle w:val="TableContents"/>
              <w:bidi w:val="0"/>
              <w:spacing w:before="0" w:after="283"/>
              <w:jc w:val="center"/>
              <w:rPr/>
            </w:pPr>
            <w:r>
              <w:rPr/>
              <w:t>Director</w:t>
            </w:r>
          </w:p>
        </w:tc>
        <w:tc>
          <w:tcPr>
            <w:tcW w:w="121" w:type="dxa"/>
            <w:tcBorders/>
            <w:vAlign w:val="bottom"/>
          </w:tcPr>
          <w:p>
            <w:pPr>
              <w:pStyle w:val="TableContents"/>
              <w:bidi w:val="0"/>
              <w:spacing w:before="0" w:after="283"/>
              <w:jc w:val="left"/>
              <w:rPr/>
            </w:pPr>
            <w:r>
              <w:rPr/>
              <w:t>  </w:t>
            </w:r>
          </w:p>
        </w:tc>
        <w:tc>
          <w:tcPr>
            <w:tcW w:w="1799" w:type="dxa"/>
            <w:tcBorders/>
          </w:tcPr>
          <w:p>
            <w:pPr>
              <w:pStyle w:val="TableContents"/>
              <w:bidi w:val="0"/>
              <w:spacing w:before="0" w:after="283"/>
              <w:jc w:val="center"/>
              <w:rPr/>
            </w:pPr>
            <w:r>
              <w:rPr/>
              <w:t>December 1, 2023</w:t>
            </w:r>
          </w:p>
        </w:tc>
      </w:tr>
      <w:tr>
        <w:trPr>
          <w:trHeight w:val="240" w:hRule="atLeast"/>
        </w:trPr>
        <w:tc>
          <w:tcPr>
            <w:tcW w:w="3312" w:type="dxa"/>
            <w:tcBorders/>
            <w:vAlign w:val="center"/>
          </w:tcPr>
          <w:p>
            <w:pPr>
              <w:pStyle w:val="TableContents"/>
              <w:bidi w:val="0"/>
              <w:spacing w:before="0" w:after="283"/>
              <w:jc w:val="left"/>
              <w:rPr>
                <w:sz w:val="4"/>
                <w:szCs w:val="4"/>
              </w:rPr>
            </w:pPr>
            <w:r>
              <w:rPr>
                <w:sz w:val="4"/>
                <w:szCs w:val="4"/>
              </w:rPr>
            </w:r>
          </w:p>
        </w:tc>
        <w:tc>
          <w:tcPr>
            <w:tcW w:w="4973" w:type="dxa"/>
            <w:gridSpan w:val="2"/>
            <w:tcBorders/>
            <w:vAlign w:val="center"/>
          </w:tcPr>
          <w:p>
            <w:pPr>
              <w:pStyle w:val="TableContents"/>
              <w:bidi w:val="0"/>
              <w:spacing w:before="0" w:after="283"/>
              <w:jc w:val="left"/>
              <w:rPr>
                <w:sz w:val="4"/>
                <w:szCs w:val="4"/>
              </w:rPr>
            </w:pPr>
            <w:r>
              <w:rPr>
                <w:sz w:val="4"/>
                <w:szCs w:val="4"/>
              </w:rPr>
            </w:r>
          </w:p>
        </w:tc>
        <w:tc>
          <w:tcPr>
            <w:tcW w:w="1920" w:type="dxa"/>
            <w:gridSpan w:val="2"/>
            <w:tcBorders/>
            <w:vAlign w:val="center"/>
          </w:tcPr>
          <w:p>
            <w:pPr>
              <w:pStyle w:val="TableContents"/>
              <w:bidi w:val="0"/>
              <w:spacing w:before="0" w:after="283"/>
              <w:jc w:val="left"/>
              <w:rPr>
                <w:sz w:val="4"/>
                <w:szCs w:val="4"/>
              </w:rPr>
            </w:pPr>
            <w:r>
              <w:rPr>
                <w:sz w:val="4"/>
                <w:szCs w:val="4"/>
              </w:rPr>
            </w:r>
          </w:p>
        </w:tc>
      </w:tr>
      <w:tr>
        <w:trPr/>
        <w:tc>
          <w:tcPr>
            <w:tcW w:w="331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Sean Collins</w:t>
            </w:r>
          </w:p>
          <w:p>
            <w:pPr>
              <w:pStyle w:val="TableContents"/>
              <w:bidi w:val="0"/>
              <w:spacing w:before="0" w:after="20"/>
              <w:jc w:val="center"/>
              <w:rPr>
                <w:rFonts w:ascii="Times New Roman" w:hAnsi="Times New Roman"/>
                <w:sz w:val="20"/>
              </w:rPr>
            </w:pPr>
            <w:r>
              <w:rPr>
                <w:rFonts w:ascii="Times New Roman" w:hAnsi="Times New Roman"/>
                <w:sz w:val="20"/>
              </w:rPr>
              <w:t>Sean Collins</w:t>
            </w:r>
          </w:p>
        </w:tc>
        <w:tc>
          <w:tcPr>
            <w:tcW w:w="121" w:type="dxa"/>
            <w:tcBorders/>
            <w:vAlign w:val="bottom"/>
          </w:tcPr>
          <w:p>
            <w:pPr>
              <w:pStyle w:val="TableContents"/>
              <w:bidi w:val="0"/>
              <w:spacing w:before="0" w:after="283"/>
              <w:jc w:val="left"/>
              <w:rPr/>
            </w:pPr>
            <w:r>
              <w:rPr/>
              <w:t>  </w:t>
            </w:r>
          </w:p>
        </w:tc>
        <w:tc>
          <w:tcPr>
            <w:tcW w:w="4852" w:type="dxa"/>
            <w:tcBorders/>
          </w:tcPr>
          <w:p>
            <w:pPr>
              <w:pStyle w:val="TableContents"/>
              <w:bidi w:val="0"/>
              <w:spacing w:before="0" w:after="283"/>
              <w:jc w:val="center"/>
              <w:rPr/>
            </w:pPr>
            <w:r>
              <w:rPr/>
              <w:t>Director</w:t>
            </w:r>
          </w:p>
        </w:tc>
        <w:tc>
          <w:tcPr>
            <w:tcW w:w="121" w:type="dxa"/>
            <w:tcBorders/>
            <w:vAlign w:val="bottom"/>
          </w:tcPr>
          <w:p>
            <w:pPr>
              <w:pStyle w:val="TableContents"/>
              <w:bidi w:val="0"/>
              <w:spacing w:before="0" w:after="283"/>
              <w:jc w:val="left"/>
              <w:rPr/>
            </w:pPr>
            <w:r>
              <w:rPr/>
              <w:t>  </w:t>
            </w:r>
          </w:p>
        </w:tc>
        <w:tc>
          <w:tcPr>
            <w:tcW w:w="1799" w:type="dxa"/>
            <w:tcBorders/>
          </w:tcPr>
          <w:p>
            <w:pPr>
              <w:pStyle w:val="TableContents"/>
              <w:bidi w:val="0"/>
              <w:spacing w:before="0" w:after="283"/>
              <w:jc w:val="center"/>
              <w:rPr/>
            </w:pPr>
            <w:r>
              <w:rPr/>
              <w:t>December 1, 2023</w:t>
            </w:r>
          </w:p>
        </w:tc>
      </w:tr>
      <w:tr>
        <w:trPr>
          <w:trHeight w:val="240" w:hRule="atLeast"/>
        </w:trPr>
        <w:tc>
          <w:tcPr>
            <w:tcW w:w="3312" w:type="dxa"/>
            <w:tcBorders/>
            <w:vAlign w:val="center"/>
          </w:tcPr>
          <w:p>
            <w:pPr>
              <w:pStyle w:val="TableContents"/>
              <w:bidi w:val="0"/>
              <w:spacing w:before="0" w:after="283"/>
              <w:jc w:val="left"/>
              <w:rPr>
                <w:sz w:val="4"/>
                <w:szCs w:val="4"/>
              </w:rPr>
            </w:pPr>
            <w:r>
              <w:rPr>
                <w:sz w:val="4"/>
                <w:szCs w:val="4"/>
              </w:rPr>
            </w:r>
          </w:p>
        </w:tc>
        <w:tc>
          <w:tcPr>
            <w:tcW w:w="4973" w:type="dxa"/>
            <w:gridSpan w:val="2"/>
            <w:tcBorders/>
            <w:vAlign w:val="center"/>
          </w:tcPr>
          <w:p>
            <w:pPr>
              <w:pStyle w:val="TableContents"/>
              <w:bidi w:val="0"/>
              <w:spacing w:before="0" w:after="283"/>
              <w:jc w:val="left"/>
              <w:rPr>
                <w:sz w:val="4"/>
                <w:szCs w:val="4"/>
              </w:rPr>
            </w:pPr>
            <w:r>
              <w:rPr>
                <w:sz w:val="4"/>
                <w:szCs w:val="4"/>
              </w:rPr>
            </w:r>
          </w:p>
        </w:tc>
        <w:tc>
          <w:tcPr>
            <w:tcW w:w="1920" w:type="dxa"/>
            <w:gridSpan w:val="2"/>
            <w:tcBorders/>
            <w:vAlign w:val="center"/>
          </w:tcPr>
          <w:p>
            <w:pPr>
              <w:pStyle w:val="TableContents"/>
              <w:bidi w:val="0"/>
              <w:spacing w:before="0" w:after="283"/>
              <w:jc w:val="left"/>
              <w:rPr>
                <w:sz w:val="4"/>
                <w:szCs w:val="4"/>
              </w:rPr>
            </w:pPr>
            <w:r>
              <w:rPr>
                <w:sz w:val="4"/>
                <w:szCs w:val="4"/>
              </w:rPr>
            </w:r>
          </w:p>
        </w:tc>
      </w:tr>
      <w:tr>
        <w:trPr/>
        <w:tc>
          <w:tcPr>
            <w:tcW w:w="331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DeAna Dow</w:t>
            </w:r>
          </w:p>
          <w:p>
            <w:pPr>
              <w:pStyle w:val="TableContents"/>
              <w:bidi w:val="0"/>
              <w:spacing w:before="0" w:after="20"/>
              <w:jc w:val="center"/>
              <w:rPr>
                <w:rFonts w:ascii="Times New Roman" w:hAnsi="Times New Roman"/>
                <w:sz w:val="20"/>
              </w:rPr>
            </w:pPr>
            <w:r>
              <w:rPr>
                <w:rFonts w:ascii="Times New Roman" w:hAnsi="Times New Roman"/>
                <w:sz w:val="20"/>
              </w:rPr>
              <w:t>DeAna Dow</w:t>
            </w:r>
          </w:p>
        </w:tc>
        <w:tc>
          <w:tcPr>
            <w:tcW w:w="121" w:type="dxa"/>
            <w:tcBorders/>
            <w:vAlign w:val="bottom"/>
          </w:tcPr>
          <w:p>
            <w:pPr>
              <w:pStyle w:val="TableContents"/>
              <w:bidi w:val="0"/>
              <w:spacing w:before="0" w:after="283"/>
              <w:jc w:val="left"/>
              <w:rPr/>
            </w:pPr>
            <w:r>
              <w:rPr/>
              <w:t>  </w:t>
            </w:r>
          </w:p>
        </w:tc>
        <w:tc>
          <w:tcPr>
            <w:tcW w:w="4852" w:type="dxa"/>
            <w:tcBorders/>
          </w:tcPr>
          <w:p>
            <w:pPr>
              <w:pStyle w:val="TableContents"/>
              <w:bidi w:val="0"/>
              <w:spacing w:before="0" w:after="283"/>
              <w:jc w:val="center"/>
              <w:rPr/>
            </w:pPr>
            <w:r>
              <w:rPr/>
              <w:t>Director</w:t>
            </w:r>
          </w:p>
        </w:tc>
        <w:tc>
          <w:tcPr>
            <w:tcW w:w="121" w:type="dxa"/>
            <w:tcBorders/>
            <w:vAlign w:val="bottom"/>
          </w:tcPr>
          <w:p>
            <w:pPr>
              <w:pStyle w:val="TableContents"/>
              <w:bidi w:val="0"/>
              <w:spacing w:before="0" w:after="283"/>
              <w:jc w:val="left"/>
              <w:rPr/>
            </w:pPr>
            <w:r>
              <w:rPr/>
              <w:t>  </w:t>
            </w:r>
          </w:p>
        </w:tc>
        <w:tc>
          <w:tcPr>
            <w:tcW w:w="1799" w:type="dxa"/>
            <w:tcBorders/>
          </w:tcPr>
          <w:p>
            <w:pPr>
              <w:pStyle w:val="TableContents"/>
              <w:bidi w:val="0"/>
              <w:spacing w:before="0" w:after="283"/>
              <w:jc w:val="center"/>
              <w:rPr/>
            </w:pPr>
            <w:r>
              <w:rPr/>
              <w:t>December 1, 2023</w:t>
            </w:r>
          </w:p>
        </w:tc>
      </w:tr>
      <w:tr>
        <w:trPr>
          <w:trHeight w:val="240" w:hRule="atLeast"/>
        </w:trPr>
        <w:tc>
          <w:tcPr>
            <w:tcW w:w="3312" w:type="dxa"/>
            <w:tcBorders/>
            <w:vAlign w:val="center"/>
          </w:tcPr>
          <w:p>
            <w:pPr>
              <w:pStyle w:val="TableContents"/>
              <w:bidi w:val="0"/>
              <w:spacing w:before="0" w:after="283"/>
              <w:jc w:val="left"/>
              <w:rPr>
                <w:sz w:val="4"/>
                <w:szCs w:val="4"/>
              </w:rPr>
            </w:pPr>
            <w:r>
              <w:rPr>
                <w:sz w:val="4"/>
                <w:szCs w:val="4"/>
              </w:rPr>
            </w:r>
          </w:p>
        </w:tc>
        <w:tc>
          <w:tcPr>
            <w:tcW w:w="4973" w:type="dxa"/>
            <w:gridSpan w:val="2"/>
            <w:tcBorders/>
            <w:vAlign w:val="center"/>
          </w:tcPr>
          <w:p>
            <w:pPr>
              <w:pStyle w:val="TableContents"/>
              <w:bidi w:val="0"/>
              <w:spacing w:before="0" w:after="283"/>
              <w:jc w:val="left"/>
              <w:rPr>
                <w:sz w:val="4"/>
                <w:szCs w:val="4"/>
              </w:rPr>
            </w:pPr>
            <w:r>
              <w:rPr>
                <w:sz w:val="4"/>
                <w:szCs w:val="4"/>
              </w:rPr>
            </w:r>
          </w:p>
        </w:tc>
        <w:tc>
          <w:tcPr>
            <w:tcW w:w="1920" w:type="dxa"/>
            <w:gridSpan w:val="2"/>
            <w:tcBorders/>
            <w:vAlign w:val="center"/>
          </w:tcPr>
          <w:p>
            <w:pPr>
              <w:pStyle w:val="TableContents"/>
              <w:bidi w:val="0"/>
              <w:spacing w:before="0" w:after="283"/>
              <w:jc w:val="left"/>
              <w:rPr>
                <w:sz w:val="4"/>
                <w:szCs w:val="4"/>
              </w:rPr>
            </w:pPr>
            <w:r>
              <w:rPr>
                <w:sz w:val="4"/>
                <w:szCs w:val="4"/>
              </w:rPr>
            </w:r>
          </w:p>
        </w:tc>
      </w:tr>
      <w:tr>
        <w:trPr/>
        <w:tc>
          <w:tcPr>
            <w:tcW w:w="331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Michelle Goldberg</w:t>
            </w:r>
          </w:p>
          <w:p>
            <w:pPr>
              <w:pStyle w:val="TableContents"/>
              <w:bidi w:val="0"/>
              <w:spacing w:before="0" w:after="20"/>
              <w:jc w:val="center"/>
              <w:rPr>
                <w:rFonts w:ascii="Times New Roman" w:hAnsi="Times New Roman"/>
                <w:sz w:val="20"/>
              </w:rPr>
            </w:pPr>
            <w:r>
              <w:rPr>
                <w:rFonts w:ascii="Times New Roman" w:hAnsi="Times New Roman"/>
                <w:sz w:val="20"/>
              </w:rPr>
              <w:t>Michelle Goldberg</w:t>
            </w:r>
          </w:p>
        </w:tc>
        <w:tc>
          <w:tcPr>
            <w:tcW w:w="121" w:type="dxa"/>
            <w:tcBorders/>
            <w:vAlign w:val="bottom"/>
          </w:tcPr>
          <w:p>
            <w:pPr>
              <w:pStyle w:val="TableContents"/>
              <w:bidi w:val="0"/>
              <w:spacing w:before="0" w:after="283"/>
              <w:jc w:val="left"/>
              <w:rPr/>
            </w:pPr>
            <w:r>
              <w:rPr/>
              <w:t>  </w:t>
            </w:r>
          </w:p>
        </w:tc>
        <w:tc>
          <w:tcPr>
            <w:tcW w:w="4852" w:type="dxa"/>
            <w:tcBorders/>
          </w:tcPr>
          <w:p>
            <w:pPr>
              <w:pStyle w:val="TableContents"/>
              <w:bidi w:val="0"/>
              <w:spacing w:before="0" w:after="283"/>
              <w:jc w:val="center"/>
              <w:rPr/>
            </w:pPr>
            <w:r>
              <w:rPr/>
              <w:t>Director</w:t>
            </w:r>
          </w:p>
        </w:tc>
        <w:tc>
          <w:tcPr>
            <w:tcW w:w="121" w:type="dxa"/>
            <w:tcBorders/>
            <w:vAlign w:val="bottom"/>
          </w:tcPr>
          <w:p>
            <w:pPr>
              <w:pStyle w:val="TableContents"/>
              <w:bidi w:val="0"/>
              <w:spacing w:before="0" w:after="283"/>
              <w:jc w:val="left"/>
              <w:rPr/>
            </w:pPr>
            <w:r>
              <w:rPr/>
              <w:t>  </w:t>
            </w:r>
          </w:p>
        </w:tc>
        <w:tc>
          <w:tcPr>
            <w:tcW w:w="1799" w:type="dxa"/>
            <w:tcBorders/>
          </w:tcPr>
          <w:p>
            <w:pPr>
              <w:pStyle w:val="TableContents"/>
              <w:bidi w:val="0"/>
              <w:spacing w:before="0" w:after="283"/>
              <w:jc w:val="center"/>
              <w:rPr/>
            </w:pPr>
            <w:r>
              <w:rPr/>
              <w:t>December 1, 2023</w:t>
            </w:r>
          </w:p>
        </w:tc>
      </w:tr>
      <w:tr>
        <w:trPr>
          <w:trHeight w:val="240" w:hRule="atLeast"/>
        </w:trPr>
        <w:tc>
          <w:tcPr>
            <w:tcW w:w="3312" w:type="dxa"/>
            <w:tcBorders/>
            <w:vAlign w:val="center"/>
          </w:tcPr>
          <w:p>
            <w:pPr>
              <w:pStyle w:val="TableContents"/>
              <w:bidi w:val="0"/>
              <w:spacing w:before="0" w:after="283"/>
              <w:jc w:val="left"/>
              <w:rPr>
                <w:sz w:val="4"/>
                <w:szCs w:val="4"/>
              </w:rPr>
            </w:pPr>
            <w:r>
              <w:rPr>
                <w:sz w:val="4"/>
                <w:szCs w:val="4"/>
              </w:rPr>
            </w:r>
          </w:p>
        </w:tc>
        <w:tc>
          <w:tcPr>
            <w:tcW w:w="4973" w:type="dxa"/>
            <w:gridSpan w:val="2"/>
            <w:tcBorders/>
            <w:vAlign w:val="center"/>
          </w:tcPr>
          <w:p>
            <w:pPr>
              <w:pStyle w:val="TableContents"/>
              <w:bidi w:val="0"/>
              <w:spacing w:before="0" w:after="283"/>
              <w:jc w:val="left"/>
              <w:rPr>
                <w:sz w:val="4"/>
                <w:szCs w:val="4"/>
              </w:rPr>
            </w:pPr>
            <w:r>
              <w:rPr>
                <w:sz w:val="4"/>
                <w:szCs w:val="4"/>
              </w:rPr>
            </w:r>
          </w:p>
        </w:tc>
        <w:tc>
          <w:tcPr>
            <w:tcW w:w="1920" w:type="dxa"/>
            <w:gridSpan w:val="2"/>
            <w:tcBorders/>
            <w:vAlign w:val="center"/>
          </w:tcPr>
          <w:p>
            <w:pPr>
              <w:pStyle w:val="TableContents"/>
              <w:bidi w:val="0"/>
              <w:spacing w:before="0" w:after="283"/>
              <w:jc w:val="left"/>
              <w:rPr>
                <w:sz w:val="4"/>
                <w:szCs w:val="4"/>
              </w:rPr>
            </w:pPr>
            <w:r>
              <w:rPr>
                <w:sz w:val="4"/>
                <w:szCs w:val="4"/>
              </w:rPr>
            </w:r>
          </w:p>
        </w:tc>
      </w:tr>
      <w:tr>
        <w:trPr/>
        <w:tc>
          <w:tcPr>
            <w:tcW w:w="331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Richard Lumb</w:t>
            </w:r>
          </w:p>
          <w:p>
            <w:pPr>
              <w:pStyle w:val="TableContents"/>
              <w:bidi w:val="0"/>
              <w:spacing w:before="0" w:after="20"/>
              <w:jc w:val="center"/>
              <w:rPr>
                <w:rFonts w:ascii="Times New Roman" w:hAnsi="Times New Roman"/>
                <w:sz w:val="20"/>
              </w:rPr>
            </w:pPr>
            <w:r>
              <w:rPr>
                <w:rFonts w:ascii="Times New Roman" w:hAnsi="Times New Roman"/>
                <w:sz w:val="20"/>
              </w:rPr>
              <w:t>Richard Lumb</w:t>
            </w:r>
          </w:p>
        </w:tc>
        <w:tc>
          <w:tcPr>
            <w:tcW w:w="121" w:type="dxa"/>
            <w:tcBorders/>
            <w:vAlign w:val="bottom"/>
          </w:tcPr>
          <w:p>
            <w:pPr>
              <w:pStyle w:val="TableContents"/>
              <w:bidi w:val="0"/>
              <w:spacing w:before="0" w:after="283"/>
              <w:jc w:val="left"/>
              <w:rPr/>
            </w:pPr>
            <w:r>
              <w:rPr/>
              <w:t>  </w:t>
            </w:r>
          </w:p>
        </w:tc>
        <w:tc>
          <w:tcPr>
            <w:tcW w:w="4852" w:type="dxa"/>
            <w:tcBorders/>
          </w:tcPr>
          <w:p>
            <w:pPr>
              <w:pStyle w:val="TableContents"/>
              <w:bidi w:val="0"/>
              <w:spacing w:before="0" w:after="283"/>
              <w:jc w:val="center"/>
              <w:rPr/>
            </w:pPr>
            <w:r>
              <w:rPr/>
              <w:t>Director</w:t>
            </w:r>
          </w:p>
        </w:tc>
        <w:tc>
          <w:tcPr>
            <w:tcW w:w="121" w:type="dxa"/>
            <w:tcBorders/>
            <w:vAlign w:val="bottom"/>
          </w:tcPr>
          <w:p>
            <w:pPr>
              <w:pStyle w:val="TableContents"/>
              <w:bidi w:val="0"/>
              <w:spacing w:before="0" w:after="283"/>
              <w:jc w:val="left"/>
              <w:rPr/>
            </w:pPr>
            <w:r>
              <w:rPr/>
              <w:t>  </w:t>
            </w:r>
          </w:p>
        </w:tc>
        <w:tc>
          <w:tcPr>
            <w:tcW w:w="1799" w:type="dxa"/>
            <w:tcBorders/>
          </w:tcPr>
          <w:p>
            <w:pPr>
              <w:pStyle w:val="TableContents"/>
              <w:bidi w:val="0"/>
              <w:spacing w:before="0" w:after="283"/>
              <w:jc w:val="center"/>
              <w:rPr/>
            </w:pPr>
            <w:r>
              <w:rPr/>
              <w:t>December 1, 2023</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13"/>
        <w:gridCol w:w="120"/>
        <w:gridCol w:w="4866"/>
        <w:gridCol w:w="120"/>
        <w:gridCol w:w="1786"/>
      </w:tblGrid>
      <w:tr>
        <w:trPr/>
        <w:tc>
          <w:tcPr>
            <w:tcW w:w="331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331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8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178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313" w:type="dxa"/>
            <w:tcBorders/>
            <w:vAlign w:val="center"/>
          </w:tcPr>
          <w:p>
            <w:pPr>
              <w:pStyle w:val="TableContents"/>
              <w:bidi w:val="0"/>
              <w:spacing w:before="0" w:after="283"/>
              <w:jc w:val="left"/>
              <w:rPr>
                <w:sz w:val="4"/>
                <w:szCs w:val="4"/>
              </w:rPr>
            </w:pPr>
            <w:r>
              <w:rPr>
                <w:sz w:val="4"/>
                <w:szCs w:val="4"/>
              </w:rPr>
            </w:r>
          </w:p>
        </w:tc>
        <w:tc>
          <w:tcPr>
            <w:tcW w:w="4986" w:type="dxa"/>
            <w:gridSpan w:val="2"/>
            <w:tcBorders/>
            <w:vAlign w:val="center"/>
          </w:tcPr>
          <w:p>
            <w:pPr>
              <w:pStyle w:val="TableContents"/>
              <w:bidi w:val="0"/>
              <w:spacing w:before="0" w:after="283"/>
              <w:jc w:val="left"/>
              <w:rPr>
                <w:sz w:val="4"/>
                <w:szCs w:val="4"/>
              </w:rPr>
            </w:pPr>
            <w:r>
              <w:rPr>
                <w:sz w:val="4"/>
                <w:szCs w:val="4"/>
              </w:rPr>
            </w:r>
          </w:p>
        </w:tc>
        <w:tc>
          <w:tcPr>
            <w:tcW w:w="1906" w:type="dxa"/>
            <w:gridSpan w:val="2"/>
            <w:tcBorders/>
            <w:vAlign w:val="center"/>
          </w:tcPr>
          <w:p>
            <w:pPr>
              <w:pStyle w:val="TableContents"/>
              <w:bidi w:val="0"/>
              <w:spacing w:before="0" w:after="283"/>
              <w:jc w:val="left"/>
              <w:rPr>
                <w:sz w:val="4"/>
                <w:szCs w:val="4"/>
              </w:rPr>
            </w:pPr>
            <w:r>
              <w:rPr>
                <w:sz w:val="4"/>
                <w:szCs w:val="4"/>
              </w:rPr>
            </w:r>
          </w:p>
        </w:tc>
      </w:tr>
      <w:tr>
        <w:trPr/>
        <w:tc>
          <w:tcPr>
            <w:tcW w:w="331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Andrew A. Main</w:t>
            </w:r>
          </w:p>
          <w:p>
            <w:pPr>
              <w:pStyle w:val="TableContents"/>
              <w:bidi w:val="0"/>
              <w:spacing w:before="0" w:after="20"/>
              <w:jc w:val="center"/>
              <w:rPr>
                <w:rFonts w:ascii="Times New Roman" w:hAnsi="Times New Roman"/>
                <w:sz w:val="20"/>
              </w:rPr>
            </w:pPr>
            <w:r>
              <w:rPr>
                <w:rFonts w:ascii="Times New Roman" w:hAnsi="Times New Roman"/>
                <w:sz w:val="20"/>
              </w:rPr>
              <w:t>Andrew A. Main</w:t>
            </w:r>
          </w:p>
        </w:tc>
        <w:tc>
          <w:tcPr>
            <w:tcW w:w="120" w:type="dxa"/>
            <w:tcBorders/>
            <w:vAlign w:val="bottom"/>
          </w:tcPr>
          <w:p>
            <w:pPr>
              <w:pStyle w:val="TableContents"/>
              <w:bidi w:val="0"/>
              <w:spacing w:before="0" w:after="283"/>
              <w:jc w:val="left"/>
              <w:rPr/>
            </w:pPr>
            <w:r>
              <w:rPr/>
              <w:t>  </w:t>
            </w:r>
          </w:p>
        </w:tc>
        <w:tc>
          <w:tcPr>
            <w:tcW w:w="4866"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786" w:type="dxa"/>
            <w:tcBorders/>
          </w:tcPr>
          <w:p>
            <w:pPr>
              <w:pStyle w:val="TableContents"/>
              <w:bidi w:val="0"/>
              <w:spacing w:before="0" w:after="283"/>
              <w:jc w:val="center"/>
              <w:rPr/>
            </w:pPr>
            <w:r>
              <w:rPr/>
              <w:t>December 1, 2023</w:t>
            </w:r>
          </w:p>
        </w:tc>
      </w:tr>
      <w:tr>
        <w:trPr>
          <w:trHeight w:val="240" w:hRule="atLeast"/>
        </w:trPr>
        <w:tc>
          <w:tcPr>
            <w:tcW w:w="3313" w:type="dxa"/>
            <w:tcBorders/>
            <w:vAlign w:val="center"/>
          </w:tcPr>
          <w:p>
            <w:pPr>
              <w:pStyle w:val="TableContents"/>
              <w:bidi w:val="0"/>
              <w:spacing w:before="0" w:after="283"/>
              <w:jc w:val="left"/>
              <w:rPr>
                <w:sz w:val="4"/>
                <w:szCs w:val="4"/>
              </w:rPr>
            </w:pPr>
            <w:r>
              <w:rPr>
                <w:sz w:val="4"/>
                <w:szCs w:val="4"/>
              </w:rPr>
            </w:r>
          </w:p>
        </w:tc>
        <w:tc>
          <w:tcPr>
            <w:tcW w:w="4986" w:type="dxa"/>
            <w:gridSpan w:val="2"/>
            <w:tcBorders/>
            <w:vAlign w:val="center"/>
          </w:tcPr>
          <w:p>
            <w:pPr>
              <w:pStyle w:val="TableContents"/>
              <w:bidi w:val="0"/>
              <w:spacing w:before="0" w:after="283"/>
              <w:jc w:val="left"/>
              <w:rPr>
                <w:sz w:val="4"/>
                <w:szCs w:val="4"/>
              </w:rPr>
            </w:pPr>
            <w:r>
              <w:rPr>
                <w:sz w:val="4"/>
                <w:szCs w:val="4"/>
              </w:rPr>
            </w:r>
          </w:p>
        </w:tc>
        <w:tc>
          <w:tcPr>
            <w:tcW w:w="1906" w:type="dxa"/>
            <w:gridSpan w:val="2"/>
            <w:tcBorders/>
            <w:vAlign w:val="center"/>
          </w:tcPr>
          <w:p>
            <w:pPr>
              <w:pStyle w:val="TableContents"/>
              <w:bidi w:val="0"/>
              <w:spacing w:before="0" w:after="283"/>
              <w:jc w:val="left"/>
              <w:rPr>
                <w:sz w:val="4"/>
                <w:szCs w:val="4"/>
              </w:rPr>
            </w:pPr>
            <w:r>
              <w:rPr>
                <w:sz w:val="4"/>
                <w:szCs w:val="4"/>
              </w:rPr>
            </w:r>
          </w:p>
        </w:tc>
      </w:tr>
      <w:tr>
        <w:trPr/>
        <w:tc>
          <w:tcPr>
            <w:tcW w:w="331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Jill Simeone</w:t>
            </w:r>
          </w:p>
          <w:p>
            <w:pPr>
              <w:pStyle w:val="TableContents"/>
              <w:bidi w:val="0"/>
              <w:spacing w:before="0" w:after="20"/>
              <w:jc w:val="center"/>
              <w:rPr>
                <w:rFonts w:ascii="Times New Roman" w:hAnsi="Times New Roman"/>
                <w:sz w:val="20"/>
              </w:rPr>
            </w:pPr>
            <w:r>
              <w:rPr>
                <w:rFonts w:ascii="Times New Roman" w:hAnsi="Times New Roman"/>
                <w:sz w:val="20"/>
              </w:rPr>
              <w:t>Jill Simeone</w:t>
            </w:r>
          </w:p>
        </w:tc>
        <w:tc>
          <w:tcPr>
            <w:tcW w:w="120" w:type="dxa"/>
            <w:tcBorders/>
            <w:vAlign w:val="bottom"/>
          </w:tcPr>
          <w:p>
            <w:pPr>
              <w:pStyle w:val="TableContents"/>
              <w:bidi w:val="0"/>
              <w:spacing w:before="0" w:after="283"/>
              <w:jc w:val="left"/>
              <w:rPr/>
            </w:pPr>
            <w:r>
              <w:rPr/>
              <w:t>  </w:t>
            </w:r>
          </w:p>
        </w:tc>
        <w:tc>
          <w:tcPr>
            <w:tcW w:w="4866"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786" w:type="dxa"/>
            <w:tcBorders/>
          </w:tcPr>
          <w:p>
            <w:pPr>
              <w:pStyle w:val="TableContents"/>
              <w:bidi w:val="0"/>
              <w:spacing w:before="0" w:after="283"/>
              <w:jc w:val="center"/>
              <w:rPr/>
            </w:pPr>
            <w:r>
              <w:rPr/>
              <w:t>December 1, 2023</w:t>
            </w:r>
          </w:p>
        </w:tc>
      </w:tr>
      <w:tr>
        <w:trPr>
          <w:trHeight w:val="240" w:hRule="atLeast"/>
        </w:trPr>
        <w:tc>
          <w:tcPr>
            <w:tcW w:w="3313" w:type="dxa"/>
            <w:tcBorders/>
            <w:vAlign w:val="center"/>
          </w:tcPr>
          <w:p>
            <w:pPr>
              <w:pStyle w:val="TableContents"/>
              <w:bidi w:val="0"/>
              <w:spacing w:before="0" w:after="283"/>
              <w:jc w:val="left"/>
              <w:rPr>
                <w:sz w:val="4"/>
                <w:szCs w:val="4"/>
              </w:rPr>
            </w:pPr>
            <w:r>
              <w:rPr>
                <w:sz w:val="4"/>
                <w:szCs w:val="4"/>
              </w:rPr>
            </w:r>
          </w:p>
        </w:tc>
        <w:tc>
          <w:tcPr>
            <w:tcW w:w="4986" w:type="dxa"/>
            <w:gridSpan w:val="2"/>
            <w:tcBorders/>
            <w:vAlign w:val="center"/>
          </w:tcPr>
          <w:p>
            <w:pPr>
              <w:pStyle w:val="TableContents"/>
              <w:bidi w:val="0"/>
              <w:spacing w:before="0" w:after="283"/>
              <w:jc w:val="left"/>
              <w:rPr>
                <w:sz w:val="4"/>
                <w:szCs w:val="4"/>
              </w:rPr>
            </w:pPr>
            <w:r>
              <w:rPr>
                <w:sz w:val="4"/>
                <w:szCs w:val="4"/>
              </w:rPr>
            </w:r>
          </w:p>
        </w:tc>
        <w:tc>
          <w:tcPr>
            <w:tcW w:w="1906" w:type="dxa"/>
            <w:gridSpan w:val="2"/>
            <w:tcBorders/>
            <w:vAlign w:val="center"/>
          </w:tcPr>
          <w:p>
            <w:pPr>
              <w:pStyle w:val="TableContents"/>
              <w:bidi w:val="0"/>
              <w:spacing w:before="0" w:after="283"/>
              <w:jc w:val="left"/>
              <w:rPr>
                <w:sz w:val="4"/>
                <w:szCs w:val="4"/>
              </w:rPr>
            </w:pPr>
            <w:r>
              <w:rPr>
                <w:sz w:val="4"/>
                <w:szCs w:val="4"/>
              </w:rPr>
            </w:r>
          </w:p>
        </w:tc>
      </w:tr>
      <w:tr>
        <w:trPr/>
        <w:tc>
          <w:tcPr>
            <w:tcW w:w="3313"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Gordon Watson</w:t>
            </w:r>
          </w:p>
          <w:p>
            <w:pPr>
              <w:pStyle w:val="TableContents"/>
              <w:bidi w:val="0"/>
              <w:spacing w:before="0" w:after="20"/>
              <w:jc w:val="center"/>
              <w:rPr>
                <w:rFonts w:ascii="Times New Roman" w:hAnsi="Times New Roman"/>
                <w:sz w:val="20"/>
              </w:rPr>
            </w:pPr>
            <w:r>
              <w:rPr>
                <w:rFonts w:ascii="Times New Roman" w:hAnsi="Times New Roman"/>
                <w:sz w:val="20"/>
              </w:rPr>
              <w:t>Gordon Watson</w:t>
            </w:r>
          </w:p>
        </w:tc>
        <w:tc>
          <w:tcPr>
            <w:tcW w:w="120" w:type="dxa"/>
            <w:tcBorders/>
            <w:vAlign w:val="bottom"/>
          </w:tcPr>
          <w:p>
            <w:pPr>
              <w:pStyle w:val="TableContents"/>
              <w:bidi w:val="0"/>
              <w:spacing w:before="0" w:after="283"/>
              <w:jc w:val="left"/>
              <w:rPr/>
            </w:pPr>
            <w:r>
              <w:rPr/>
              <w:t>  </w:t>
            </w:r>
          </w:p>
        </w:tc>
        <w:tc>
          <w:tcPr>
            <w:tcW w:w="4866"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786" w:type="dxa"/>
            <w:tcBorders/>
          </w:tcPr>
          <w:p>
            <w:pPr>
              <w:pStyle w:val="TableContents"/>
              <w:bidi w:val="0"/>
              <w:spacing w:before="0" w:after="283"/>
              <w:jc w:val="center"/>
              <w:rPr/>
            </w:pPr>
            <w:r>
              <w:rPr/>
              <w:t>December 1, 2023</w:t>
            </w:r>
          </w:p>
        </w:tc>
      </w:tr>
    </w:tbl>
    <w:p>
      <w:pPr>
        <w:pStyle w:val="TextBody"/>
        <w:bidi w:val="0"/>
        <w:spacing w:before="0" w:after="0"/>
        <w:jc w:val="right"/>
        <w:rPr>
          <w:rFonts w:ascii="Times New Roman" w:hAnsi="Times New Roman"/>
          <w:b/>
          <w:sz w:val="20"/>
        </w:rPr>
      </w:pPr>
      <w:bookmarkStart w:id="3" w:name="d620990dex51.htm"/>
      <w:bookmarkStart w:id="4" w:name="ksd620990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8"/>
        <w:gridCol w:w="101"/>
        <w:gridCol w:w="3369"/>
        <w:gridCol w:w="101"/>
        <w:gridCol w:w="3266"/>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drawing>
                <wp:inline distT="0" distB="0" distL="0" distR="0">
                  <wp:extent cx="127635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6"/>
                          <a:stretch>
                            <a:fillRect/>
                          </a:stretch>
                        </pic:blipFill>
                        <pic:spPr bwMode="auto">
                          <a:xfrm>
                            <a:off x="0" y="0"/>
                            <a:ext cx="1276350" cy="504825"/>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left"/>
              <w:rPr>
                <w:rFonts w:ascii="Times New Roman" w:hAnsi="Times New Roman"/>
                <w:sz w:val="20"/>
              </w:rPr>
            </w:pPr>
            <w:r>
              <w:rPr>
                <w:rFonts w:ascii="Times New Roman" w:hAnsi="Times New Roman"/>
                <w:sz w:val="20"/>
              </w:rPr>
              <w:t>Wilson Sonsini Goodrich &amp; Rosati</w:t>
            </w:r>
          </w:p>
          <w:p>
            <w:pPr>
              <w:pStyle w:val="TableContents"/>
              <w:bidi w:val="0"/>
              <w:spacing w:before="0" w:after="0"/>
              <w:jc w:val="left"/>
              <w:rPr>
                <w:rFonts w:ascii="Times New Roman" w:hAnsi="Times New Roman"/>
                <w:sz w:val="20"/>
              </w:rPr>
            </w:pPr>
            <w:r>
              <w:rPr>
                <w:rFonts w:ascii="Times New Roman" w:hAnsi="Times New Roman"/>
                <w:sz w:val="20"/>
              </w:rPr>
              <w:t>Professional Corporation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900 South Capital of Texas Highway</w:t>
            </w:r>
          </w:p>
          <w:p>
            <w:pPr>
              <w:pStyle w:val="TableContents"/>
              <w:bidi w:val="0"/>
              <w:spacing w:before="0" w:after="0"/>
              <w:jc w:val="left"/>
              <w:rPr>
                <w:rFonts w:ascii="Times New Roman" w:hAnsi="Times New Roman"/>
                <w:sz w:val="20"/>
              </w:rPr>
            </w:pPr>
            <w:r>
              <w:rPr>
                <w:rFonts w:ascii="Times New Roman" w:hAnsi="Times New Roman"/>
                <w:sz w:val="20"/>
              </w:rPr>
              <w:t>Las Cimas IV, Fifth Floor</w:t>
            </w:r>
          </w:p>
          <w:p>
            <w:pPr>
              <w:pStyle w:val="TableContents"/>
              <w:bidi w:val="0"/>
              <w:spacing w:before="0" w:after="0"/>
              <w:jc w:val="left"/>
              <w:rPr>
                <w:rFonts w:ascii="Times New Roman" w:hAnsi="Times New Roman"/>
                <w:sz w:val="20"/>
              </w:rPr>
            </w:pPr>
            <w:r>
              <w:rPr>
                <w:rFonts w:ascii="Times New Roman" w:hAnsi="Times New Roman"/>
                <w:sz w:val="20"/>
              </w:rPr>
              <w:t>Austin, Texas 78746-5546</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O: 512.338.5400</w:t>
            </w:r>
          </w:p>
          <w:p>
            <w:pPr>
              <w:pStyle w:val="TableContents"/>
              <w:bidi w:val="0"/>
              <w:spacing w:before="0" w:after="20"/>
              <w:jc w:val="left"/>
              <w:rPr>
                <w:rFonts w:ascii="Times New Roman" w:hAnsi="Times New Roman"/>
                <w:sz w:val="20"/>
              </w:rPr>
            </w:pPr>
            <w:r>
              <w:rPr>
                <w:rFonts w:ascii="Times New Roman" w:hAnsi="Times New Roman"/>
                <w:sz w:val="20"/>
              </w:rPr>
              <w:t>F: 512.338.5499</w:t>
            </w:r>
          </w:p>
        </w:tc>
      </w:tr>
    </w:tbl>
    <w:p>
      <w:pPr>
        <w:pStyle w:val="TextBody"/>
        <w:bidi w:val="0"/>
        <w:spacing w:before="240" w:after="0"/>
        <w:jc w:val="center"/>
        <w:rPr>
          <w:rFonts w:ascii="Times New Roman" w:hAnsi="Times New Roman"/>
          <w:sz w:val="20"/>
        </w:rPr>
      </w:pPr>
      <w:r>
        <w:rPr>
          <w:rFonts w:ascii="Times New Roman" w:hAnsi="Times New Roman"/>
          <w:sz w:val="20"/>
        </w:rPr>
        <w:t xml:space="preserve">December 1, 2023 </w:t>
      </w:r>
    </w:p>
    <w:p>
      <w:pPr>
        <w:pStyle w:val="TextBody"/>
        <w:bidi w:val="0"/>
        <w:spacing w:before="240" w:after="0"/>
        <w:jc w:val="left"/>
        <w:rPr>
          <w:rFonts w:ascii="Times New Roman" w:hAnsi="Times New Roman"/>
          <w:sz w:val="20"/>
        </w:rPr>
      </w:pPr>
      <w:r>
        <w:rPr>
          <w:rFonts w:ascii="Times New Roman" w:hAnsi="Times New Roman"/>
          <w:sz w:val="20"/>
        </w:rPr>
        <w:t xml:space="preserve">Bakkt Holdings, Inc. </w:t>
      </w:r>
    </w:p>
    <w:p>
      <w:pPr>
        <w:pStyle w:val="TextBody"/>
        <w:bidi w:val="0"/>
        <w:spacing w:before="0" w:after="0"/>
        <w:jc w:val="left"/>
        <w:rPr>
          <w:rFonts w:ascii="Times New Roman" w:hAnsi="Times New Roman"/>
          <w:sz w:val="20"/>
        </w:rPr>
      </w:pPr>
      <w:r>
        <w:rPr>
          <w:rFonts w:ascii="Times New Roman" w:hAnsi="Times New Roman"/>
          <w:sz w:val="20"/>
        </w:rPr>
        <w:t xml:space="preserve">10000 Avalon Boulevard </w:t>
      </w:r>
    </w:p>
    <w:p>
      <w:pPr>
        <w:pStyle w:val="TextBody"/>
        <w:bidi w:val="0"/>
        <w:spacing w:before="0" w:after="0"/>
        <w:jc w:val="left"/>
        <w:rPr>
          <w:rFonts w:ascii="Times New Roman" w:hAnsi="Times New Roman"/>
          <w:sz w:val="20"/>
        </w:rPr>
      </w:pPr>
      <w:r>
        <w:rPr>
          <w:rFonts w:ascii="Times New Roman" w:hAnsi="Times New Roman"/>
          <w:sz w:val="20"/>
        </w:rPr>
        <w:t xml:space="preserve">Suite 1000 </w:t>
      </w:r>
    </w:p>
    <w:p>
      <w:pPr>
        <w:pStyle w:val="TextBody"/>
        <w:bidi w:val="0"/>
        <w:spacing w:before="0" w:after="0"/>
        <w:jc w:val="left"/>
        <w:rPr>
          <w:rFonts w:ascii="Times New Roman" w:hAnsi="Times New Roman"/>
          <w:sz w:val="20"/>
        </w:rPr>
      </w:pPr>
      <w:r>
        <w:rPr>
          <w:rFonts w:ascii="Times New Roman" w:hAnsi="Times New Roman"/>
          <w:sz w:val="20"/>
        </w:rPr>
        <w:t xml:space="preserve">Alpharetta, Georgia 30009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Re:</w:t>
            </w:r>
          </w:p>
        </w:tc>
        <w:tc>
          <w:tcPr>
            <w:tcW w:w="9798"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 xml:space="preserve">Registration Statement on Form S-8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This opinion is furnished to you in connection with the Registration Statement on Form S-8 (the </w:t>
      </w:r>
      <w:r>
        <w:rPr>
          <w:rFonts w:ascii="Times New Roman" w:hAnsi="Times New Roman"/>
          <w:sz w:val="20"/>
          <w:u w:val="single"/>
        </w:rPr>
        <w:t>Registration Statement</w:t>
      </w:r>
      <w:r>
        <w:rPr>
          <w:rFonts w:ascii="Times New Roman" w:hAnsi="Times New Roman"/>
          <w:sz w:val="20"/>
        </w:rPr>
        <w:t>), filed by Bakkt Holdings, Inc., a Delaware corporation (the </w:t>
      </w:r>
      <w:r>
        <w:rPr>
          <w:rFonts w:ascii="Times New Roman" w:hAnsi="Times New Roman"/>
          <w:sz w:val="20"/>
          <w:u w:val="single"/>
        </w:rPr>
        <w:t>Company</w:t>
      </w:r>
      <w:r>
        <w:rPr>
          <w:rFonts w:ascii="Times New Roman" w:hAnsi="Times New Roman"/>
          <w:sz w:val="20"/>
        </w:rPr>
        <w:t>), with the Securities and Exchange Commission (the </w:t>
      </w:r>
      <w:r>
        <w:rPr>
          <w:rFonts w:ascii="Times New Roman" w:hAnsi="Times New Roman"/>
          <w:sz w:val="20"/>
          <w:u w:val="single"/>
        </w:rPr>
        <w:t>Commission</w:t>
      </w:r>
      <w:r>
        <w:rPr>
          <w:rFonts w:ascii="Times New Roman" w:hAnsi="Times New Roman"/>
          <w:sz w:val="20"/>
        </w:rPr>
        <w:t>) in connection with the registration under the Securities Act of 1933, as amended (the </w:t>
      </w:r>
      <w:r>
        <w:rPr>
          <w:rFonts w:ascii="Times New Roman" w:hAnsi="Times New Roman"/>
          <w:sz w:val="20"/>
          <w:u w:val="single"/>
        </w:rPr>
        <w:t>Securities Act</w:t>
      </w:r>
      <w:r>
        <w:rPr>
          <w:rFonts w:ascii="Times New Roman" w:hAnsi="Times New Roman"/>
          <w:sz w:val="20"/>
        </w:rPr>
        <w:t>), of 26,590,466 shares (the </w:t>
      </w:r>
      <w:r>
        <w:rPr>
          <w:rFonts w:ascii="Times New Roman" w:hAnsi="Times New Roman"/>
          <w:sz w:val="20"/>
          <w:u w:val="single"/>
        </w:rPr>
        <w:t>Shares</w:t>
      </w:r>
      <w:r>
        <w:rPr>
          <w:rFonts w:ascii="Times New Roman" w:hAnsi="Times New Roman"/>
          <w:sz w:val="20"/>
        </w:rPr>
        <w:t>) of the Companys Class A common stock, par value $0.0001 per share, reserved for future issuance under the Bakkt Holdings, Inc. 2021 Omnibus Employee Incentive Plan (the </w:t>
      </w:r>
      <w:r>
        <w:rPr>
          <w:rFonts w:ascii="Times New Roman" w:hAnsi="Times New Roman"/>
          <w:sz w:val="20"/>
          <w:u w:val="single"/>
        </w:rPr>
        <w:t>2021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are of the opinion that the Shares, when issued pursuant to the terms of the 2021 Plan and pursuant to the agreements that accompany the 2021 Plan and in accordance with the Registration Statement, will have been duly authorized and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this opinion as an exhibit to the Registration Statement and further consent to the use of our name wherever appearing in the Registration Statement and any amendments thereto. In giving such consent, we do not thereby admit that we are in the category of persons whose consent is required under Section 7 of the Securities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 Wilson Sonsini Goodrich &amp; Rosati, P.C.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WILSON SONSINI GOODRICH &amp; ROSATI,</w:t>
            </w:r>
          </w:p>
        </w:tc>
      </w:tr>
      <w:tr>
        <w:trPr/>
        <w:tc>
          <w:tcPr>
            <w:tcW w:w="4082" w:type="dxa"/>
            <w:tcBorders/>
          </w:tcPr>
          <w:p>
            <w:pPr>
              <w:pStyle w:val="TableContents"/>
              <w:bidi w:val="0"/>
              <w:spacing w:before="0" w:after="283"/>
              <w:jc w:val="left"/>
              <w:rPr/>
            </w:pPr>
            <w:r>
              <w:rPr/>
              <w:t>Professional Corporation</w:t>
            </w:r>
          </w:p>
        </w:tc>
      </w:tr>
    </w:tbl>
    <w:p>
      <w:pPr>
        <w:pStyle w:val="TextBody"/>
        <w:bidi w:val="0"/>
        <w:spacing w:before="240" w:after="0"/>
        <w:jc w:val="center"/>
        <w:rPr>
          <w:rFonts w:ascii="Times New Roman" w:hAnsi="Times New Roman"/>
          <w:sz w:val="16"/>
        </w:rPr>
      </w:pPr>
      <w:r>
        <w:rPr>
          <w:rFonts w:ascii="Times New Roman" w:hAnsi="Times New Roman"/>
          <w:sz w:val="16"/>
        </w:rPr>
        <w:t xml:space="preserve">AUSTIN    BEIJING    BOULDER    BOSTON    BRUSSELS     HONG KONG    LONDON    LOS ANGELES    NEW YORK    PALO ALTO </w:t>
      </w:r>
    </w:p>
    <w:p>
      <w:pPr>
        <w:pStyle w:val="TextBody"/>
        <w:bidi w:val="0"/>
        <w:spacing w:before="0" w:after="0"/>
        <w:jc w:val="center"/>
        <w:rPr>
          <w:rFonts w:ascii="Times New Roman" w:hAnsi="Times New Roman"/>
          <w:sz w:val="16"/>
        </w:rPr>
      </w:pPr>
      <w:r>
        <w:rPr>
          <w:rFonts w:ascii="Times New Roman" w:hAnsi="Times New Roman"/>
          <w:sz w:val="16"/>
        </w:rPr>
        <w:t xml:space="preserve">SALT LAKE CITY    SAN DIEGO    SAN FRANCISCO    SEATTLE    SHANGHAI    WASHINGTON, DC    WILMINGTON, DE </w:t>
      </w:r>
    </w:p>
    <w:p>
      <w:pPr>
        <w:pStyle w:val="TextBody"/>
        <w:bidi w:val="0"/>
        <w:spacing w:before="0" w:after="0"/>
        <w:jc w:val="right"/>
        <w:rPr>
          <w:rFonts w:ascii="Times New Roman" w:hAnsi="Times New Roman"/>
          <w:b/>
          <w:sz w:val="20"/>
        </w:rPr>
      </w:pPr>
      <w:bookmarkStart w:id="5" w:name="d620990dex231.htm"/>
      <w:bookmarkStart w:id="6" w:name="ksd620990dex231"/>
      <w:bookmarkEnd w:id="5"/>
      <w:bookmarkEnd w:id="6"/>
      <w:r>
        <w:rPr>
          <w:rFonts w:ascii="Times New Roman" w:hAnsi="Times New Roman"/>
          <w:b/>
          <w:sz w:val="20"/>
        </w:rPr>
        <w:t xml:space="preserve">EXHIBIT 23.1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(Form S-8) pertaining to the 2021 Omnibus Incentive Plan of Bakkt Holdings, Inc. of our report dated March 24, 2023, with respect to the consolidated financial statements of Bakkt Holdings, Inc. included in its Annual Report (Form 10-K) for the year ended December 31, 2022,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Atlanta, Georgia </w:t>
      </w:r>
    </w:p>
    <w:p>
      <w:pPr>
        <w:pStyle w:val="TextBody"/>
        <w:bidi w:val="0"/>
        <w:spacing w:before="0" w:after="0"/>
        <w:jc w:val="left"/>
        <w:rPr>
          <w:rFonts w:ascii="Times New Roman" w:hAnsi="Times New Roman"/>
          <w:sz w:val="20"/>
        </w:rPr>
      </w:pPr>
      <w:r>
        <w:rPr>
          <w:rFonts w:ascii="Times New Roman" w:hAnsi="Times New Roman"/>
          <w:sz w:val="20"/>
        </w:rPr>
        <w:t xml:space="preserve">December 1, 2023 </w:t>
      </w:r>
    </w:p>
    <w:p>
      <w:pPr>
        <w:pStyle w:val="TextBody"/>
        <w:bidi w:val="0"/>
        <w:spacing w:before="0" w:after="0"/>
        <w:jc w:val="right"/>
        <w:rPr>
          <w:rFonts w:ascii="Times New Roman" w:hAnsi="Times New Roman"/>
          <w:b/>
          <w:sz w:val="20"/>
        </w:rPr>
      </w:pPr>
      <w:bookmarkStart w:id="7" w:name="d620990dex232.htm"/>
      <w:bookmarkStart w:id="8" w:name="ksd620990dex232"/>
      <w:bookmarkEnd w:id="7"/>
      <w:bookmarkEnd w:id="8"/>
      <w:r>
        <w:rPr>
          <w:rFonts w:ascii="Times New Roman" w:hAnsi="Times New Roman"/>
          <w:b/>
          <w:sz w:val="20"/>
        </w:rPr>
        <w:t xml:space="preserve">Exhibit 23.2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S-8 of our report dated March 28, 2022, relating to the consolidated financial statements of Bakkt Holdings, Inc. (f/k/a VPC Impact Acquisition Holdings), which is contained in Exhibit 99.1 to Form 8-K (File No. 001-39544), filed on April 5, 2022.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WithumSmith+Brown, PC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New York, New York</w:t>
            </w:r>
          </w:p>
        </w:tc>
      </w:tr>
      <w:tr>
        <w:trPr/>
        <w:tc>
          <w:tcPr>
            <w:tcW w:w="4082" w:type="dxa"/>
            <w:tcBorders/>
          </w:tcPr>
          <w:p>
            <w:pPr>
              <w:pStyle w:val="TableContents"/>
              <w:bidi w:val="0"/>
              <w:spacing w:before="0" w:after="283"/>
              <w:jc w:val="left"/>
              <w:rPr/>
            </w:pPr>
            <w:r>
              <w:rPr/>
              <w:t>December 1, 2023</w:t>
            </w:r>
          </w:p>
        </w:tc>
      </w:tr>
    </w:tbl>
    <w:p>
      <w:pPr>
        <w:pStyle w:val="TextBody"/>
        <w:bidi w:val="0"/>
        <w:spacing w:before="0" w:after="0"/>
        <w:jc w:val="right"/>
        <w:rPr>
          <w:rFonts w:ascii="Times New Roman" w:hAnsi="Times New Roman"/>
          <w:sz w:val="20"/>
        </w:rPr>
      </w:pPr>
      <w:bookmarkStart w:id="9" w:name="d620990dex233.htm"/>
      <w:bookmarkStart w:id="10" w:name="ksd620990dex233"/>
      <w:bookmarkEnd w:id="9"/>
      <w:bookmarkEnd w:id="10"/>
      <w:r>
        <w:rPr>
          <w:rFonts w:ascii="Times New Roman" w:hAnsi="Times New Roman"/>
          <w:b/>
          <w:i/>
          <w:sz w:val="20"/>
        </w:rPr>
        <w:t>Exhibit 23.3</w:t>
      </w:r>
      <w:r>
        <w:rPr>
          <w:rFonts w:ascii="Times New Roman" w:hAnsi="Times New Roman"/>
          <w:sz w:val="20"/>
        </w:rPr>
        <w:t xml:space="preserve">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S-8 of Bakkt Holdings, Inc. of our report dated March 29, 2023, except for the second paragraph of Note 16 as of which the date is April 17, 2023, relating to the financial statements of Apex Crypto LLC as of December 31, 2022 and 2021 and for the years then ended, appearing in the Current Report on Form 8-K/A filed by Bakkt Holdings, Inc. on April 18, 2023. </w:t>
      </w:r>
    </w:p>
    <w:p>
      <w:pPr>
        <w:pStyle w:val="TextBody"/>
        <w:bidi w:val="0"/>
        <w:spacing w:before="240" w:after="0"/>
        <w:jc w:val="left"/>
        <w:rPr>
          <w:rFonts w:ascii="Times New Roman" w:hAnsi="Times New Roman"/>
          <w:sz w:val="20"/>
        </w:rPr>
      </w:pPr>
      <w:r>
        <w:rPr>
          <w:rFonts w:ascii="Times New Roman" w:hAnsi="Times New Roman"/>
          <w:sz w:val="20"/>
        </w:rPr>
        <w:t xml:space="preserve">/s/ RSM US LLP </w:t>
      </w:r>
    </w:p>
    <w:p>
      <w:pPr>
        <w:pStyle w:val="TextBody"/>
        <w:bidi w:val="0"/>
        <w:spacing w:before="240" w:after="0"/>
        <w:jc w:val="left"/>
        <w:rPr>
          <w:rFonts w:ascii="Times New Roman" w:hAnsi="Times New Roman"/>
          <w:sz w:val="20"/>
        </w:rPr>
      </w:pPr>
      <w:r>
        <w:rPr>
          <w:rFonts w:ascii="Times New Roman" w:hAnsi="Times New Roman"/>
          <w:sz w:val="20"/>
        </w:rPr>
        <w:t xml:space="preserve">Chicago, Illinois </w:t>
      </w:r>
    </w:p>
    <w:p>
      <w:pPr>
        <w:pStyle w:val="TextBody"/>
        <w:bidi w:val="0"/>
        <w:spacing w:before="0" w:after="0"/>
        <w:jc w:val="left"/>
        <w:rPr>
          <w:rFonts w:ascii="Times New Roman" w:hAnsi="Times New Roman"/>
          <w:sz w:val="20"/>
        </w:rPr>
      </w:pPr>
      <w:r>
        <w:rPr>
          <w:rFonts w:ascii="Times New Roman" w:hAnsi="Times New Roman"/>
          <w:sz w:val="20"/>
        </w:rPr>
        <w:t xml:space="preserve">December 1, 2023 </w:t>
      </w:r>
    </w:p>
    <w:p>
      <w:pPr>
        <w:pStyle w:val="TextBody"/>
        <w:bidi w:val="0"/>
        <w:spacing w:before="0" w:after="0"/>
        <w:jc w:val="right"/>
        <w:rPr>
          <w:rFonts w:ascii="Times New Roman" w:hAnsi="Times New Roman"/>
          <w:b/>
          <w:sz w:val="20"/>
        </w:rPr>
      </w:pPr>
      <w:bookmarkStart w:id="11" w:name="d620990dexfilingfees.htm"/>
      <w:bookmarkStart w:id="12" w:name="ksd620990dexfilingfees"/>
      <w:bookmarkEnd w:id="11"/>
      <w:bookmarkEnd w:id="12"/>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4"/>
        </w:rPr>
      </w:pPr>
      <w:r>
        <w:rPr>
          <w:rFonts w:ascii="Times New Roman" w:hAnsi="Times New Roman"/>
          <w:b/>
          <w:sz w:val="24"/>
        </w:rPr>
        <w:t xml:space="preserve">Calculation of Filing Fee Table </w:t>
      </w:r>
    </w:p>
    <w:p>
      <w:pPr>
        <w:pStyle w:val="TextBody"/>
        <w:bidi w:val="0"/>
        <w:spacing w:before="0" w:after="0"/>
        <w:jc w:val="center"/>
        <w:rPr>
          <w:rFonts w:ascii="Times New Roman" w:hAnsi="Times New Roman"/>
          <w:b/>
          <w:sz w:val="24"/>
        </w:rPr>
      </w:pPr>
      <w:r>
        <w:rPr>
          <w:rFonts w:ascii="Times New Roman" w:hAnsi="Times New Roman"/>
          <w:b/>
          <w:sz w:val="24"/>
        </w:rPr>
        <w:t xml:space="preserve">Form S-8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0" w:after="0"/>
        <w:jc w:val="center"/>
        <w:rPr>
          <w:rFonts w:ascii="Times New Roman" w:hAnsi="Times New Roman"/>
          <w:b/>
          <w:sz w:val="24"/>
        </w:rPr>
      </w:pPr>
      <w:r>
        <w:rPr>
          <w:rFonts w:ascii="Times New Roman" w:hAnsi="Times New Roman"/>
          <w:b/>
          <w:sz w:val="24"/>
        </w:rPr>
        <w:t xml:space="preserve">Bakkt Holdings, Inc.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Table 1 - Newly Registered Securities </w:t>
      </w:r>
    </w:p>
    <w:p>
      <w:pPr>
        <w:pStyle w:val="TextBody"/>
        <w:bidi w:val="0"/>
        <w:spacing w:before="0" w:after="0"/>
        <w:jc w:val="left"/>
        <w:rPr/>
      </w:pPr>
      <w:r>
        <w:rPr/>
        <w:t> </w:t>
      </w:r>
    </w:p>
    <w:tbl>
      <w:tblPr>
        <w:tblW w:w="9670" w:type="dxa"/>
        <w:jc w:val="center"/>
        <w:tblInd w:w="0" w:type="dxa"/>
        <w:tblLayout w:type="fixed"/>
        <w:tblCellMar>
          <w:top w:w="0" w:type="dxa"/>
          <w:left w:w="0" w:type="dxa"/>
          <w:bottom w:w="0" w:type="dxa"/>
          <w:right w:w="0" w:type="dxa"/>
        </w:tblCellMar>
      </w:tblPr>
      <w:tblGrid>
        <w:gridCol w:w="650"/>
        <w:gridCol w:w="60"/>
        <w:gridCol w:w="905"/>
        <w:gridCol w:w="60"/>
        <w:gridCol w:w="695"/>
        <w:gridCol w:w="60"/>
        <w:gridCol w:w="1370"/>
        <w:gridCol w:w="60"/>
        <w:gridCol w:w="830"/>
        <w:gridCol w:w="60"/>
        <w:gridCol w:w="1520"/>
        <w:gridCol w:w="60"/>
        <w:gridCol w:w="2300"/>
        <w:gridCol w:w="60"/>
        <w:gridCol w:w="980"/>
      </w:tblGrid>
      <w:tr>
        <w:trPr/>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65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6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3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650" w:type="dxa"/>
            <w:tcBorders>
              <w:left w:val="single" w:sz="2" w:space="0" w:color="000000"/>
            </w:tcBorders>
            <w:tcMar>
              <w:left w:w="160" w:type="dxa"/>
            </w:tcMar>
            <w:vAlign w:val="bottom"/>
          </w:tcPr>
          <w:p>
            <w:pPr>
              <w:pStyle w:val="TableContents"/>
              <w:bidi w:val="0"/>
              <w:spacing w:before="0" w:after="0"/>
              <w:jc w:val="center"/>
              <w:rPr>
                <w:rFonts w:ascii="Times New Roman" w:hAnsi="Times New Roman"/>
                <w:sz w:val="14"/>
              </w:rPr>
            </w:pPr>
            <w:r>
              <w:rPr>
                <w:rFonts w:ascii="Times New Roman" w:hAnsi="Times New Roman"/>
                <w:sz w:val="14"/>
              </w:rPr>
              <w:t>Security</w:t>
            </w:r>
          </w:p>
          <w:p>
            <w:pPr>
              <w:pStyle w:val="TableContents"/>
              <w:bidi w:val="0"/>
              <w:spacing w:before="0" w:after="20"/>
              <w:jc w:val="center"/>
              <w:rPr>
                <w:rFonts w:ascii="Times New Roman" w:hAnsi="Times New Roman"/>
                <w:sz w:val="14"/>
              </w:rPr>
            </w:pPr>
            <w:r>
              <w:rPr>
                <w:rFonts w:ascii="Times New Roman" w:hAnsi="Times New Roman"/>
                <w:sz w:val="14"/>
              </w:rP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Security</w:t>
            </w:r>
          </w:p>
          <w:p>
            <w:pPr>
              <w:pStyle w:val="TableContents"/>
              <w:bidi w:val="0"/>
              <w:spacing w:before="0" w:after="0"/>
              <w:jc w:val="center"/>
              <w:rPr>
                <w:rFonts w:ascii="Times New Roman" w:hAnsi="Times New Roman"/>
                <w:sz w:val="14"/>
              </w:rPr>
            </w:pPr>
            <w:r>
              <w:rPr>
                <w:rFonts w:ascii="Times New Roman" w:hAnsi="Times New Roman"/>
                <w:sz w:val="14"/>
              </w:rPr>
              <w:t>Class</w:t>
            </w:r>
          </w:p>
          <w:p>
            <w:pPr>
              <w:pStyle w:val="TableContents"/>
              <w:bidi w:val="0"/>
              <w:spacing w:before="0" w:after="20"/>
              <w:jc w:val="center"/>
              <w:rPr>
                <w:rFonts w:ascii="Times New Roman" w:hAnsi="Times New Roman"/>
                <w:sz w:val="14"/>
              </w:rPr>
            </w:pPr>
            <w:r>
              <w:rPr>
                <w:rFonts w:ascii="Times New Roman" w:hAnsi="Times New Roman"/>
                <w:sz w:val="14"/>
              </w:rPr>
              <w:t>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Fee</w:t>
            </w:r>
          </w:p>
          <w:p>
            <w:pPr>
              <w:pStyle w:val="TableContents"/>
              <w:bidi w:val="0"/>
              <w:spacing w:before="0" w:after="0"/>
              <w:jc w:val="center"/>
              <w:rPr>
                <w:rFonts w:ascii="Times New Roman" w:hAnsi="Times New Roman"/>
                <w:sz w:val="14"/>
              </w:rPr>
            </w:pPr>
            <w:r>
              <w:rPr>
                <w:rFonts w:ascii="Times New Roman" w:hAnsi="Times New Roman"/>
                <w:sz w:val="14"/>
              </w:rPr>
              <w:t>Calculation</w:t>
            </w:r>
          </w:p>
          <w:p>
            <w:pPr>
              <w:pStyle w:val="TableContents"/>
              <w:bidi w:val="0"/>
              <w:spacing w:before="0" w:after="20"/>
              <w:jc w:val="center"/>
              <w:rPr>
                <w:rFonts w:ascii="Times New Roman" w:hAnsi="Times New Roman"/>
                <w:sz w:val="14"/>
              </w:rPr>
            </w:pPr>
            <w:r>
              <w:rPr>
                <w:rFonts w:ascii="Times New Roman" w:hAnsi="Times New Roman"/>
                <w:sz w:val="14"/>
              </w:rP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Amount</w:t>
            </w:r>
          </w:p>
          <w:p>
            <w:pPr>
              <w:pStyle w:val="TableContents"/>
              <w:bidi w:val="0"/>
              <w:spacing w:before="0" w:after="20"/>
              <w:jc w:val="center"/>
              <w:rPr>
                <w:rFonts w:ascii="Times New Roman" w:hAnsi="Times New Roman"/>
                <w:sz w:val="14"/>
              </w:rPr>
            </w:pPr>
            <w:r>
              <w:rPr>
                <w:rFonts w:ascii="Times New Roman" w:hAnsi="Times New Roman"/>
                <w:sz w:val="14"/>
              </w:rPr>
              <w:t>Registered(1)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Proposed</w:t>
            </w:r>
          </w:p>
          <w:p>
            <w:pPr>
              <w:pStyle w:val="TableContents"/>
              <w:bidi w:val="0"/>
              <w:spacing w:before="0" w:after="0"/>
              <w:jc w:val="center"/>
              <w:rPr>
                <w:rFonts w:ascii="Times New Roman" w:hAnsi="Times New Roman"/>
                <w:sz w:val="14"/>
              </w:rPr>
            </w:pPr>
            <w:r>
              <w:rPr>
                <w:rFonts w:ascii="Times New Roman" w:hAnsi="Times New Roman"/>
                <w:sz w:val="14"/>
              </w:rPr>
              <w:t>Maximum</w:t>
            </w:r>
          </w:p>
          <w:p>
            <w:pPr>
              <w:pStyle w:val="TableContents"/>
              <w:bidi w:val="0"/>
              <w:spacing w:before="0" w:after="0"/>
              <w:jc w:val="center"/>
              <w:rPr>
                <w:rFonts w:ascii="Times New Roman" w:hAnsi="Times New Roman"/>
                <w:sz w:val="14"/>
              </w:rPr>
            </w:pPr>
            <w:r>
              <w:rPr>
                <w:rFonts w:ascii="Times New Roman" w:hAnsi="Times New Roman"/>
                <w:sz w:val="14"/>
              </w:rPr>
              <w:t>Offering</w:t>
            </w:r>
          </w:p>
          <w:p>
            <w:pPr>
              <w:pStyle w:val="TableContents"/>
              <w:bidi w:val="0"/>
              <w:spacing w:before="0" w:after="0"/>
              <w:jc w:val="center"/>
              <w:rPr>
                <w:rFonts w:ascii="Times New Roman" w:hAnsi="Times New Roman"/>
                <w:sz w:val="14"/>
              </w:rPr>
            </w:pPr>
            <w:r>
              <w:rPr>
                <w:rFonts w:ascii="Times New Roman" w:hAnsi="Times New Roman"/>
                <w:sz w:val="14"/>
              </w:rPr>
              <w:t>Price Per</w:t>
            </w:r>
          </w:p>
          <w:p>
            <w:pPr>
              <w:pStyle w:val="TableContents"/>
              <w:bidi w:val="0"/>
              <w:spacing w:before="0" w:after="20"/>
              <w:jc w:val="center"/>
              <w:rPr>
                <w:rFonts w:ascii="Times New Roman" w:hAnsi="Times New Roman"/>
                <w:sz w:val="14"/>
              </w:rPr>
            </w:pPr>
            <w:r>
              <w:rPr>
                <w:rFonts w:ascii="Times New Roman" w:hAnsi="Times New Roman"/>
                <w:sz w:val="14"/>
              </w:rPr>
              <w:t>Unit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Maximum</w:t>
            </w:r>
          </w:p>
          <w:p>
            <w:pPr>
              <w:pStyle w:val="TableContents"/>
              <w:bidi w:val="0"/>
              <w:spacing w:before="0" w:after="0"/>
              <w:jc w:val="center"/>
              <w:rPr>
                <w:rFonts w:ascii="Times New Roman" w:hAnsi="Times New Roman"/>
                <w:sz w:val="14"/>
              </w:rPr>
            </w:pPr>
            <w:r>
              <w:rPr>
                <w:rFonts w:ascii="Times New Roman" w:hAnsi="Times New Roman"/>
                <w:sz w:val="14"/>
              </w:rPr>
              <w:t>Aggregate</w:t>
            </w:r>
          </w:p>
          <w:p>
            <w:pPr>
              <w:pStyle w:val="TableContents"/>
              <w:bidi w:val="0"/>
              <w:spacing w:before="0" w:after="0"/>
              <w:jc w:val="center"/>
              <w:rPr>
                <w:rFonts w:ascii="Times New Roman" w:hAnsi="Times New Roman"/>
                <w:sz w:val="14"/>
              </w:rPr>
            </w:pPr>
            <w:r>
              <w:rPr>
                <w:rFonts w:ascii="Times New Roman" w:hAnsi="Times New Roman"/>
                <w:sz w:val="14"/>
              </w:rPr>
              <w:t>Offering</w:t>
            </w:r>
          </w:p>
          <w:p>
            <w:pPr>
              <w:pStyle w:val="TableContents"/>
              <w:bidi w:val="0"/>
              <w:spacing w:before="0" w:after="20"/>
              <w:jc w:val="center"/>
              <w:rPr>
                <w:rFonts w:ascii="Times New Roman" w:hAnsi="Times New Roman"/>
                <w:sz w:val="14"/>
              </w:rPr>
            </w:pPr>
            <w:r>
              <w:rPr>
                <w:rFonts w:ascii="Times New Roman" w:hAnsi="Times New Roman"/>
                <w:sz w:val="14"/>
              </w:rPr>
              <w:t>Price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Fee</w:t>
            </w:r>
          </w:p>
          <w:p>
            <w:pPr>
              <w:pStyle w:val="TableContents"/>
              <w:bidi w:val="0"/>
              <w:spacing w:before="0" w:after="20"/>
              <w:jc w:val="center"/>
              <w:rPr>
                <w:rFonts w:ascii="Times New Roman" w:hAnsi="Times New Roman"/>
                <w:sz w:val="14"/>
              </w:rPr>
            </w:pPr>
            <w:r>
              <w:rPr>
                <w:rFonts w:ascii="Times New Roman" w:hAnsi="Times New Roman"/>
                <w:sz w:val="14"/>
              </w:rPr>
              <w:t>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right w:val="single" w:sz="2" w:space="0" w:color="000000"/>
            </w:tcBorders>
            <w:tcMar>
              <w:right w:w="40" w:type="dxa"/>
            </w:tcMar>
            <w:vAlign w:val="bottom"/>
          </w:tcPr>
          <w:p>
            <w:pPr>
              <w:pStyle w:val="TableContents"/>
              <w:bidi w:val="0"/>
              <w:spacing w:before="0" w:after="0"/>
              <w:jc w:val="center"/>
              <w:rPr>
                <w:rFonts w:ascii="Times New Roman" w:hAnsi="Times New Roman"/>
                <w:sz w:val="14"/>
              </w:rPr>
            </w:pPr>
            <w:r>
              <w:rPr>
                <w:rFonts w:ascii="Times New Roman" w:hAnsi="Times New Roman"/>
                <w:sz w:val="14"/>
              </w:rPr>
              <w:t>Amount of</w:t>
            </w:r>
          </w:p>
          <w:p>
            <w:pPr>
              <w:pStyle w:val="TableContents"/>
              <w:bidi w:val="0"/>
              <w:spacing w:before="0" w:after="0"/>
              <w:jc w:val="center"/>
              <w:rPr>
                <w:rFonts w:ascii="Times New Roman" w:hAnsi="Times New Roman"/>
                <w:sz w:val="14"/>
              </w:rPr>
            </w:pPr>
            <w:r>
              <w:rPr>
                <w:rFonts w:ascii="Times New Roman" w:hAnsi="Times New Roman"/>
                <w:sz w:val="14"/>
              </w:rPr>
              <w:t>Registration</w:t>
            </w:r>
          </w:p>
          <w:p>
            <w:pPr>
              <w:pStyle w:val="TableContents"/>
              <w:bidi w:val="0"/>
              <w:spacing w:before="0" w:after="20"/>
              <w:jc w:val="center"/>
              <w:rPr>
                <w:rFonts w:ascii="Times New Roman" w:hAnsi="Times New Roman"/>
                <w:sz w:val="14"/>
              </w:rPr>
            </w:pPr>
            <w:r>
              <w:rPr>
                <w:rFonts w:ascii="Times New Roman" w:hAnsi="Times New Roman"/>
                <w:sz w:val="14"/>
              </w:rPr>
              <w:t>Fee</w:t>
            </w:r>
          </w:p>
        </w:tc>
      </w:tr>
      <w:tr>
        <w:trPr>
          <w:trHeight w:val="15" w:hRule="atLeast"/>
        </w:trPr>
        <w:tc>
          <w:tcPr>
            <w:tcW w:w="65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6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3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650" w:type="dxa"/>
            <w:tcBorders>
              <w:left w:val="single" w:sz="2" w:space="0" w:color="000000"/>
            </w:tcBorders>
            <w:tcMar>
              <w:left w:w="160" w:type="dxa"/>
            </w:tcMar>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center"/>
              <w:rPr/>
            </w:pPr>
            <w:r>
              <w:rPr/>
              <w:t>Class A Common stock, par value $0.0001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center"/>
              <w:rPr/>
            </w:pPr>
            <w:r>
              <w:rPr/>
              <w:t>Rule 457(c) and Rule 457(h)</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center"/>
              <w:rPr/>
            </w:pPr>
            <w:r>
              <w:rPr/>
              <w:t>26,590,466(2)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center"/>
              <w:rPr/>
            </w:pPr>
            <w:r>
              <w:rPr/>
              <w:t>$1.78(3)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pPr>
            <w:r>
              <w:rPr/>
              <w:t>$47,331,029.48</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center"/>
              <w:rPr/>
            </w:pPr>
            <w:r>
              <w:rPr/>
              <w:t>$147.60 per $1,000,000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right w:val="single" w:sz="2" w:space="0" w:color="000000"/>
            </w:tcBorders>
            <w:tcMar>
              <w:right w:w="40" w:type="dxa"/>
            </w:tcMar>
            <w:vAlign w:val="bottom"/>
          </w:tcPr>
          <w:p>
            <w:pPr>
              <w:pStyle w:val="TableContents"/>
              <w:bidi w:val="0"/>
              <w:spacing w:before="0" w:after="283"/>
              <w:jc w:val="center"/>
              <w:rPr/>
            </w:pPr>
            <w:r>
              <w:rPr/>
              <w:t>$6,986.06</w:t>
            </w:r>
          </w:p>
        </w:tc>
      </w:tr>
      <w:tr>
        <w:trPr>
          <w:trHeight w:val="15" w:hRule="atLeast"/>
        </w:trPr>
        <w:tc>
          <w:tcPr>
            <w:tcW w:w="3800"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3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00" w:type="dxa"/>
            <w:gridSpan w:val="7"/>
            <w:tcBorders>
              <w:left w:val="single" w:sz="2" w:space="0" w:color="000000"/>
            </w:tcBorders>
            <w:tcMar>
              <w:left w:w="160" w:type="dxa"/>
            </w:tcMar>
          </w:tcPr>
          <w:p>
            <w:pPr>
              <w:pStyle w:val="TableContents"/>
              <w:bidi w:val="0"/>
              <w:spacing w:before="0" w:after="283"/>
              <w:jc w:val="center"/>
              <w:rPr/>
            </w:pPr>
            <w:r>
              <w:rPr/>
              <w:t>Total Offering Amounts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pPr>
            <w:r>
              <w:rPr/>
              <w:t>$47,331,029.48</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right w:val="single" w:sz="2" w:space="0" w:color="000000"/>
            </w:tcBorders>
            <w:tcMar>
              <w:right w:w="40" w:type="dxa"/>
            </w:tcMar>
            <w:vAlign w:val="bottom"/>
          </w:tcPr>
          <w:p>
            <w:pPr>
              <w:pStyle w:val="TableContents"/>
              <w:bidi w:val="0"/>
              <w:spacing w:before="0" w:after="283"/>
              <w:jc w:val="center"/>
              <w:rPr/>
            </w:pPr>
            <w:r>
              <w:rPr/>
              <w:t>$6,986.06</w:t>
            </w:r>
          </w:p>
        </w:tc>
      </w:tr>
      <w:tr>
        <w:trPr>
          <w:trHeight w:val="15" w:hRule="atLeast"/>
        </w:trPr>
        <w:tc>
          <w:tcPr>
            <w:tcW w:w="3800"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3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00" w:type="dxa"/>
            <w:gridSpan w:val="7"/>
            <w:tcBorders>
              <w:left w:val="single" w:sz="2" w:space="0" w:color="000000"/>
            </w:tcBorders>
            <w:tcMar>
              <w:left w:w="160" w:type="dxa"/>
            </w:tcMar>
          </w:tcPr>
          <w:p>
            <w:pPr>
              <w:pStyle w:val="TableContents"/>
              <w:bidi w:val="0"/>
              <w:spacing w:before="0" w:after="283"/>
              <w:jc w:val="center"/>
              <w:rPr/>
            </w:pPr>
            <w:r>
              <w:rPr/>
              <w:t>Total Fee Offsets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right w:val="single" w:sz="2" w:space="0" w:color="000000"/>
            </w:tcBorders>
            <w:tcMar>
              <w:right w:w="40" w:type="dxa"/>
            </w:tcMar>
            <w:vAlign w:val="bottom"/>
          </w:tcPr>
          <w:p>
            <w:pPr>
              <w:pStyle w:val="TableContents"/>
              <w:bidi w:val="0"/>
              <w:spacing w:before="0" w:after="283"/>
              <w:jc w:val="center"/>
              <w:rPr/>
            </w:pPr>
            <w:r>
              <w:rPr/>
              <w:t>  </w:t>
            </w:r>
          </w:p>
        </w:tc>
      </w:tr>
      <w:tr>
        <w:trPr>
          <w:trHeight w:val="15" w:hRule="atLeast"/>
        </w:trPr>
        <w:tc>
          <w:tcPr>
            <w:tcW w:w="3800"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3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00" w:type="dxa"/>
            <w:gridSpan w:val="7"/>
            <w:tcBorders>
              <w:left w:val="single" w:sz="2" w:space="0" w:color="000000"/>
              <w:bottom w:val="single" w:sz="2" w:space="0" w:color="000000"/>
            </w:tcBorders>
            <w:tcMar>
              <w:left w:w="160" w:type="dxa"/>
              <w:bottom w:w="28" w:type="dxa"/>
            </w:tcMar>
          </w:tcPr>
          <w:p>
            <w:pPr>
              <w:pStyle w:val="TableContents"/>
              <w:bidi w:val="0"/>
              <w:spacing w:before="0" w:after="283"/>
              <w:jc w:val="center"/>
              <w:rPr/>
            </w:pPr>
            <w:r>
              <w:rPr/>
              <w:t>Net Fee Due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3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0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8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$6,986.06</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Registration Statement covers shares of Class A common stock, $0.0001 par value per share, of Bakkt Holdings, Inc., or the Registrant, authorized for issuance pursuant to the Registrants 2021 Omnibus Incentive Plan (the Plan). Pursuant to Rule 416(a) of the Securities Act of 1933, as amended (the Securities Act), this Registration Statement also covers any additional shares that may become issuable under the Plan by reason of any substitutions or adjustments to shares to account for any change in corporate capitalization, such as a merger, consolidation, reorganization, recapitalization, separation, partial or complete liquidation, stock dividend, stock split, reverse stock split, split up, spin-off or other distribution of stock or property of the Registrant, combination or exchange of shares, dividend in kind or other like change in capital 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Registration Statement registers 26,590,466 shares of Class A common stock for issuance pursuant to the Plan. In accordance with Rule 416 under the Securities Act, this Registration Statement shall be deemed to cover an indeterminate number of additional shares of Class A common stock, as may be issuable pursuant to future stock dividends, stock splits, or similar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solely for the purpose of calculating the registration fee pursuant to Rules 457(c) and (h) under the Securities Act, based on the average of the high ($1.85) and low ($1.71) prices of the Registrants Class A common stock as reporting on the New York Stock Exchange, which was $1.78 on November 28, 2023.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0001820302/000182030223000016/bakkt-20221231.htm" TargetMode="External"/><Relationship Id="rId3" Type="http://schemas.openxmlformats.org/officeDocument/2006/relationships/hyperlink" Target="http://www.sec.gov/Archives/edgar/data/1820302/000182030223000043/bakkt-2023proxy41923.htm" TargetMode="External"/><Relationship Id="rId4" Type="http://schemas.openxmlformats.org/officeDocument/2006/relationships/hyperlink" Target="http://www.sec.gov/Archives/edgar/data/../../../ix?doc=/Archives/edgar/data/0001820302/000182030223000062/bakkt-20230331.htm" TargetMode="External"/><Relationship Id="rId5" Type="http://schemas.openxmlformats.org/officeDocument/2006/relationships/hyperlink" Target="http://www.sec.gov/Archives/edgar/data/../../../ix?doc=/Archives/edgar/data/0001820302/000182030223000080/bakkt-20230630.htm" TargetMode="External"/><Relationship Id="rId6" Type="http://schemas.openxmlformats.org/officeDocument/2006/relationships/hyperlink" Target="http://www.sec.gov/Archives/edgar/data/../../../ix?doc=/Archives/edgar/data/0001820302/000182030223000091/bakkt-20230930.htm" TargetMode="External"/><Relationship Id="rId7" Type="http://schemas.openxmlformats.org/officeDocument/2006/relationships/hyperlink" Target="http://www.sec.gov/Archives/edgar/data/1820302/000119312521299620/d211377d8a12b.htm" TargetMode="External"/><Relationship Id="rId8" Type="http://schemas.openxmlformats.org/officeDocument/2006/relationships/hyperlink" Target="http://www.sec.gov/Archives/edgar/data/1820302/000182030222000005/a46-descriptionofsecurit.htm" TargetMode="External"/><Relationship Id="rId9" Type="http://schemas.openxmlformats.org/officeDocument/2006/relationships/hyperlink" Target="http://www.sec.gov/Archives/edgar/data/1820302/000119312521303985/d219325dex31.htm" TargetMode="External"/><Relationship Id="rId10" Type="http://schemas.openxmlformats.org/officeDocument/2006/relationships/hyperlink" Target="http://www.sec.gov/Archives/edgar/data/1820302/000119312521303985/d219325dex32.htm" TargetMode="External"/><Relationship Id="rId11" Type="http://schemas.openxmlformats.org/officeDocument/2006/relationships/hyperlink" Target="http://www.sec.gov/Archives/edgar/data/1820302/000119312521303985/d219325dex41.htm" TargetMode="External"/><Relationship Id="rId12" Type="http://schemas.openxmlformats.org/officeDocument/2006/relationships/hyperlink" Target="http://www.sec.gov/Archives/edgar/data/1820302/000119312521303985/d219325dex109.htm" TargetMode="External"/><Relationship Id="rId13" Type="http://schemas.openxmlformats.org/officeDocument/2006/relationships/hyperlink" Target="http://www.sec.gov/Archives/edgar/data/1820302/000182030222000005/a1011-formofrsuagreement.htm" TargetMode="External"/><Relationship Id="rId14" Type="http://schemas.openxmlformats.org/officeDocument/2006/relationships/hyperlink" Target="http://www.sec.gov/Archives/edgar/data/1820302/000182030223000062/exhibit102formofrsuagreeme.htm" TargetMode="External"/><Relationship Id="rId15" Type="http://schemas.openxmlformats.org/officeDocument/2006/relationships/hyperlink" Target="http://www.sec.gov/Archives/edgar/data/1820302/000182030223000062/exhibit101bakkt-formofpsua.htm" TargetMode="External"/><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3287</Words>
  <Characters>17168</Characters>
  <CharactersWithSpaces>20456</CharactersWithSpaces>
  <Paragraphs>454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