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231140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246380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240030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VPC Impact Acquisition Holdings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780" w:type="dxa"/>
            <w:vAlign w:val="bottom"/>
          </w:tcPr>
          <w:p>
            <w:pPr>
              <w:jc w:val="center"/>
              <w:ind w:left="1562"/>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7"/>
        </w:trPr>
        <w:tc>
          <w:tcPr>
            <w:tcW w:w="3640" w:type="dxa"/>
            <w:vAlign w:val="bottom"/>
          </w:tcPr>
          <w:p>
            <w:pPr>
              <w:jc w:val="center"/>
              <w:ind w:right="1919"/>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500"/>
              <w:spacing w:after="0" w:line="14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0"/>
        </w:trPr>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Victory Park Capital Advisors, LLC</w:t>
            </w:r>
          </w:p>
        </w:tc>
        <w:tc>
          <w:tcPr>
            <w:tcW w:w="22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4"/>
        </w:trPr>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150 North Riverside Plaza, Suite 5200</w:t>
            </w:r>
          </w:p>
        </w:tc>
        <w:tc>
          <w:tcPr>
            <w:tcW w:w="22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5"/>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8"/>
              </w:rPr>
              <w:t>Chicago, IL</w:t>
            </w:r>
          </w:p>
        </w:tc>
        <w:tc>
          <w:tcPr>
            <w:tcW w:w="2280" w:type="dxa"/>
            <w:vAlign w:val="bottom"/>
          </w:tcPr>
          <w:p>
            <w:pPr>
              <w:spacing w:after="0"/>
              <w:rPr>
                <w:sz w:val="19"/>
                <w:szCs w:val="19"/>
                <w:color w:val="auto"/>
              </w:rPr>
            </w:pPr>
          </w:p>
        </w:tc>
        <w:tc>
          <w:tcPr>
            <w:tcW w:w="2780" w:type="dxa"/>
            <w:vAlign w:val="bottom"/>
          </w:tcPr>
          <w:p>
            <w:pPr>
              <w:jc w:val="right"/>
              <w:ind w:right="1162"/>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187"/>
        </w:trPr>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7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701-1777</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216535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4" w:lineRule="exact"/>
        <w:rPr>
          <w:sz w:val="24"/>
          <w:szCs w:val="24"/>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3" w:lineRule="exact"/>
        <w:rPr>
          <w:rFonts w:ascii="MS PGothic" w:cs="MS PGothic" w:eastAsia="MS PGothic" w:hAnsi="MS PGothic"/>
          <w:sz w:val="18"/>
          <w:szCs w:val="18"/>
          <w:color w:val="auto"/>
        </w:rPr>
      </w:pPr>
    </w:p>
    <w:p>
      <w:pPr>
        <w:ind w:right="2740" w:firstLine="7"/>
        <w:spacing w:after="0" w:line="402" w:lineRule="auto"/>
        <w:tabs>
          <w:tab w:leader="none" w:pos="2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840" w:type="dxa"/>
            <w:vAlign w:val="bottom"/>
            <w:gridSpan w:val="2"/>
            <w:vMerge w:val="continue"/>
          </w:tcPr>
          <w:p>
            <w:pPr>
              <w:spacing w:after="0"/>
              <w:rPr>
                <w:sz w:val="16"/>
                <w:szCs w:val="16"/>
                <w:color w:val="auto"/>
              </w:rPr>
            </w:pP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5"/>
        </w:trPr>
        <w:tc>
          <w:tcPr>
            <w:tcW w:w="37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Units, each consisting of one Class A ordinary</w:t>
            </w:r>
          </w:p>
        </w:tc>
        <w:tc>
          <w:tcPr>
            <w:tcW w:w="120" w:type="dxa"/>
            <w:vAlign w:val="bottom"/>
          </w:tcPr>
          <w:p>
            <w:pPr>
              <w:spacing w:after="0"/>
              <w:rPr>
                <w:sz w:val="16"/>
                <w:szCs w:val="16"/>
                <w:color w:val="auto"/>
              </w:rPr>
            </w:pPr>
          </w:p>
        </w:tc>
        <w:tc>
          <w:tcPr>
            <w:tcW w:w="34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VIHAU</w:t>
            </w:r>
          </w:p>
        </w:tc>
        <w:tc>
          <w:tcPr>
            <w:tcW w:w="100" w:type="dxa"/>
            <w:vAlign w:val="bottom"/>
          </w:tcPr>
          <w:p>
            <w:pPr>
              <w:spacing w:after="0"/>
              <w:rPr>
                <w:sz w:val="16"/>
                <w:szCs w:val="16"/>
                <w:color w:val="auto"/>
              </w:rPr>
            </w:pPr>
          </w:p>
        </w:tc>
        <w:tc>
          <w:tcPr>
            <w:tcW w:w="35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share,</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$0.0001 par value, and one-half of one Warrant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 purchase one Class A ordinary share</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ordinary shares, $0.0001 par value per</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VIH</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 to purchase Class A ordinary shares</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VIHAW</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ind w:right="300"/>
        <w:spacing w:after="0" w:line="27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6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Item 1.01 Entry into a Material Definitive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18"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On January 11, 2021, VPC Impact Acquisition Holdings, a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Pylon Merger Company LLC, a Delaware limited liability company and a direct wholly-owned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6"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The Merger Agreement provides that, among other things and upon the terms and subject to the conditions thereof, the following transactions will occur (together with the other agreements and transactions contemplated by the Merger Agreement,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firstLine="444"/>
        <w:spacing w:after="0" w:line="263" w:lineRule="auto"/>
        <w:tabs>
          <w:tab w:leader="none" w:pos="6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in accordance with the Delaware Limited Liability Company Act, as amended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Merger Sub will merge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and into Bakkt, the separate corporate existence of Merger Sub will cease and Bakkt will be the surviving limited liability company, to be renamed Bakkt Opco Holdings, LLC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560" w:firstLine="444"/>
        <w:spacing w:after="0" w:line="278" w:lineRule="auto"/>
        <w:tabs>
          <w:tab w:leader="none" w:pos="6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 of the PIPE Investment (as defined below) and the effective time of the Merger, in connection with the Domestication described below, VIH will be renamed “Bakkt Holdings, Inc.” (referred to hereinafter as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and</w:t>
      </w:r>
    </w:p>
    <w:p>
      <w:pPr>
        <w:spacing w:after="0" w:line="55" w:lineRule="exact"/>
        <w:rPr>
          <w:rFonts w:ascii="Times New Roman" w:cs="Times New Roman" w:eastAsia="Times New Roman" w:hAnsi="Times New Roman"/>
          <w:sz w:val="18"/>
          <w:szCs w:val="18"/>
          <w:color w:val="auto"/>
        </w:rPr>
      </w:pPr>
    </w:p>
    <w:p>
      <w:pPr>
        <w:ind w:right="20" w:firstLine="444"/>
        <w:spacing w:after="0" w:line="263" w:lineRule="auto"/>
        <w:tabs>
          <w:tab w:leader="none" w:pos="7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the aggregate consideration to be received in respect of the Merger by all of the Bakkt interest holders will be an aggregate of 208,200,000 common units of Bakkt Opco (“</w:t>
      </w:r>
      <w:r>
        <w:rPr>
          <w:rFonts w:ascii="Times New Roman" w:cs="Times New Roman" w:eastAsia="Times New Roman" w:hAnsi="Times New Roman"/>
          <w:sz w:val="18"/>
          <w:szCs w:val="18"/>
          <w:u w:val="single" w:color="auto"/>
          <w:color w:val="auto"/>
        </w:rPr>
        <w:t>Bakkt Opco Units</w:t>
      </w:r>
      <w:r>
        <w:rPr>
          <w:rFonts w:ascii="Times New Roman" w:cs="Times New Roman" w:eastAsia="Times New Roman" w:hAnsi="Times New Roman"/>
          <w:sz w:val="18"/>
          <w:szCs w:val="18"/>
          <w:color w:val="auto"/>
        </w:rPr>
        <w:t>”) and 208,200,000 shares of class V common stock of Bakkt PubCo, which will be non-economic, voting shares of Bakkt Pubco.</w:t>
      </w:r>
    </w:p>
    <w:p>
      <w:pPr>
        <w:spacing w:after="0" w:line="175"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The board of directors of VIH has unanimously (i) approved and declared advisable the Merger Agreement, the Proposed Transaction and the other transactions contemplated thereby and (ii) resolved to recommend approval of the Merger Agreement and related matters by the shareholders of VIH.</w:t>
      </w:r>
    </w:p>
    <w:p>
      <w:pPr>
        <w:sectPr>
          <w:pgSz w:w="11900" w:h="16838" w:orient="portrait"/>
          <w:cols w:equalWidth="0" w:num="1">
            <w:col w:w="10900"/>
          </w:cols>
          <w:pgMar w:left="480" w:top="2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Domestication</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Prior to the Closing, subject to the approval of VIH’s shareholders, and in accordance with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 Companies Act (2020 Revision)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and VIH’s Amended and Restated Memorandum and Articles of Association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Constitutional Documents</w:t>
      </w:r>
      <w:r>
        <w:rPr>
          <w:rFonts w:ascii="Times New Roman" w:cs="Times New Roman" w:eastAsia="Times New Roman" w:hAnsi="Times New Roman"/>
          <w:sz w:val="18"/>
          <w:szCs w:val="18"/>
          <w:color w:val="auto"/>
        </w:rPr>
        <w:t>”), VIH will effect a deregistration under the CICA and a domestication under Section 388 of the DGCL (by means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filing a certificate of domestication with the Secretary of State of Delaware), pursuant to which VIH’s jurisdiction of incorporation will be changed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Cayman Islands to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and be renamed “Bakkt Holdings, Inc.”.</w:t>
      </w:r>
    </w:p>
    <w:p>
      <w:pPr>
        <w:spacing w:after="0" w:line="202" w:lineRule="exact"/>
        <w:rPr>
          <w:sz w:val="20"/>
          <w:szCs w:val="20"/>
          <w:color w:val="auto"/>
        </w:rPr>
      </w:pPr>
    </w:p>
    <w:p>
      <w:pPr>
        <w:ind w:right="20" w:firstLine="436"/>
        <w:spacing w:after="0" w:line="268" w:lineRule="auto"/>
        <w:rPr>
          <w:sz w:val="20"/>
          <w:szCs w:val="20"/>
          <w:color w:val="auto"/>
        </w:rPr>
      </w:pPr>
      <w:r>
        <w:rPr>
          <w:rFonts w:ascii="Times New Roman" w:cs="Times New Roman" w:eastAsia="Times New Roman" w:hAnsi="Times New Roman"/>
          <w:sz w:val="17"/>
          <w:szCs w:val="17"/>
          <w:color w:val="auto"/>
        </w:rPr>
        <w:t>In connection with the Domestication, (i) each unit of VIH (each a “</w:t>
      </w:r>
      <w:r>
        <w:rPr>
          <w:rFonts w:ascii="Times New Roman" w:cs="Times New Roman" w:eastAsia="Times New Roman" w:hAnsi="Times New Roman"/>
          <w:sz w:val="17"/>
          <w:szCs w:val="17"/>
          <w:u w:val="single" w:color="auto"/>
          <w:color w:val="auto"/>
        </w:rPr>
        <w:t>VIH Unit</w:t>
      </w:r>
      <w:r>
        <w:rPr>
          <w:rFonts w:ascii="Times New Roman" w:cs="Times New Roman" w:eastAsia="Times New Roman" w:hAnsi="Times New Roman"/>
          <w:sz w:val="17"/>
          <w:szCs w:val="17"/>
          <w:color w:val="auto"/>
        </w:rPr>
        <w:t>”) issued and outstanding immediately prior to the Domestication will automatically be separated into the underlying Class A ordinary share, par value $0.0001 per share, of VIH (each a “</w:t>
      </w:r>
      <w:r>
        <w:rPr>
          <w:rFonts w:ascii="Times New Roman" w:cs="Times New Roman" w:eastAsia="Times New Roman" w:hAnsi="Times New Roman"/>
          <w:sz w:val="17"/>
          <w:szCs w:val="17"/>
          <w:u w:val="single" w:color="auto"/>
          <w:color w:val="auto"/>
        </w:rPr>
        <w:t>VIH Class A Ordinary Share</w:t>
      </w:r>
      <w:r>
        <w:rPr>
          <w:rFonts w:ascii="Times New Roman" w:cs="Times New Roman" w:eastAsia="Times New Roman" w:hAnsi="Times New Roman"/>
          <w:sz w:val="17"/>
          <w:szCs w:val="17"/>
          <w:color w:val="auto"/>
        </w:rPr>
        <w:t>”) and one-half of a warrant exercisable for a VIH Class A Ordinary Share (“</w:t>
      </w:r>
      <w:r>
        <w:rPr>
          <w:rFonts w:ascii="Times New Roman" w:cs="Times New Roman" w:eastAsia="Times New Roman" w:hAnsi="Times New Roman"/>
          <w:sz w:val="17"/>
          <w:szCs w:val="17"/>
          <w:u w:val="single" w:color="auto"/>
          <w:color w:val="auto"/>
        </w:rPr>
        <w:t>VIH Warrants</w:t>
      </w:r>
      <w:r>
        <w:rPr>
          <w:rFonts w:ascii="Times New Roman" w:cs="Times New Roman" w:eastAsia="Times New Roman" w:hAnsi="Times New Roman"/>
          <w:sz w:val="17"/>
          <w:szCs w:val="17"/>
          <w:color w:val="auto"/>
        </w:rPr>
        <w:t>”), (ii) each VIH Class A Ordinary Share issued and outstanding immediately prior to the Domestication will remain outstanding and will automatically convert into one share of Class A common stock, par value $0.0001 per share of Bakkt Pubco (each a “</w:t>
      </w:r>
      <w:r>
        <w:rPr>
          <w:rFonts w:ascii="Times New Roman" w:cs="Times New Roman" w:eastAsia="Times New Roman" w:hAnsi="Times New Roman"/>
          <w:sz w:val="17"/>
          <w:szCs w:val="17"/>
          <w:u w:val="single" w:color="auto"/>
          <w:color w:val="auto"/>
        </w:rPr>
        <w:t>Bakkt Pubco Class A Share</w:t>
      </w:r>
      <w:r>
        <w:rPr>
          <w:rFonts w:ascii="Times New Roman" w:cs="Times New Roman" w:eastAsia="Times New Roman" w:hAnsi="Times New Roman"/>
          <w:sz w:val="17"/>
          <w:szCs w:val="17"/>
          <w:color w:val="auto"/>
        </w:rPr>
        <w:t>”) (provided that each VIH Class A Ordinary Share owned by public shareholders who have validly elected to redeem their VIH Class A Ordinary Shares will not be so converted and will entitle the holder thereof to receive only cash in an amount equal to the redemption price), (iii) each Class B ordinary share, par value $0.0001 per share, of VIH issued and outstanding immediately prior to the Domestication shall be automatically converted into one Bakkt Pubco Class A Share, and (iv) each VIH Warrant shall be automatically converted into a redeemable warrant exercisable for one Bakkt Pubco Class A Share (“</w:t>
      </w:r>
      <w:r>
        <w:rPr>
          <w:rFonts w:ascii="Times New Roman" w:cs="Times New Roman" w:eastAsia="Times New Roman" w:hAnsi="Times New Roman"/>
          <w:sz w:val="17"/>
          <w:szCs w:val="17"/>
          <w:u w:val="single" w:color="auto"/>
          <w:color w:val="auto"/>
        </w:rPr>
        <w:t>Bakkt Pubco Warrants</w:t>
      </w:r>
      <w:r>
        <w:rPr>
          <w:rFonts w:ascii="Times New Roman" w:cs="Times New Roman" w:eastAsia="Times New Roman" w:hAnsi="Times New Roman"/>
          <w:sz w:val="17"/>
          <w:szCs w:val="17"/>
          <w:color w:val="auto"/>
        </w:rPr>
        <w:t>”) on the same terms as the VIH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“Up-C” Structure</w:t>
      </w:r>
    </w:p>
    <w:p>
      <w:pPr>
        <w:spacing w:after="0" w:line="116"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w:t>
      </w:r>
      <w:r>
        <w:rPr>
          <w:rFonts w:ascii="Times New Roman" w:cs="Times New Roman" w:eastAsia="Times New Roman" w:hAnsi="Times New Roman"/>
          <w:sz w:val="18"/>
          <w:szCs w:val="18"/>
          <w:u w:val="single" w:color="auto"/>
          <w:color w:val="auto"/>
        </w:rPr>
        <w:t>Bakkt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Beginning on the six-month anniversary of the Closing, the Bakkt Opco Units may be exchanged by the holders thereof, subject to certain conditions, for either one Bakkt Pubco Class A Share or, at the election of the Bakkt Pubco, the cash equivalent of the market value of such Bakkt Pubco Class A Share, pursuant to the terms and conditions of an Exchange Agreement to be entered into at the Closing among Bakkt Pubco and the Bakkt Equity Holders. For each Bakkt Opco Unit so exchanged, one share of the Bakkt Pubco Class V common stock held by such exchanging Bakkt Equity Holder will be canceled by Bakkt Pubco.</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6"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Merger Agreement is subject to the satisfaction or waiver of certain customary closing conditions, including, among others, (i) approval of the Proposed Transaction and related agreements and transactions by the respective shareholders of VIH and members of Bakkt, (ii) effectiveness of the registration statement on Form S-4 to be filed by VIH in connection with the Domestication, (iii) all specified authorizations, consents, orders, approvals, non-objections, declarations, filings or waiting periods having been made, received or expired, and (iv) the absence of any injunctions.</w:t>
      </w:r>
    </w:p>
    <w:p>
      <w:pPr>
        <w:spacing w:after="0" w:line="180" w:lineRule="exact"/>
        <w:rPr>
          <w:sz w:val="20"/>
          <w:szCs w:val="20"/>
          <w:color w:val="auto"/>
        </w:rPr>
      </w:pPr>
    </w:p>
    <w:p>
      <w:pPr>
        <w:ind w:right="20" w:firstLine="436"/>
        <w:spacing w:after="0" w:line="274" w:lineRule="auto"/>
        <w:rPr>
          <w:sz w:val="20"/>
          <w:szCs w:val="20"/>
          <w:color w:val="auto"/>
        </w:rPr>
      </w:pPr>
      <w:r>
        <w:rPr>
          <w:rFonts w:ascii="Times New Roman" w:cs="Times New Roman" w:eastAsia="Times New Roman" w:hAnsi="Times New Roman"/>
          <w:sz w:val="17"/>
          <w:szCs w:val="17"/>
          <w:color w:val="auto"/>
        </w:rPr>
        <w:t>Other conditions to Bakkt’s obligations to consummate the Merger include, among others, that as of the Closing, (i) the Domestication will have been completed, and (ii) the amount of cash available following the extraordinary general meeting of VIH shareholders (the “</w:t>
      </w:r>
      <w:r>
        <w:rPr>
          <w:rFonts w:ascii="Times New Roman" w:cs="Times New Roman" w:eastAsia="Times New Roman" w:hAnsi="Times New Roman"/>
          <w:sz w:val="17"/>
          <w:szCs w:val="17"/>
          <w:u w:val="single" w:color="auto"/>
          <w:color w:val="auto"/>
        </w:rPr>
        <w:t>Available Cash</w:t>
      </w:r>
      <w:r>
        <w:rPr>
          <w:rFonts w:ascii="Times New Roman" w:cs="Times New Roman" w:eastAsia="Times New Roman" w:hAnsi="Times New Roman"/>
          <w:sz w:val="17"/>
          <w:szCs w:val="17"/>
          <w:color w:val="auto"/>
        </w:rPr>
        <w:t>”) (x) in the trust account that holds the proceeds of VIH’s initial public offering (the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after deducting the amount required to satisfy redemptions of VIH Class A Ordinary Shares, if any (but prior to payment of (a) deferred underwriting commissions and (b) transaction expenses of VIH or its affiliates), (y) outside of the Trust Account, and (z) from the gross proceeds of the PIPE Investment (as defined below), is at least $425,000,000.</w:t>
      </w:r>
    </w:p>
    <w:p>
      <w:pPr>
        <w:sectPr>
          <w:pgSz w:w="11900" w:h="16838" w:orient="portrait"/>
          <w:cols w:equalWidth="0" w:num="1">
            <w:col w:w="10920"/>
          </w:cols>
          <w:pgMar w:left="480" w:top="266" w:right="499" w:bottom="1440" w:gutter="0" w:footer="0" w:header="0"/>
        </w:sectPr>
      </w:pPr>
    </w:p>
    <w:bookmarkStart w:id="3" w:name="page4"/>
    <w:bookmarkEnd w:id="3"/>
    <w:p>
      <w:pPr>
        <w:jc w:val="both"/>
        <w:ind w:right="44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the terms of the Merger Agreement, VIH is required to use reasonable best efforts to cause the Bakkt Pubco Class A Shares to be issued in connection with the Proposed Transaction and the PIPE Investment (as defined below) to be approved for listing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as of the Closing.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6"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Bakkt to provide VIH and its representatives reasonable access through the Closing to the financial books and records of Bakkt and its Subsidiaries and such additional financial and operating data and other information relating to the business and properties of Bakkt and its Subsidiaries as VIH may reasonably request, (iii) the parties to not initiate any negotiations or enter into any agreements for certain alternative transactions, (iv) Bakkt to prepare and deliver to VIH certain audited and unaudited consolidated financial statements of Bakkt, (v) VIH to prepare and file a registration statement on Form S-4 and take certain other actions to obtain the requisite approval of VIH shareholders of certain proposals regarding the Proposed Transaction (including the Domestication), and (vi) the parties to use reasonable best efforts to obtain necessary approvals from governmental agencies.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116"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VIH, Merger Sub and Bakkt. The representations and warranties of the respective parties to the Merger Agreement generally will not survive the Closing.</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(i) by mutual written consent of VIH and Bakkt, (ii) by Bakkt, if</w:t>
      </w:r>
    </w:p>
    <w:p>
      <w:pPr>
        <w:spacing w:after="0" w:line="26" w:lineRule="exact"/>
        <w:rPr>
          <w:sz w:val="20"/>
          <w:szCs w:val="20"/>
          <w:color w:val="auto"/>
        </w:rPr>
      </w:pPr>
    </w:p>
    <w:p>
      <w:pPr>
        <w:ind w:right="120" w:firstLine="7"/>
        <w:spacing w:after="0" w:line="265" w:lineRule="auto"/>
        <w:tabs>
          <w:tab w:leader="none" w:pos="24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approvals of the shareholders of VIH, to the extent required under the Merger Agreement, are not obtained as set forth therein, or (b) if Available Cash is less than $425,000,000, or (c) VIH and Merger Sub have failed to consummate the Closing upon the satisfaction or waiver of the closing conditions as specified in the Merger Agreement, (iii) by either VIH or Bakkt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(c) if the Closing has not occurred on or before September 30, 2021, or (d) if the VIH Shareholders’ Approval has not been obtained following the VIH Shareholder Meeting or (iv) by VIH if (a) the Initial Bakkt Equity Holder Support Agreement (as defined in the Merger Agreement) has not been executed and delivered within 24 hours of the execution of the Merger Agreement, and (b) certain approvals of the Bakkt Equity Holders (other than ICE) are not obtained within seven (7) days of the execution of the Merger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Agreements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1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On January 11, 2021, concurrently with the execution of the Merger Agreement, VIH entered into subscription agreements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investors (collectively,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which include certain existing equityholders of VIH and Bakkt), pursuant to, and on the terms and subject to the conditions of which, the PIPE Investors have collectively subscribed for 32,500,000 Bakkt Pubco Class A Shares for an aggregate purchase price equal to $325,000,000 (the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The PIPE Investment will be consummated immediately prior to the Closing.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ectPr>
          <w:pgSz w:w="11900" w:h="16838" w:orient="portrait"/>
          <w:cols w:equalWidth="0" w:num="1">
            <w:col w:w="10920"/>
          </w:cols>
          <w:pgMar w:left="480" w:top="268"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Support Agreement</w:t>
      </w:r>
    </w:p>
    <w:p>
      <w:pPr>
        <w:spacing w:after="0" w:line="118"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7"/>
          <w:szCs w:val="17"/>
          <w:color w:val="auto"/>
        </w:rPr>
        <w:t>On January 11, 2021, VIH entered into a Support Agreement (the “</w:t>
      </w:r>
      <w:r>
        <w:rPr>
          <w:rFonts w:ascii="Times New Roman" w:cs="Times New Roman" w:eastAsia="Times New Roman" w:hAnsi="Times New Roman"/>
          <w:sz w:val="17"/>
          <w:szCs w:val="17"/>
          <w:u w:val="single" w:color="auto"/>
          <w:color w:val="auto"/>
        </w:rPr>
        <w:t>Support Agreement</w:t>
      </w:r>
      <w:r>
        <w:rPr>
          <w:rFonts w:ascii="Times New Roman" w:cs="Times New Roman" w:eastAsia="Times New Roman" w:hAnsi="Times New Roman"/>
          <w:sz w:val="17"/>
          <w:szCs w:val="17"/>
          <w:color w:val="auto"/>
        </w:rPr>
        <w:t>”), by and among VIH, Bakkt, and Intercontinental Exchange Holdings, Inc. (“</w:t>
      </w:r>
      <w:r>
        <w:rPr>
          <w:rFonts w:ascii="Times New Roman" w:cs="Times New Roman" w:eastAsia="Times New Roman" w:hAnsi="Times New Roman"/>
          <w:sz w:val="17"/>
          <w:szCs w:val="17"/>
          <w:u w:val="single" w:color="auto"/>
          <w:color w:val="auto"/>
        </w:rPr>
        <w:t>ICE</w:t>
      </w:r>
      <w:r>
        <w:rPr>
          <w:rFonts w:ascii="Times New Roman" w:cs="Times New Roman" w:eastAsia="Times New Roman" w:hAnsi="Times New Roman"/>
          <w:sz w:val="17"/>
          <w:szCs w:val="17"/>
          <w:color w:val="auto"/>
        </w:rPr>
        <w:t>”), pursuant to which ICE, as the beneficial owner of a majority of Bakkt Units has agreed to, among other things, not to Transfer (as defined in the Support Agreement) any of the Subject Bakkt Units (as defined in the Support Agreement), and to vote the Subject Bakkt Units in a manner so as to facilitate consummation of the Merger Agreement, the Proposed Transaction and the other transactions contemplated thereby.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Letter Agreement</w:t>
      </w:r>
    </w:p>
    <w:p>
      <w:pPr>
        <w:spacing w:after="0" w:line="118"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On January 11, 2021, VIH entered into an amendment (the “</w:t>
      </w:r>
      <w:r>
        <w:rPr>
          <w:rFonts w:ascii="Times New Roman" w:cs="Times New Roman" w:eastAsia="Times New Roman" w:hAnsi="Times New Roman"/>
          <w:sz w:val="18"/>
          <w:szCs w:val="18"/>
          <w:u w:val="single" w:color="auto"/>
          <w:color w:val="auto"/>
        </w:rPr>
        <w:t>Amendment to the Letter Agreement</w:t>
      </w:r>
      <w:r>
        <w:rPr>
          <w:rFonts w:ascii="Times New Roman" w:cs="Times New Roman" w:eastAsia="Times New Roman" w:hAnsi="Times New Roman"/>
          <w:sz w:val="18"/>
          <w:szCs w:val="18"/>
          <w:color w:val="auto"/>
        </w:rPr>
        <w:t>”) to that certain letter agreement, dated as of September 22, 2020, by and among VIH, VPC Impact Acquisition Holdings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the other parties signatory thereto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which amended the Letter Agreement, among other things, to add Bakkt as a party, and to add a waiver of anti-dilution rights in connection with the Proposed Transaction by the Sponsor and the other parties signatory thereto.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18"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Bakkt Pubco, the Sponsor and the Bakkt Equity Holders will enter into a Stockholders Agreement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setting forth certain understandings between the parties, including with respect to certain governance matters related to the nomination and election of directors, transfer restrictions and other rights and obligations associated with the ownership of equity securities in Bakkt Pubco and Bakkt Opco.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18"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color w:val="auto"/>
        </w:rPr>
        <w:t>The Merger Agreement contemplates that, at the Closing, Bakkt Pubco and ICE will enter into a Voting Agreement (the “</w:t>
      </w:r>
      <w:r>
        <w:rPr>
          <w:rFonts w:ascii="Times New Roman" w:cs="Times New Roman" w:eastAsia="Times New Roman" w:hAnsi="Times New Roman"/>
          <w:sz w:val="17"/>
          <w:szCs w:val="17"/>
          <w:u w:val="single" w:color="auto"/>
          <w:color w:val="auto"/>
        </w:rPr>
        <w:t>Voting Agreement</w:t>
      </w:r>
      <w:r>
        <w:rPr>
          <w:rFonts w:ascii="Times New Roman" w:cs="Times New Roman" w:eastAsia="Times New Roman" w:hAnsi="Times New Roman"/>
          <w:sz w:val="17"/>
          <w:szCs w:val="17"/>
          <w:color w:val="auto"/>
        </w:rPr>
        <w:t>”), which will establish the terms under which ICE will be able to exercise its voting power in respect of its ownership interest in Bakkt Pubco. To the extent that ICE’s voting power as jointly calculated by ICE and Bakkt Pubco and represented by Bakkt Pubco Class A Shares and shares of Class V common stock of Bakkt Pubco beneficially owned by ICE and its affiliates (the “</w:t>
      </w:r>
      <w:r>
        <w:rPr>
          <w:rFonts w:ascii="Times New Roman" w:cs="Times New Roman" w:eastAsia="Times New Roman" w:hAnsi="Times New Roman"/>
          <w:sz w:val="17"/>
          <w:szCs w:val="17"/>
          <w:u w:val="single" w:color="auto"/>
          <w:color w:val="auto"/>
        </w:rPr>
        <w:t>ICE Shares</w:t>
      </w:r>
      <w:r>
        <w:rPr>
          <w:rFonts w:ascii="Times New Roman" w:cs="Times New Roman" w:eastAsia="Times New Roman" w:hAnsi="Times New Roman"/>
          <w:sz w:val="17"/>
          <w:szCs w:val="17"/>
          <w:color w:val="auto"/>
        </w:rPr>
        <w:t>”) as of any record date for a stockholder vote or consent of Bakkt Pubco (a “</w:t>
      </w:r>
      <w:r>
        <w:rPr>
          <w:rFonts w:ascii="Times New Roman" w:cs="Times New Roman" w:eastAsia="Times New Roman" w:hAnsi="Times New Roman"/>
          <w:sz w:val="17"/>
          <w:szCs w:val="17"/>
          <w:u w:val="single" w:color="auto"/>
          <w:color w:val="auto"/>
        </w:rPr>
        <w:t>Stockholder Matter</w:t>
      </w:r>
      <w:r>
        <w:rPr>
          <w:rFonts w:ascii="Times New Roman" w:cs="Times New Roman" w:eastAsia="Times New Roman" w:hAnsi="Times New Roman"/>
          <w:sz w:val="17"/>
          <w:szCs w:val="17"/>
          <w:color w:val="auto"/>
        </w:rPr>
        <w:t>”), exceeds 30% of the total voting power of all Bakkt Pubco Class A Shares and shares of Class V common stock of Bakkt Pubco that are issued and outstanding and entitled to vote as of the relevant record date (such amount, the “</w:t>
      </w:r>
      <w:r>
        <w:rPr>
          <w:rFonts w:ascii="Times New Roman" w:cs="Times New Roman" w:eastAsia="Times New Roman" w:hAnsi="Times New Roman"/>
          <w:sz w:val="17"/>
          <w:szCs w:val="17"/>
          <w:u w:val="single" w:color="auto"/>
          <w:color w:val="auto"/>
        </w:rPr>
        <w:t>Excess Amount</w:t>
      </w:r>
      <w:r>
        <w:rPr>
          <w:rFonts w:ascii="Times New Roman" w:cs="Times New Roman" w:eastAsia="Times New Roman" w:hAnsi="Times New Roman"/>
          <w:sz w:val="17"/>
          <w:szCs w:val="17"/>
          <w:color w:val="auto"/>
        </w:rPr>
        <w:t>”, and the ICE Shares represented thereby, the “</w:t>
      </w:r>
      <w:r>
        <w:rPr>
          <w:rFonts w:ascii="Times New Roman" w:cs="Times New Roman" w:eastAsia="Times New Roman" w:hAnsi="Times New Roman"/>
          <w:sz w:val="17"/>
          <w:szCs w:val="17"/>
          <w:u w:val="single" w:color="auto"/>
          <w:color w:val="auto"/>
        </w:rPr>
        <w:t>Excess Shares</w:t>
      </w:r>
      <w:r>
        <w:rPr>
          <w:rFonts w:ascii="Times New Roman" w:cs="Times New Roman" w:eastAsia="Times New Roman" w:hAnsi="Times New Roman"/>
          <w:sz w:val="17"/>
          <w:szCs w:val="17"/>
          <w:color w:val="auto"/>
        </w:rPr>
        <w:t>”), ICE will irrevocably appoint a proxy, designated by the board of Bakkt Pubco, to vote the Excess Shares in the same percentages for and against such Stockholder Matter as votes were cast for and against such Stockholder Matter by all stockholders of Bakkt Pubco other than ICE (ignoring, for purposes of making these calculations, abstentions and broker nonvotes). The Voting Agreement will terminate if the voting power represented by the ICE Shares beneficially owned by ICE and its affiliates falls below 50% of the total voting power of the Bakkt Pubco Class A Shares and shares of Class V common stock of Bakkt Pubco issued and outstanding and entitled to vote at any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18"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The Merger Agreement contemplates that, at the Closing, the Sponsor, Bakkt PubCo, Bakkt Equity Holders and certain of their respective affiliates will enter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Bakkt Pubco will agree to register for resale, pursuant to Rule 415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certain Bakkt Pubco Class A Shares and warrants that are held by the parties thereto from time to time. This Registration Rights Agreement will terminate and replace the existing registration rights agreement currently in place between VIH, the Sponsor and certain of their respective affiliates.</w:t>
      </w:r>
    </w:p>
    <w:p>
      <w:pPr>
        <w:sectPr>
          <w:pgSz w:w="11900" w:h="16838" w:orient="portrait"/>
          <w:cols w:equalWidth="0" w:num="1">
            <w:col w:w="10900"/>
          </w:cols>
          <w:pgMar w:left="480" w:top="264" w:right="519" w:bottom="1440" w:gutter="0" w:footer="0" w:header="0"/>
        </w:sectPr>
      </w:pPr>
    </w:p>
    <w:bookmarkStart w:id="5" w:name="page6"/>
    <w:bookmarkEnd w:id="5"/>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of the Stockholders (as defined in the Registration Rights Agreement) and their respective transferees will be entitled to request to sell all or a portion of their registrable securities in underwritten shelf takedown offerings, in each case subject to certain offering thresholds, applicable lock-up restrictions, issuer suspension periods and certain other conditions. Demanding Holders (as defined in the Registration Rights Agreement) are limited to three demand underwritten offerings for the term of the Registration Rights Agreement. In addition, the Stockholders (as defined in the Registration Rights Agreement) have certain “piggy-back” registration rights, subject to customary underwriter cutbacks, issuer suspension periods and certain other conditions. The Registration Rights Agreement includes customary indemnification provisions. Bakkt PubCo will bear the expenses incurred in connection with the filing of any registration statements filed pursuant to the terms of the Registration Rights Agreement, including the fees of one legal counsel to each of the Stockholders (as defined in the Registration Rights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8"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Simultaneously with the Closing, Bakkt Pubco and the former equity owners of Bakkt (the “</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will enter into a tax receivable agreement (the “</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which will provide for, among other things, payment by Bakkt Pubco to the TRA Parties of 85% of the U.S. federal, state and local income tax savings realized by Bakkt Pubco as a result of the increases in tax basis and certain other tax benefits related to the transactions contemplated under the Merger Agreement and the exchange of Bakkt Opco Units for Bakkt Pubco Class A Shares (as more fully described in the Tax Receivable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Pubco Charter and Bakkt Pubco Bylaws</w:t>
      </w:r>
    </w:p>
    <w:p>
      <w:pPr>
        <w:spacing w:after="0" w:line="118" w:lineRule="exact"/>
        <w:rPr>
          <w:sz w:val="20"/>
          <w:szCs w:val="20"/>
          <w:color w:val="auto"/>
        </w:rPr>
      </w:pPr>
    </w:p>
    <w:p>
      <w:pPr>
        <w:ind w:right="60" w:firstLine="436"/>
        <w:spacing w:after="0" w:line="271" w:lineRule="auto"/>
        <w:rPr>
          <w:sz w:val="20"/>
          <w:szCs w:val="20"/>
          <w:color w:val="auto"/>
        </w:rPr>
      </w:pPr>
      <w:r>
        <w:rPr>
          <w:rFonts w:ascii="Times New Roman" w:cs="Times New Roman" w:eastAsia="Times New Roman" w:hAnsi="Times New Roman"/>
          <w:sz w:val="17"/>
          <w:szCs w:val="17"/>
          <w:color w:val="auto"/>
        </w:rPr>
        <w:t>VIH will execute and file a certificate of incorporation with the Secretary of State of the State of Delaware (the “</w:t>
      </w:r>
      <w:r>
        <w:rPr>
          <w:rFonts w:ascii="Times New Roman" w:cs="Times New Roman" w:eastAsia="Times New Roman" w:hAnsi="Times New Roman"/>
          <w:sz w:val="17"/>
          <w:szCs w:val="17"/>
          <w:u w:val="single" w:color="auto"/>
          <w:color w:val="auto"/>
        </w:rPr>
        <w:t>Bakkt Pubco Charter</w:t>
      </w:r>
      <w:r>
        <w:rPr>
          <w:rFonts w:ascii="Times New Roman" w:cs="Times New Roman" w:eastAsia="Times New Roman" w:hAnsi="Times New Roman"/>
          <w:sz w:val="17"/>
          <w:szCs w:val="17"/>
          <w:color w:val="auto"/>
        </w:rPr>
        <w:t>”), and Bakkt Pubco shall adopt bylaws (the “</w:t>
      </w:r>
      <w:r>
        <w:rPr>
          <w:rFonts w:ascii="Times New Roman" w:cs="Times New Roman" w:eastAsia="Times New Roman" w:hAnsi="Times New Roman"/>
          <w:sz w:val="17"/>
          <w:szCs w:val="17"/>
          <w:u w:val="single" w:color="auto"/>
          <w:color w:val="auto"/>
        </w:rPr>
        <w:t>Bakkt Pubco Bylaws</w:t>
      </w:r>
      <w:r>
        <w:rPr>
          <w:rFonts w:ascii="Times New Roman" w:cs="Times New Roman" w:eastAsia="Times New Roman" w:hAnsi="Times New Roman"/>
          <w:sz w:val="17"/>
          <w:szCs w:val="17"/>
          <w:color w:val="auto"/>
        </w:rPr>
        <w:t>”), in each case to be effective as of immediately prior to the effective time of the Merger, to establish Bakkt Pubco’s post-Proposed Transaction capital structure authorizing: (x) 750,000,000 shares of Class A common stock, par value $0.0001 per share, entitling the owners thereof to one vote per share plus a share in the economics of Bakkt Pubco, (y) 250,000,000 shares of Class V common stock, par value $0.0001 per share, entitling the owners thereof to one vote per share plus no share in the economics of Bakkt Pubco, and (z) 1,000,000 shares of preferred stock, par value $0.0001 per share, the rights of which may be designated from time to time by Bakkt Pubco’s board of directors.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18"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The Sponsor is subject to certain restrictions on transfer with respect to the Bakkt Pubco Class A Shares it will hold as of the Closing pursuant to the Letter Agreement and Stockholders Agreement, as each is defined above. Such restrictions end on the date that is one year after Closing, or earlier if the closing price of the shares equals or exceeds $12.00 per share for any twenty trading days within any thirty-day trading period at least 150 days after the Closing. Bakkt Equity Holders will be subject to similar restrictions on transfer for 180 days after the Closing with respect to the Bakkt Pubco Class V common stock, Bakkt Opco Units, or the Bakkt Pubco Class A Shares they will be entitled to receive upon exchange of their Bakkt Opco Units under the Exchange Agreement and a Stockholders Agreement to be entered into at Closing.</w:t>
      </w:r>
    </w:p>
    <w:p>
      <w:pPr>
        <w:spacing w:after="0" w:line="18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Merger Agreement, Subscription Agreements, Support Agreement and the Amendment to the Letter Agreement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the transactions and documents contemplated thereby, is not complete and is subject to and qualified in its entirety by reference to the Transaction Documents, copies of which are filed with this Current Report on Form 8-K, and the terms of which are incorporated by reference herein.</w:t>
      </w:r>
    </w:p>
    <w:p>
      <w:pPr>
        <w:spacing w:after="0" w:line="180"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The Transaction Documents have been included to provide investors with information regarding their terms. They are not intended to provide any other factual information about VIH or its affiliates. The representations, warranties, covenants and agreements contained in the Transaction Documents and the other documents related thereto were made only for purposes of the Transaction Documents as of the specific dates therein, were solely for the benefit of the parties to the Transaction Documents,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Transaction Documents, which subsequent information may or may not be fully reflected in the VIH’s public disclosures.</w:t>
      </w:r>
    </w:p>
    <w:p>
      <w:pPr>
        <w:sectPr>
          <w:pgSz w:w="11900" w:h="16838" w:orient="portrait"/>
          <w:cols w:equalWidth="0" w:num="1">
            <w:col w:w="10880"/>
          </w:cols>
          <w:pgMar w:left="480" w:top="268"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Item 3.02 Unregistered Sales of Equity Securities</w:t>
      </w:r>
    </w:p>
    <w:p>
      <w:pPr>
        <w:spacing w:after="0" w:line="118"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7"/>
          <w:szCs w:val="17"/>
          <w:color w:val="auto"/>
        </w:rPr>
        <w:t>The disclosure set forth above in Item 1.01 of this Current Report on Form 8-K with respect to the issuance of Bakkt Pubco common stock pursuant to the Merger Agreement and the Subscription Agreements is incorporated by reference in this Item 3.02. The Bakkt Pubco Class A common stock and Class V common stock to be issued in connection with the Merger Agreement and the PIPE Investment will not be registered under the Securities Act, and will be issued in reliance on the exemption from registration requirements thereof provided by Section 4(a)(2) of the Securities Act.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18"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On January 11, 2021, VIH and Bakkt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execution of the Merger Agreement. The Press Release is attached hereto as Exhibit 99.1 and incorporated by reference herein.</w:t>
      </w:r>
    </w:p>
    <w:p>
      <w:pPr>
        <w:spacing w:after="0" w:line="162" w:lineRule="exact"/>
        <w:rPr>
          <w:sz w:val="20"/>
          <w:szCs w:val="20"/>
          <w:color w:val="auto"/>
        </w:rPr>
      </w:pPr>
    </w:p>
    <w:p>
      <w:pPr>
        <w:ind w:right="200" w:firstLine="436"/>
        <w:spacing w:after="0" w:line="263" w:lineRule="auto"/>
        <w:rPr>
          <w:sz w:val="20"/>
          <w:szCs w:val="20"/>
          <w:color w:val="auto"/>
        </w:rPr>
      </w:pPr>
      <w:r>
        <w:rPr>
          <w:rFonts w:ascii="Times New Roman" w:cs="Times New Roman" w:eastAsia="Times New Roman" w:hAnsi="Times New Roman"/>
          <w:sz w:val="18"/>
          <w:szCs w:val="18"/>
          <w:color w:val="auto"/>
        </w:rPr>
        <w:t>Attached as Exhibits 99.2, 99.4 and 99.5 and incorporated herein by reference are the investor presentations dated January 11, 2020 and December, 2020 (the “</w:t>
      </w:r>
      <w:r>
        <w:rPr>
          <w:rFonts w:ascii="Times New Roman" w:cs="Times New Roman" w:eastAsia="Times New Roman" w:hAnsi="Times New Roman"/>
          <w:sz w:val="18"/>
          <w:szCs w:val="18"/>
          <w:u w:val="single" w:color="auto"/>
          <w:color w:val="auto"/>
        </w:rPr>
        <w:t>Investor Presentations</w:t>
      </w:r>
      <w:r>
        <w:rPr>
          <w:rFonts w:ascii="Times New Roman" w:cs="Times New Roman" w:eastAsia="Times New Roman" w:hAnsi="Times New Roman"/>
          <w:sz w:val="18"/>
          <w:szCs w:val="18"/>
          <w:color w:val="auto"/>
        </w:rPr>
        <w:t>”), for use by VIH in meetings with certain of its shareholders as well as other persons with respect to the Proposed Transaction, as described in this Current Report on Form 8-K.</w:t>
      </w:r>
    </w:p>
    <w:p>
      <w:pPr>
        <w:spacing w:after="0" w:line="175"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In connection with the confidential marketing of the PIPE Investment, Bakkt and VIH made available to PIPE Investors a video demonstration that shows the features of the Bakkt Digital Wallet and the planned Bakkt Debit Card. The features of the Digital Wallet demonstrated in the video include features currently available in the Digital Wallet and features that will be available in future versions of the Digital Wallet. Persons that watch this video should review Exhibit 99.4 in connection with watching the video to understand those features that are currently available in the Digital Wallet and those features that will not be available until future versions of the Digital Wallet are released. The video has been posted on Bakkt’s website and can be accessed at https://www.bakkt.com/newsroom.</w:t>
      </w:r>
    </w:p>
    <w:p>
      <w:pPr>
        <w:spacing w:after="0" w:line="184" w:lineRule="exact"/>
        <w:rPr>
          <w:sz w:val="20"/>
          <w:szCs w:val="20"/>
          <w:color w:val="auto"/>
        </w:rPr>
      </w:pPr>
    </w:p>
    <w:p>
      <w:pPr>
        <w:ind w:right="640" w:firstLine="436"/>
        <w:spacing w:after="0" w:line="278" w:lineRule="auto"/>
        <w:rPr>
          <w:sz w:val="20"/>
          <w:szCs w:val="20"/>
          <w:color w:val="auto"/>
        </w:rPr>
      </w:pPr>
      <w:r>
        <w:rPr>
          <w:rFonts w:ascii="Times New Roman" w:cs="Times New Roman" w:eastAsia="Times New Roman" w:hAnsi="Times New Roman"/>
          <w:sz w:val="18"/>
          <w:szCs w:val="18"/>
          <w:color w:val="auto"/>
        </w:rPr>
        <w:t>Furnished herewith as Exhibit 99.3 is the transcript of a pre-recorded joint conference call held on January 11, 2020, by VIH and Bakkt in connection with the announcement of their entry into the Merger Agreement.</w:t>
      </w:r>
    </w:p>
    <w:p>
      <w:pPr>
        <w:spacing w:after="0" w:line="162" w:lineRule="exact"/>
        <w:rPr>
          <w:sz w:val="20"/>
          <w:szCs w:val="20"/>
          <w:color w:val="auto"/>
        </w:rPr>
      </w:pPr>
    </w:p>
    <w:p>
      <w:pPr>
        <w:jc w:val="both"/>
        <w:ind w:right="60" w:firstLine="436"/>
        <w:spacing w:after="0" w:line="255" w:lineRule="auto"/>
        <w:rPr>
          <w:sz w:val="20"/>
          <w:szCs w:val="20"/>
          <w:color w:val="auto"/>
        </w:rPr>
      </w:pPr>
      <w:r>
        <w:rPr>
          <w:rFonts w:ascii="Times New Roman" w:cs="Times New Roman" w:eastAsia="Times New Roman" w:hAnsi="Times New Roman"/>
          <w:sz w:val="18"/>
          <w:szCs w:val="18"/>
          <w:color w:val="auto"/>
        </w:rPr>
        <w:t>The information in this Item 7.01, including Exhibits 99.1, 99.2, 99.3, 99.4 and 99.5,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 Exhibit 99.2, Exhibit 99.3, Exhibit 99.4 and Exhibit 99.5.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ectPr>
          <w:pgSz w:w="11900" w:h="16838" w:orient="portrait"/>
          <w:cols w:equalWidth="0" w:num="1">
            <w:col w:w="10920"/>
          </w:cols>
          <w:pgMar w:left="480" w:top="264" w:right="499" w:bottom="1440" w:gutter="0" w:footer="0" w:header="0"/>
        </w:sectPr>
      </w:pPr>
    </w:p>
    <w:bookmarkStart w:id="7" w:name="page8"/>
    <w:bookmarkEnd w:id="7"/>
    <w:p>
      <w:pPr>
        <w:ind w:right="4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These documents (when they are available) can also be obtained free of charge from VIH upon written request to VIH by emailing </w:t>
      </w:r>
      <w:r>
        <w:rPr>
          <w:rFonts w:ascii="Times New Roman" w:cs="Times New Roman" w:eastAsia="Times New Roman" w:hAnsi="Times New Roman"/>
          <w:sz w:val="18"/>
          <w:szCs w:val="18"/>
          <w:u w:val="single" w:color="auto"/>
          <w:color w:val="auto"/>
        </w:rPr>
        <w:t>vihinfo@victoryparkcapital.com</w:t>
      </w:r>
      <w:r>
        <w:rPr>
          <w:rFonts w:ascii="Times New Roman" w:cs="Times New Roman" w:eastAsia="Times New Roman" w:hAnsi="Times New Roman"/>
          <w:sz w:val="18"/>
          <w:szCs w:val="18"/>
          <w:color w:val="auto"/>
        </w:rPr>
        <w:t xml:space="preserve"> or by directing a request to VIH’s secretary at c/o Victory Park Capital Advisors, LLC, 150 North Riverside Plaza, Suite 5200, Chicago, IL 60606.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1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However, VIH, Bakkt,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w:t>
      </w:r>
    </w:p>
    <w:p>
      <w:pPr>
        <w:sectPr>
          <w:pgSz w:w="11900" w:h="16838" w:orient="portrait"/>
          <w:cols w:equalWidth="0" w:num="1">
            <w:col w:w="10900"/>
          </w:cols>
          <w:pgMar w:left="480" w:top="268" w:right="519" w:bottom="1440" w:gutter="0" w:footer="0" w:header="0"/>
        </w:sectPr>
      </w:pPr>
    </w:p>
    <w:bookmarkStart w:id="8" w:name="page9"/>
    <w:bookmarkEnd w:id="8"/>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ectPr>
          <w:pgSz w:w="11900" w:h="16838" w:orient="portrait"/>
          <w:cols w:equalWidth="0" w:num="1">
            <w:col w:w="10900"/>
          </w:cols>
          <w:pgMar w:left="480" w:top="268"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Item 9.01. Financial Statements and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5"/>
          </w:tcPr>
          <w:p>
            <w:pPr>
              <w:ind w:left="3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3"/>
                <w:szCs w:val="23"/>
                <w:color w:val="auto"/>
              </w:rPr>
            </w:pPr>
          </w:p>
        </w:tc>
        <w:tc>
          <w:tcPr>
            <w:tcW w:w="9580" w:type="dxa"/>
            <w:vAlign w:val="bottom"/>
            <w:gridSpan w:val="7"/>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Agreement and Plan of Merger, dated as of January 11, 2021, by and among the Registrant, Pylon Merger Company LLC and Bakkt</w:t>
              </w:r>
            </w:hyperlink>
          </w:p>
        </w:tc>
      </w:tr>
      <w:tr>
        <w:trPr>
          <w:trHeight w:val="194"/>
        </w:trPr>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20" w:type="dxa"/>
            <w:vAlign w:val="bottom"/>
            <w:tcBorders>
              <w:top w:val="single" w:sz="8" w:color="0000EE"/>
            </w:tcBorders>
            <w:gridSpan w:val="4"/>
          </w:tcPr>
          <w:p>
            <w:pPr>
              <w:spacing w:after="0" w:line="194"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Holdings, LLC</w:t>
              </w:r>
              <w:r>
                <w:rPr>
                  <w:rFonts w:ascii="Times New Roman" w:cs="Times New Roman" w:eastAsia="Times New Roman" w:hAnsi="Times New Roman"/>
                  <w:sz w:val="18"/>
                  <w:szCs w:val="18"/>
                  <w:color w:val="000000"/>
                </w:rPr>
                <w:t>.</w:t>
              </w:r>
            </w:hyperlink>
          </w:p>
        </w:tc>
        <w:tc>
          <w:tcPr>
            <w:tcW w:w="160" w:type="dxa"/>
            <w:vAlign w:val="bottom"/>
            <w:gridSpan w:val="3"/>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337">
              <w:r>
                <w:rPr>
                  <w:rFonts w:ascii="Times New Roman" w:cs="Times New Roman" w:eastAsia="Times New Roman" w:hAnsi="Times New Roman"/>
                  <w:sz w:val="18"/>
                  <w:szCs w:val="18"/>
                  <w:u w:val="single" w:color="auto"/>
                  <w:color w:val="0000EE"/>
                </w:rPr>
                <w:t>Form of Subscription Agreement, dated as of January 11, 2021, by and between the Registrant and the subscribers party thereto.</w:t>
              </w:r>
            </w:hyperlink>
          </w:p>
        </w:tc>
      </w:tr>
      <w:tr>
        <w:trPr>
          <w:trHeight w:val="2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color w:val="0000EE"/>
              </w:rPr>
            </w:pPr>
            <w:hyperlink w:anchor="page364">
              <w:r>
                <w:rPr>
                  <w:rFonts w:ascii="Times New Roman" w:cs="Times New Roman" w:eastAsia="Times New Roman" w:hAnsi="Times New Roman"/>
                  <w:sz w:val="18"/>
                  <w:szCs w:val="18"/>
                  <w:color w:val="0000EE"/>
                </w:rPr>
                <w:t>Support Agreement, dated as of January 11, 2021, by and among the Registrant, Intercontinental Exchange Holdings, Inc. and Bakkt</w:t>
              </w:r>
            </w:hyperlink>
          </w:p>
        </w:tc>
      </w:tr>
      <w:tr>
        <w:trPr>
          <w:trHeight w:val="194"/>
        </w:trPr>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6"/>
              </w:rPr>
            </w:pPr>
            <w:hyperlink w:anchor="page364">
              <w:r>
                <w:rPr>
                  <w:rFonts w:ascii="Times New Roman" w:cs="Times New Roman" w:eastAsia="Times New Roman" w:hAnsi="Times New Roman"/>
                  <w:sz w:val="18"/>
                  <w:szCs w:val="18"/>
                  <w:color w:val="0000EE"/>
                  <w:w w:val="96"/>
                </w:rPr>
                <w:t>Holdings, LLC.</w:t>
              </w:r>
            </w:hyperlink>
          </w:p>
        </w:tc>
        <w:tc>
          <w:tcPr>
            <w:tcW w:w="8320" w:type="dxa"/>
            <w:vAlign w:val="bottom"/>
            <w:tcBorders>
              <w:top w:val="single" w:sz="8" w:color="0000EE"/>
            </w:tcBorders>
            <w:gridSpan w:val="3"/>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tcPr>
          <w:p>
            <w:pPr>
              <w:spacing w:after="0"/>
              <w:rPr>
                <w:sz w:val="24"/>
                <w:szCs w:val="24"/>
                <w:color w:val="auto"/>
              </w:rPr>
            </w:pPr>
          </w:p>
        </w:tc>
        <w:tc>
          <w:tcPr>
            <w:tcW w:w="9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6">
              <w:r>
                <w:rPr>
                  <w:rFonts w:ascii="Times New Roman" w:cs="Times New Roman" w:eastAsia="Times New Roman" w:hAnsi="Times New Roman"/>
                  <w:sz w:val="18"/>
                  <w:szCs w:val="18"/>
                  <w:color w:val="0000EE"/>
                  <w:w w:val="99"/>
                </w:rPr>
                <w:t>Amendment to the Letter Agreement, dated as of January 11, 2021, by and among the Registrant, its executive officers, its directors,</w:t>
              </w:r>
            </w:hyperlink>
          </w:p>
        </w:tc>
        <w:tc>
          <w:tcPr>
            <w:tcW w:w="100" w:type="dxa"/>
            <w:vAlign w:val="bottom"/>
          </w:tcPr>
          <w:p>
            <w:pPr>
              <w:spacing w:after="0"/>
              <w:rPr>
                <w:sz w:val="24"/>
                <w:szCs w:val="24"/>
                <w:color w:val="auto"/>
              </w:rPr>
            </w:pPr>
          </w:p>
        </w:tc>
      </w:tr>
      <w:tr>
        <w:trPr>
          <w:trHeight w:val="194"/>
        </w:trPr>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3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w:anchor="page396">
              <w:r>
                <w:rPr>
                  <w:rFonts w:ascii="Times New Roman" w:cs="Times New Roman" w:eastAsia="Times New Roman" w:hAnsi="Times New Roman"/>
                  <w:sz w:val="18"/>
                  <w:szCs w:val="18"/>
                  <w:color w:val="0000EE"/>
                  <w:w w:val="98"/>
                </w:rPr>
                <w:t>VPC Impact Acquisition Holdings Sponsor, LLC, and Bakkt Holdings, Inc.</w:t>
              </w:r>
            </w:hyperlink>
          </w:p>
        </w:tc>
        <w:tc>
          <w:tcPr>
            <w:tcW w:w="4200" w:type="dxa"/>
            <w:vAlign w:val="bottom"/>
            <w:gridSpan w:val="4"/>
          </w:tcPr>
          <w:p>
            <w:pPr>
              <w:spacing w:after="0"/>
              <w:rPr>
                <w:sz w:val="16"/>
                <w:szCs w:val="16"/>
                <w:color w:val="auto"/>
              </w:rPr>
            </w:pPr>
          </w:p>
        </w:tc>
      </w:tr>
      <w:tr>
        <w:trPr>
          <w:trHeight w:val="34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2">
              <w:r>
                <w:rPr>
                  <w:rFonts w:ascii="Times New Roman" w:cs="Times New Roman" w:eastAsia="Times New Roman" w:hAnsi="Times New Roman"/>
                  <w:sz w:val="18"/>
                  <w:szCs w:val="18"/>
                  <w:u w:val="single" w:color="auto"/>
                  <w:color w:val="0000EE"/>
                </w:rPr>
                <w:t>Press Release, dated as of January 11, 2021.</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8">
              <w:r>
                <w:rPr>
                  <w:rFonts w:ascii="Times New Roman" w:cs="Times New Roman" w:eastAsia="Times New Roman" w:hAnsi="Times New Roman"/>
                  <w:sz w:val="18"/>
                  <w:szCs w:val="18"/>
                  <w:u w:val="single" w:color="auto"/>
                  <w:color w:val="0000EE"/>
                </w:rPr>
                <w:t>Investor Presentation, dated as of January 11, 2021.</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42">
              <w:r>
                <w:rPr>
                  <w:rFonts w:ascii="Times New Roman" w:cs="Times New Roman" w:eastAsia="Times New Roman" w:hAnsi="Times New Roman"/>
                  <w:sz w:val="18"/>
                  <w:szCs w:val="18"/>
                  <w:u w:val="single" w:color="auto"/>
                  <w:color w:val="0000EE"/>
                </w:rPr>
                <w:t>Transcript for Joint Investor Call, dated as of January 11, 2021.</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49">
              <w:r>
                <w:rPr>
                  <w:rFonts w:ascii="Times New Roman" w:cs="Times New Roman" w:eastAsia="Times New Roman" w:hAnsi="Times New Roman"/>
                  <w:sz w:val="18"/>
                  <w:szCs w:val="18"/>
                  <w:u w:val="single" w:color="auto"/>
                  <w:color w:val="0000EE"/>
                </w:rPr>
                <w:t>Investor Presentation, Bakkt Product Roadmap, dated as of December, 2020.</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52">
              <w:r>
                <w:rPr>
                  <w:rFonts w:ascii="Times New Roman" w:cs="Times New Roman" w:eastAsia="Times New Roman" w:hAnsi="Times New Roman"/>
                  <w:sz w:val="18"/>
                  <w:szCs w:val="18"/>
                  <w:u w:val="single" w:color="auto"/>
                  <w:color w:val="0000EE"/>
                </w:rPr>
                <w:t>Investor Presentation, Bakkt Platform Protections, dated as of December, 2020.</w:t>
              </w:r>
            </w:hyperlink>
          </w:p>
        </w:tc>
      </w:tr>
    </w:tbl>
    <w:p>
      <w:pPr>
        <w:spacing w:after="0" w:line="222" w:lineRule="exact"/>
        <w:rPr>
          <w:sz w:val="20"/>
          <w:szCs w:val="20"/>
          <w:color w:val="auto"/>
        </w:rPr>
      </w:pPr>
    </w:p>
    <w:p>
      <w:pPr>
        <w:ind w:left="440" w:right="160" w:hanging="433"/>
        <w:spacing w:after="0" w:line="278"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this Exhibit have been omitted in accordance with Item 601(a)(5) of Regulation S-K. VIH agrees to furnish supplementally a copy of any omitted exhibit or schedule to the SEC upon its request.</w:t>
      </w:r>
    </w:p>
    <w:p>
      <w:pPr>
        <w:sectPr>
          <w:pgSz w:w="11900" w:h="16838" w:orient="portrait"/>
          <w:cols w:equalWidth="0" w:num="1">
            <w:col w:w="10920"/>
          </w:cols>
          <w:pgMar w:left="480" w:top="264"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SIGNATURE</w:t>
      </w:r>
    </w:p>
    <w:p>
      <w:pPr>
        <w:spacing w:after="0" w:line="225"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92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VPC Impact Acquisition Holdings</w:t>
            </w:r>
          </w:p>
        </w:tc>
      </w:tr>
      <w:tr>
        <w:trPr>
          <w:trHeight w:val="23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11, 2021</w:t>
            </w:r>
          </w:p>
        </w:tc>
        <w:tc>
          <w:tcPr>
            <w:tcW w:w="4800" w:type="dxa"/>
            <w:vAlign w:val="bottom"/>
          </w:tcPr>
          <w:p>
            <w:pPr>
              <w:spacing w:after="0"/>
              <w:rPr>
                <w:sz w:val="20"/>
                <w:szCs w:val="20"/>
                <w:color w:val="auto"/>
              </w:rPr>
            </w:pPr>
          </w:p>
        </w:tc>
      </w:tr>
      <w:tr>
        <w:trPr>
          <w:trHeight w:val="427"/>
        </w:trPr>
        <w:tc>
          <w:tcPr>
            <w:tcW w:w="61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Martin</w:t>
            </w:r>
          </w:p>
        </w:tc>
      </w:tr>
      <w:tr>
        <w:trPr>
          <w:trHeight w:val="202"/>
        </w:trPr>
        <w:tc>
          <w:tcPr>
            <w:tcW w:w="6120" w:type="dxa"/>
            <w:vAlign w:val="bottom"/>
          </w:tcPr>
          <w:p>
            <w:pPr>
              <w:ind w:left="548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John Martin</w:t>
            </w:r>
          </w:p>
        </w:tc>
      </w:tr>
      <w:tr>
        <w:trPr>
          <w:trHeight w:val="233"/>
        </w:trPr>
        <w:tc>
          <w:tcPr>
            <w:tcW w:w="61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ectPr>
          <w:pgSz w:w="11900" w:h="16838" w:orient="portrait"/>
          <w:cols w:equalWidth="0" w:num="1">
            <w:col w:w="10920"/>
          </w:cols>
          <w:pgMar w:left="480" w:top="264"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Pylon Merger Company LLC</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Dated January 11, 2021</w:t>
      </w:r>
    </w:p>
    <w:p>
      <w:pPr>
        <w:sectPr>
          <w:pgSz w:w="11900" w:h="16838" w:orient="portrait"/>
          <w:cols w:equalWidth="0" w:num="1">
            <w:col w:w="9960"/>
          </w:cols>
          <w:pgMar w:left="1440" w:top="117"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82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980" w:type="dxa"/>
            <w:vAlign w:val="bottom"/>
          </w:tcPr>
          <w:p>
            <w:pPr>
              <w:spacing w:after="0"/>
              <w:rPr>
                <w:sz w:val="24"/>
                <w:szCs w:val="24"/>
                <w:color w:val="auto"/>
              </w:rPr>
            </w:pPr>
          </w:p>
        </w:tc>
        <w:tc>
          <w:tcPr>
            <w:tcW w:w="8200" w:type="dxa"/>
            <w:vAlign w:val="bottom"/>
            <w:vMerge w:val="restart"/>
          </w:tcPr>
          <w:p>
            <w:pPr>
              <w:jc w:val="center"/>
              <w:ind w:left="631"/>
              <w:spacing w:after="0"/>
              <w:rPr>
                <w:sz w:val="20"/>
                <w:szCs w:val="20"/>
                <w:color w:val="auto"/>
              </w:rPr>
            </w:pPr>
            <w:r>
              <w:rPr>
                <w:rFonts w:ascii="Times New Roman" w:cs="Times New Roman" w:eastAsia="Times New Roman" w:hAnsi="Times New Roman"/>
                <w:sz w:val="18"/>
                <w:szCs w:val="18"/>
                <w:color w:val="auto"/>
                <w:w w:val="97"/>
              </w:rPr>
              <w:t>ARTICLE I</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82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980" w:type="dxa"/>
            <w:vAlign w:val="bottom"/>
          </w:tcPr>
          <w:p>
            <w:pPr>
              <w:spacing w:after="0"/>
              <w:rPr>
                <w:sz w:val="24"/>
                <w:szCs w:val="24"/>
                <w:color w:val="auto"/>
              </w:rPr>
            </w:pPr>
          </w:p>
        </w:tc>
        <w:tc>
          <w:tcPr>
            <w:tcW w:w="82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8"/>
              </w:rPr>
              <w:t>CLOSING TRANSACTIONS; THE MERGER</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Transactions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Location and Date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Time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 of Surviving Company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Managers and Officers of Surviving Company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Closing Deliveries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w w:val="97"/>
              </w:rPr>
              <w:t>ARTICLE II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w w:val="98"/>
              </w:rPr>
              <w:t>EFFECT OF THE DOMESTICATION AND MERGER</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to Effect Domestication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Domestication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Closing Payments; Effect on Equity Interests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Bakkt Incentive Plan Awards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Bakkt Opco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Statement; Determination of Available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ARTICLE III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REPRESENTATIONS AND WARRANTIES OF BAKKT OPCO</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Changes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Permits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 and Commitments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 and IT Systems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and Agents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Recommendation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VIH or Merger Sub Representations or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6"/>
              </w:rPr>
              <w:t>ARTICLE IV</w:t>
            </w:r>
          </w:p>
        </w:tc>
        <w:tc>
          <w:tcPr>
            <w:tcW w:w="14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7"/>
              </w:rPr>
              <w:t>REPRESENTATIONS AND WARRANTIES OF VIH AND MERGER SUB</w:t>
            </w:r>
          </w:p>
        </w:tc>
        <w:tc>
          <w:tcPr>
            <w:tcW w:w="14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Sub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Purpose Acquisition Company; Absence of Changes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and Agents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Permits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Filings and VIH Financials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National Stock Exchange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Recommendation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Account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to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Company Act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Financing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Diligence Investigation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Bakkt Opco Representations or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ARTICLE V</w:t>
            </w:r>
          </w:p>
        </w:tc>
        <w:tc>
          <w:tcPr>
            <w:tcW w:w="14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PRE-CLOSING COVENANTS</w:t>
            </w:r>
          </w:p>
        </w:tc>
        <w:tc>
          <w:tcPr>
            <w:tcW w:w="14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of Bakkt Opco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of VIH</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 Confidential Information.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60"/>
          </w:cols>
          <w:pgMar w:left="480" w:top="268" w:right="5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Cause Conditions to be Satisfied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Financing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Consents and Filing of 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Registration Statement; VIH Shareholder Meeting; Information 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Listing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Post-Closing Board of Directors and Executive Officers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Account Disbursement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Third-Party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Unpaid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Trading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Advice of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Cooperation Agreement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6"/>
              </w:rPr>
              <w:t>ARTICLE VI</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9"/>
              </w:rPr>
              <w:t>OTHER COVENANTS</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Exculpation and 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Incentive Plan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Litigation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ARTICLE VII</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CONDITIONS PRECEDENT</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Obligations of VIH, Merger Sub and Bakkt Opco</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Obligations of VIH and Merger Sub</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Obligations of Bakkt Opco</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6"/>
              </w:rPr>
              <w:t>ARTICLE VIII</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TERMINATION</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6"/>
              </w:rPr>
              <w:t>ARTICLE IX</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NO SURVIVAL; WAIVERS; GUARANTY</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Survival; Waivers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Account Waiver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860"/>
          </w:cols>
          <w:pgMar w:left="480" w:top="268" w:right="5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3"/>
        </w:trPr>
        <w:tc>
          <w:tcPr>
            <w:tcW w:w="1080" w:type="dxa"/>
            <w:vAlign w:val="bottom"/>
          </w:tcPr>
          <w:p>
            <w:pPr>
              <w:spacing w:after="0"/>
              <w:rPr>
                <w:sz w:val="20"/>
                <w:szCs w:val="20"/>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8"/>
              </w:rPr>
              <w:t>ARTICLE X</w:t>
            </w:r>
          </w:p>
        </w:tc>
        <w:tc>
          <w:tcPr>
            <w:tcW w:w="2520" w:type="dxa"/>
            <w:vAlign w:val="bottom"/>
          </w:tcPr>
          <w:p>
            <w:pPr>
              <w:spacing w:after="0"/>
              <w:rPr>
                <w:sz w:val="20"/>
                <w:szCs w:val="20"/>
                <w:color w:val="auto"/>
              </w:rPr>
            </w:pPr>
          </w:p>
        </w:tc>
      </w:tr>
      <w:tr>
        <w:trPr>
          <w:trHeight w:val="321"/>
        </w:trPr>
        <w:tc>
          <w:tcPr>
            <w:tcW w:w="1080" w:type="dxa"/>
            <w:vAlign w:val="bottom"/>
          </w:tcPr>
          <w:p>
            <w:pPr>
              <w:spacing w:after="0"/>
              <w:rPr>
                <w:sz w:val="24"/>
                <w:szCs w:val="24"/>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9"/>
              </w:rPr>
              <w:t>DEFINITIONS</w:t>
            </w:r>
          </w:p>
        </w:tc>
        <w:tc>
          <w:tcPr>
            <w:tcW w:w="2520" w:type="dxa"/>
            <w:vAlign w:val="bottom"/>
          </w:tcPr>
          <w:p>
            <w:pPr>
              <w:spacing w:after="0"/>
              <w:rPr>
                <w:sz w:val="24"/>
                <w:szCs w:val="24"/>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Index of Defined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1"/>
        </w:trPr>
        <w:tc>
          <w:tcPr>
            <w:tcW w:w="1080" w:type="dxa"/>
            <w:vAlign w:val="bottom"/>
          </w:tcPr>
          <w:p>
            <w:pPr>
              <w:spacing w:after="0"/>
              <w:rPr>
                <w:sz w:val="24"/>
                <w:szCs w:val="24"/>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6"/>
              </w:rPr>
              <w:t>ARTICLE XI</w:t>
            </w:r>
          </w:p>
        </w:tc>
        <w:tc>
          <w:tcPr>
            <w:tcW w:w="2520" w:type="dxa"/>
            <w:vAlign w:val="bottom"/>
          </w:tcPr>
          <w:p>
            <w:pPr>
              <w:spacing w:after="0"/>
              <w:rPr>
                <w:sz w:val="24"/>
                <w:szCs w:val="24"/>
                <w:color w:val="auto"/>
              </w:rPr>
            </w:pPr>
          </w:p>
        </w:tc>
      </w:tr>
      <w:tr>
        <w:trPr>
          <w:trHeight w:val="321"/>
        </w:trPr>
        <w:tc>
          <w:tcPr>
            <w:tcW w:w="1080" w:type="dxa"/>
            <w:vAlign w:val="bottom"/>
          </w:tcPr>
          <w:p>
            <w:pPr>
              <w:spacing w:after="0"/>
              <w:rPr>
                <w:sz w:val="24"/>
                <w:szCs w:val="24"/>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9"/>
              </w:rPr>
              <w:t>GENERAL</w:t>
            </w:r>
          </w:p>
        </w:tc>
        <w:tc>
          <w:tcPr>
            <w:tcW w:w="2520" w:type="dxa"/>
            <w:vAlign w:val="bottom"/>
          </w:tcPr>
          <w:p>
            <w:pPr>
              <w:spacing w:after="0"/>
              <w:rPr>
                <w:sz w:val="24"/>
                <w:szCs w:val="24"/>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and Fees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WAIVER OF JURY TRIAL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Third Party Beneficiary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Drafting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Representations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Conflicts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Made Available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60"/>
          </w:cols>
          <w:pgMar w:left="480" w:top="268" w:right="5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3"/>
        </w:trPr>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EXHIBITS:</w:t>
            </w:r>
          </w:p>
        </w:tc>
        <w:tc>
          <w:tcPr>
            <w:tcW w:w="3500" w:type="dxa"/>
            <w:vAlign w:val="bottom"/>
          </w:tcPr>
          <w:p>
            <w:pPr>
              <w:spacing w:after="0"/>
              <w:rPr>
                <w:sz w:val="20"/>
                <w:szCs w:val="20"/>
                <w:color w:val="auto"/>
              </w:rPr>
            </w:pPr>
          </w:p>
        </w:tc>
      </w:tr>
      <w:tr>
        <w:trPr>
          <w:trHeight w:val="414"/>
        </w:trPr>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6"/>
              </w:rPr>
              <w:t>Exhibit A</w:t>
            </w:r>
          </w:p>
        </w:tc>
        <w:tc>
          <w:tcPr>
            <w:tcW w:w="400" w:type="dxa"/>
            <w:vAlign w:val="bottom"/>
            <w:gridSpan w:val="2"/>
          </w:tcPr>
          <w:p>
            <w:pPr>
              <w:spacing w:after="0"/>
              <w:rPr>
                <w:sz w:val="24"/>
                <w:szCs w:val="24"/>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Form of Surviving Company LLC Agreement</w:t>
            </w:r>
          </w:p>
        </w:tc>
      </w:tr>
      <w:tr>
        <w:trPr>
          <w:trHeight w:val="194"/>
        </w:trPr>
        <w:tc>
          <w:tcPr>
            <w:tcW w:w="7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B</w:t>
            </w:r>
          </w:p>
        </w:tc>
        <w:tc>
          <w:tcPr>
            <w:tcW w:w="400" w:type="dxa"/>
            <w:vAlign w:val="bottom"/>
            <w:gridSpan w:val="2"/>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Exchange Agreement</w:t>
            </w:r>
          </w:p>
        </w:tc>
      </w:tr>
      <w:tr>
        <w:trPr>
          <w:trHeight w:val="194"/>
        </w:trPr>
        <w:tc>
          <w:tcPr>
            <w:tcW w:w="7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C</w:t>
            </w:r>
          </w:p>
        </w:tc>
        <w:tc>
          <w:tcPr>
            <w:tcW w:w="400" w:type="dxa"/>
            <w:vAlign w:val="bottom"/>
            <w:gridSpan w:val="2"/>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Tax Receivable Agreement</w:t>
            </w: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D</w:t>
            </w: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194"/>
        </w:trPr>
        <w:tc>
          <w:tcPr>
            <w:tcW w:w="700" w:type="dxa"/>
            <w:vAlign w:val="bottom"/>
            <w:tcBorders>
              <w:top w:val="single" w:sz="8" w:color="auto"/>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Exhibit E</w:t>
            </w:r>
          </w:p>
        </w:tc>
        <w:tc>
          <w:tcPr>
            <w:tcW w:w="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Voting Agreement</w:t>
            </w:r>
          </w:p>
        </w:tc>
      </w:tr>
      <w:tr>
        <w:trPr>
          <w:trHeight w:val="194"/>
        </w:trPr>
        <w:tc>
          <w:tcPr>
            <w:tcW w:w="6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F</w:t>
            </w:r>
          </w:p>
        </w:tc>
        <w:tc>
          <w:tcPr>
            <w:tcW w:w="420" w:type="dxa"/>
            <w:vAlign w:val="bottom"/>
            <w:gridSpan w:val="3"/>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Stockholders Agreement</w:t>
            </w:r>
          </w:p>
        </w:tc>
      </w:tr>
      <w:tr>
        <w:trPr>
          <w:trHeight w:val="194"/>
        </w:trPr>
        <w:tc>
          <w:tcPr>
            <w:tcW w:w="7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Exhibit G</w:t>
            </w:r>
          </w:p>
        </w:tc>
        <w:tc>
          <w:tcPr>
            <w:tcW w:w="380" w:type="dxa"/>
            <w:vAlign w:val="bottom"/>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Bakkt Pubco Charter</w:t>
            </w: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H</w:t>
            </w: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Bakkt Pubco Bylaws</w:t>
            </w:r>
          </w:p>
        </w:tc>
      </w:tr>
      <w:tr>
        <w:trPr>
          <w:trHeight w:val="194"/>
        </w:trPr>
        <w:tc>
          <w:tcPr>
            <w:tcW w:w="64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I</w:t>
            </w:r>
          </w:p>
        </w:tc>
        <w:tc>
          <w:tcPr>
            <w:tcW w:w="60" w:type="dxa"/>
            <w:vAlign w:val="bottom"/>
            <w:tcBorders>
              <w:top w:val="single" w:sz="8" w:color="auto"/>
            </w:tcBorders>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Equity Incentive Plan</w:t>
            </w: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J</w:t>
            </w: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Support Agreement</w:t>
            </w:r>
          </w:p>
        </w:tc>
      </w:tr>
      <w:tr>
        <w:trPr>
          <w:trHeight w:val="20"/>
        </w:trPr>
        <w:tc>
          <w:tcPr>
            <w:tcW w:w="640" w:type="dxa"/>
            <w:vAlign w:val="bottom"/>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4"/>
        </w:trPr>
        <w:tc>
          <w:tcPr>
            <w:tcW w:w="7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Exhibit K</w:t>
            </w:r>
          </w:p>
        </w:tc>
        <w:tc>
          <w:tcPr>
            <w:tcW w:w="380" w:type="dxa"/>
            <w:vAlign w:val="bottom"/>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Certificate of Merger</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31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9979"/>
          </w:cols>
          <w:pgMar w:left="480" w:top="268"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AND PLAN OF MERGER</w:t>
      </w:r>
    </w:p>
    <w:p>
      <w:pPr>
        <w:spacing w:after="0" w:line="221" w:lineRule="exact"/>
        <w:rPr>
          <w:sz w:val="20"/>
          <w:szCs w:val="20"/>
          <w:color w:val="auto"/>
        </w:rPr>
      </w:pPr>
    </w:p>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11, 2021, by and among VPC Impact Acquisition Holdings, a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Pylon Merger Company LLC, a Delaware limited liability company and wholly-owned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VIH, Merger Sub and Bakkt Opco may be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WHEREAS, VIH is a blank check company formed in the Cayman Islands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upon the terms and subject to the conditions hereof, (a) immediately prior to the Effective Time, VIH will effect the transfer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continuation of VIH from the Cayman Islands to the State of Delaware VIH in accordance with the applicable provisions of the Companies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 (2020 Revision) of the Cayman Islands (the “</w:t>
      </w:r>
      <w:r>
        <w:rPr>
          <w:rFonts w:ascii="Times New Roman" w:cs="Times New Roman" w:eastAsia="Times New Roman" w:hAnsi="Times New Roman"/>
          <w:sz w:val="17"/>
          <w:szCs w:val="17"/>
          <w:u w:val="single" w:color="auto"/>
          <w:color w:val="auto"/>
        </w:rPr>
        <w:t>Companies Act</w:t>
      </w:r>
      <w:r>
        <w:rPr>
          <w:rFonts w:ascii="Times New Roman" w:cs="Times New Roman" w:eastAsia="Times New Roman" w:hAnsi="Times New Roman"/>
          <w:sz w:val="17"/>
          <w:szCs w:val="17"/>
          <w:color w:val="auto"/>
        </w:rPr>
        <w:t>”) and a continuation of VIH by way of domestication under Section 388 of the General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be renamed “Bakkt Holdings, Inc.” (such renaming, the “</w:t>
      </w:r>
      <w:r>
        <w:rPr>
          <w:rFonts w:ascii="Times New Roman" w:cs="Times New Roman" w:eastAsia="Times New Roman" w:hAnsi="Times New Roman"/>
          <w:sz w:val="18"/>
          <w:szCs w:val="18"/>
          <w:u w:val="single" w:color="auto"/>
          <w:color w:val="auto"/>
        </w:rPr>
        <w:t>Name Change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resulting corporation being referred to herein as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(such deregistration and domestication, including all matters necessary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ancillary in order to effect such domestication, including the filing of the certificate of corporate domestication and the Bakkt Pubco Charter,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and (b) at the Effective Time, Merger Sub will merge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being the surviving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(with the surviving company being referred to herein as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180" w:firstLine="982"/>
        <w:spacing w:after="0" w:line="255" w:lineRule="auto"/>
        <w:rPr>
          <w:sz w:val="20"/>
          <w:szCs w:val="20"/>
          <w:color w:val="auto"/>
        </w:rPr>
      </w:pPr>
      <w:r>
        <w:rPr>
          <w:rFonts w:ascii="Times New Roman" w:cs="Times New Roman" w:eastAsia="Times New Roman" w:hAnsi="Times New Roman"/>
          <w:sz w:val="18"/>
          <w:szCs w:val="18"/>
          <w:color w:val="auto"/>
        </w:rPr>
        <w:t>WHEREAS, following the Domestication, the holders of VIH Warrants shall, pursuant to the terms of such VIH Warrants, have the right to purchase and receive, upon the basis of, and upon terms and conditions specified in, such VIH Warrants and in lieu of the VIH Class A Shares immediately theretofore purchasable and receivable upon the exercise of rights represented thereby, the number of Bakkt Pubco Class A Shares receivable in connection with the Domestication that the holder of such VIH Warrants would have received if such holder had exercised its VIH Warrant(s) immediately prior to the Domestication (the VIH Warrants, so converted, are referred to as the “</w:t>
      </w:r>
      <w:r>
        <w:rPr>
          <w:rFonts w:ascii="Times New Roman" w:cs="Times New Roman" w:eastAsia="Times New Roman" w:hAnsi="Times New Roman"/>
          <w:sz w:val="18"/>
          <w:szCs w:val="18"/>
          <w:u w:val="single" w:color="auto"/>
          <w:color w:val="auto"/>
        </w:rPr>
        <w:t>Bakkt Pubco Warrants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982"/>
        <w:spacing w:after="0" w:line="254" w:lineRule="auto"/>
        <w:rPr>
          <w:sz w:val="20"/>
          <w:szCs w:val="20"/>
          <w:color w:val="auto"/>
        </w:rPr>
      </w:pPr>
      <w:r>
        <w:rPr>
          <w:rFonts w:ascii="Times New Roman" w:cs="Times New Roman" w:eastAsia="Times New Roman" w:hAnsi="Times New Roman"/>
          <w:sz w:val="18"/>
          <w:szCs w:val="18"/>
          <w:color w:val="auto"/>
        </w:rPr>
        <w:t>WHEREAS, the board of directors of VIH (“</w:t>
      </w:r>
      <w:r>
        <w:rPr>
          <w:rFonts w:ascii="Times New Roman" w:cs="Times New Roman" w:eastAsia="Times New Roman" w:hAnsi="Times New Roman"/>
          <w:sz w:val="18"/>
          <w:szCs w:val="18"/>
          <w:u w:val="single" w:color="auto"/>
          <w:color w:val="auto"/>
        </w:rPr>
        <w:t>VIH Board</w:t>
      </w:r>
      <w:r>
        <w:rPr>
          <w:rFonts w:ascii="Times New Roman" w:cs="Times New Roman" w:eastAsia="Times New Roman" w:hAnsi="Times New Roman"/>
          <w:sz w:val="18"/>
          <w:szCs w:val="18"/>
          <w:color w:val="auto"/>
        </w:rPr>
        <w:t>”) has unanimously approved this Agreement, the Transaction Documents to which VIH is or will be a party, the consummation of the transactions contemplated by this Agreement and the Transaction Documents to which VIH is or will be a party, including the Domestication, the Merger, the issuance of the Bakkt Pubco Class A Shares and the Bakkt Pubco Class V Shares in connection with the Merger, and the PIPE Financing, and the adoption and approval of the Equity Incentive Plan (all such transactions, as well as the other transactions contemplated by this Agreement and the other Transaction Documents,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 accordance with the Companies Act, the DGCL and the Organizational Documents of VIH;</w:t>
      </w:r>
    </w:p>
    <w:p>
      <w:pPr>
        <w:sectPr>
          <w:pgSz w:w="11900" w:h="16838" w:orient="portrait"/>
          <w:cols w:equalWidth="0" w:num="1">
            <w:col w:w="10920"/>
          </w:cols>
          <w:pgMar w:left="480" w:top="268" w:right="499" w:bottom="144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the VIH Board has unanimously (a) determined that the Transactions are advisable and in the best interests of VIH,</w:t>
      </w:r>
    </w:p>
    <w:p>
      <w:pPr>
        <w:spacing w:after="0" w:line="26" w:lineRule="exact"/>
        <w:rPr>
          <w:sz w:val="20"/>
          <w:szCs w:val="20"/>
          <w:color w:val="auto"/>
        </w:rPr>
      </w:pPr>
    </w:p>
    <w:p>
      <w:pPr>
        <w:jc w:val="both"/>
        <w:ind w:right="80" w:firstLine="7"/>
        <w:spacing w:after="0" w:line="252"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submit this Agreement to VIH Shareholders for their approval and (c) resolved to recommend adoption and approval of this Agreement and the Domestication, the Merger, the issuance of the Bakkt Pubco Class A Shares and the Bakkt Pubco Class V Shares, and the Equity Incentive Plan by VIH Shareholders;</w:t>
      </w:r>
    </w:p>
    <w:p>
      <w:pPr>
        <w:spacing w:after="0" w:line="185" w:lineRule="exact"/>
        <w:rPr>
          <w:sz w:val="20"/>
          <w:szCs w:val="20"/>
          <w:color w:val="auto"/>
        </w:rPr>
      </w:pPr>
    </w:p>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VIH, in its capacity as the sole member of Merger Sub, has approved this Agreement and approved the consummation of the Transactions to which Merger Sub is or will be a party, including the Merger, in accordance with the Delaware Limited Liability Company Act (as amended,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and the Organizational Documents of Merger Sub pursuant to which Merger Sub obtained the Merger Sub Equity Holder’s Approval;</w:t>
      </w:r>
    </w:p>
    <w:p>
      <w:pPr>
        <w:spacing w:after="0" w:line="180" w:lineRule="exact"/>
        <w:rPr>
          <w:sz w:val="20"/>
          <w:szCs w:val="20"/>
          <w:color w:val="auto"/>
        </w:rPr>
      </w:pPr>
    </w:p>
    <w:p>
      <w:pPr>
        <w:ind w:right="120" w:firstLine="982"/>
        <w:spacing w:after="0" w:line="254" w:lineRule="auto"/>
        <w:rPr>
          <w:sz w:val="20"/>
          <w:szCs w:val="20"/>
          <w:color w:val="auto"/>
        </w:rPr>
      </w:pPr>
      <w:r>
        <w:rPr>
          <w:rFonts w:ascii="Times New Roman" w:cs="Times New Roman" w:eastAsia="Times New Roman" w:hAnsi="Times New Roman"/>
          <w:sz w:val="18"/>
          <w:szCs w:val="18"/>
          <w:color w:val="auto"/>
        </w:rPr>
        <w:t>WHEREAS, the Board of Managers of Bakkt Opco has unanimously (a) determined that this Agreement and the Transactions, including the Merger are advisable and in the best interests of the Bakkt Equity Holders, (b) approved this Agreement and approved the consummation of the Transactions to which Bakkt Opco is or will be a party, and the consummation of the transactions contemplated by this Agreement and the Transaction Documents, including the Merger, (c) resolved to submit this Agreement, the Transaction Documents, the Merger and the other Transactions to the Bakkt Equity Holders for their adoption and approval and (d) resolved to recommend the adoption and approval of this Agreement, the Transaction Documents, the Merger and the other Transactions by the Bakkt Equity Holders;</w:t>
      </w:r>
    </w:p>
    <w:p>
      <w:pPr>
        <w:spacing w:after="0" w:line="184"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WHEREAS, as a material inducement to VIH’s and Merger Sub’s willingness to enter into this Agreement, (a) promptly (but in any event within twenty-four (24) hours) after the execution and delivery of this Agreement, the Majority Bakkt Equity Holder is entering into a Support Agreement (collectively, the “</w:t>
      </w:r>
      <w:r>
        <w:rPr>
          <w:rFonts w:ascii="Times New Roman" w:cs="Times New Roman" w:eastAsia="Times New Roman" w:hAnsi="Times New Roman"/>
          <w:sz w:val="18"/>
          <w:szCs w:val="18"/>
          <w:u w:val="single" w:color="auto"/>
          <w:color w:val="auto"/>
        </w:rPr>
        <w:t>Initial Bakkt Equity Holder Support Agreement</w:t>
      </w:r>
      <w:r>
        <w:rPr>
          <w:rFonts w:ascii="Times New Roman" w:cs="Times New Roman" w:eastAsia="Times New Roman" w:hAnsi="Times New Roman"/>
          <w:sz w:val="18"/>
          <w:szCs w:val="18"/>
          <w:color w:val="auto"/>
        </w:rPr>
        <w:t>”) and (b) promptly (but in any event within seven (7) days) after the execution and delivery of this Agreement, the Bakkt Equity Holders holding, together with persons delivering the Initial Bakkt Equity Holders Support Agreement, sufficient Bakkt Interests to obtain the Bakkt Equity Holders Approval (the Bakkt Equity Holders holding sufficient Bakkt Interests to obtain the Bakkt Equity Holders Approval, collectively the “</w:t>
      </w:r>
      <w:r>
        <w:rPr>
          <w:rFonts w:ascii="Times New Roman" w:cs="Times New Roman" w:eastAsia="Times New Roman" w:hAnsi="Times New Roman"/>
          <w:sz w:val="18"/>
          <w:szCs w:val="18"/>
          <w:u w:val="single" w:color="auto"/>
          <w:color w:val="auto"/>
        </w:rPr>
        <w:t>Requisite Bakkt Equity Holders</w:t>
      </w:r>
      <w:r>
        <w:rPr>
          <w:rFonts w:ascii="Times New Roman" w:cs="Times New Roman" w:eastAsia="Times New Roman" w:hAnsi="Times New Roman"/>
          <w:sz w:val="18"/>
          <w:szCs w:val="18"/>
          <w:color w:val="auto"/>
        </w:rPr>
        <w:t>”), will enter into a Joinder Agreement (the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agreeing to become a party to such Initial Bakkt Equity Holder Support Agreement in the form attached to such Initial Bakkt Equity Holder Support Agreement (the Joinder, together with the Initial Bakkt Equity Holder Support Agreement,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xml:space="preserve">”), in each case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VIH Sponsor has entered into a letter agreement with VIH and Bakkt Opco (the “</w:t>
      </w:r>
      <w:r>
        <w:rPr>
          <w:rFonts w:ascii="Times New Roman" w:cs="Times New Roman" w:eastAsia="Times New Roman" w:hAnsi="Times New Roman"/>
          <w:sz w:val="18"/>
          <w:szCs w:val="18"/>
          <w:u w:val="single" w:color="auto"/>
          <w:color w:val="auto"/>
        </w:rPr>
        <w:t>VIH Sponsor Letter</w:t>
      </w:r>
      <w:r>
        <w:rPr>
          <w:rFonts w:ascii="Times New Roman" w:cs="Times New Roman" w:eastAsia="Times New Roman" w:hAnsi="Times New Roman"/>
          <w:sz w:val="18"/>
          <w:szCs w:val="18"/>
          <w:color w:val="auto"/>
        </w:rPr>
        <w:t>”) pursuant to which, subject to the terms and conditions set forth therein, at and conditioned upon the Closing, (a) VIH Sponsor has agreed to waive the anti-dilution rights set forth in Article 17.3 of VIH’s Amended and Restated Memorandum and Articles of Association (the “</w:t>
      </w:r>
      <w:r>
        <w:rPr>
          <w:rFonts w:ascii="Times New Roman" w:cs="Times New Roman" w:eastAsia="Times New Roman" w:hAnsi="Times New Roman"/>
          <w:sz w:val="18"/>
          <w:szCs w:val="18"/>
          <w:u w:val="single" w:color="auto"/>
          <w:color w:val="auto"/>
        </w:rPr>
        <w:t>VIH Memorandum and Articles</w:t>
      </w:r>
      <w:r>
        <w:rPr>
          <w:rFonts w:ascii="Times New Roman" w:cs="Times New Roman" w:eastAsia="Times New Roman" w:hAnsi="Times New Roman"/>
          <w:sz w:val="18"/>
          <w:szCs w:val="18"/>
          <w:color w:val="auto"/>
        </w:rPr>
        <w:t xml:space="preserve">”) with respect to the VIH Class B Shares owned by VIH Sponsor that may be triggered from the PIPE Financing, the Merger and/or the other transactions contemplated hereunder, (b) VIH Sponsor has agreed to the provisions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and (c) VIH Sponsor has agreed to vote all VIH Class B Shares held by it in favor of the adoption and approval of this Agreement and the other Voting Matters;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8" w:right="539" w:bottom="1440" w:gutter="0" w:footer="0" w:header="0"/>
        </w:sectPr>
      </w:pPr>
    </w:p>
    <w:bookmarkStart w:id="19" w:name="page20"/>
    <w:bookmarkEnd w:id="19"/>
    <w:p>
      <w:pPr>
        <w:jc w:val="both"/>
        <w:ind w:right="16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concurrently with the execution and delivery of this Agreement, VIH has entered into Subscription Agreements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investors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such investors have agreed, subject to the terms and conditions set forth therein, to subscribe for and purchase, at the Closing, up to 32,500,000 Bakkt Pubco Class A Shares at $10.00 per share in cash, for aggregate gross proceeds to VIH of up to $325,000,000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WHEREAS, VIH and VIH Sponsor entered into that certain Registration Rights Agreement, dated as of September 22, 2020 (the “</w:t>
      </w:r>
      <w:r>
        <w:rPr>
          <w:rFonts w:ascii="Times New Roman" w:cs="Times New Roman" w:eastAsia="Times New Roman" w:hAnsi="Times New Roman"/>
          <w:sz w:val="17"/>
          <w:szCs w:val="17"/>
          <w:u w:val="single" w:color="auto"/>
          <w:color w:val="auto"/>
        </w:rPr>
        <w:t>Original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RRA</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WHEREAS, Bakkt Pubco, certain of the Bakkt Equity Holders, VIH Sponsor and certain other parties thereto will, concurrently with the Closing, enter into a registration rights,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in connection with the execution of the Registration Rights Agreement, the parties to the Original RRA desire to terminate the Original RRA and replace it with the Registration Rights Agreement; and</w:t>
      </w:r>
    </w:p>
    <w:p>
      <w:pPr>
        <w:spacing w:after="0" w:line="180" w:lineRule="exact"/>
        <w:rPr>
          <w:sz w:val="20"/>
          <w:szCs w:val="20"/>
          <w:color w:val="auto"/>
        </w:rPr>
      </w:pPr>
    </w:p>
    <w:p>
      <w:pPr>
        <w:ind w:right="260" w:firstLine="982"/>
        <w:spacing w:after="0" w:line="263" w:lineRule="auto"/>
        <w:rPr>
          <w:sz w:val="20"/>
          <w:szCs w:val="20"/>
          <w:color w:val="auto"/>
        </w:rPr>
      </w:pPr>
      <w:r>
        <w:rPr>
          <w:rFonts w:ascii="Times New Roman" w:cs="Times New Roman" w:eastAsia="Times New Roman" w:hAnsi="Times New Roman"/>
          <w:sz w:val="18"/>
          <w:szCs w:val="18"/>
          <w:color w:val="auto"/>
        </w:rPr>
        <w:t>WHEREAS, as a condition to the consummation of the Transactions and in accordance with the terms hereof and Article 51 of the VIH Memorandum and Articles, VIH shall provide an opportunity to its shareholders to have their shares of VIH Class A Shares redeemed for the consideration, and on the terms and subject to the conditions and limitations, set forth in this Agreement and the VIH Memorandum and Articles.</w:t>
      </w:r>
    </w:p>
    <w:p>
      <w:pPr>
        <w:spacing w:after="0" w:line="175" w:lineRule="exact"/>
        <w:rPr>
          <w:sz w:val="20"/>
          <w:szCs w:val="20"/>
          <w:color w:val="auto"/>
        </w:rPr>
      </w:pPr>
    </w:p>
    <w:p>
      <w:pPr>
        <w:jc w:val="both"/>
        <w:ind w:right="280" w:firstLine="982"/>
        <w:spacing w:after="0" w:line="263"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representations, warranties, covenants and agreements herein contained, and for other good and valuable consideration (the receipt and sufficiency of which are hereby acknowledged), the Parties, intending to be legally bound, hereby agree as follows: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TRANSACTIONS; THE MERGER</w:t>
      </w:r>
    </w:p>
    <w:p>
      <w:pPr>
        <w:spacing w:after="0" w:line="225" w:lineRule="exact"/>
        <w:rPr>
          <w:sz w:val="20"/>
          <w:szCs w:val="20"/>
          <w:color w:val="auto"/>
        </w:rPr>
      </w:pPr>
    </w:p>
    <w:p>
      <w:pPr>
        <w:ind w:right="180" w:firstLine="982"/>
        <w:spacing w:after="0" w:line="274"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Closing Transactions</w:t>
      </w:r>
      <w:r>
        <w:rPr>
          <w:rFonts w:ascii="Times New Roman" w:cs="Times New Roman" w:eastAsia="Times New Roman" w:hAnsi="Times New Roman"/>
          <w:sz w:val="17"/>
          <w:szCs w:val="17"/>
          <w:color w:val="auto"/>
        </w:rPr>
        <w:t>. At the Closing, the parties shall cause the consummation of the following transactions in the following order, in each case, conditional upon each transaction having been consummated, upon the terms and subject to the conditions of this Agreement:</w:t>
      </w:r>
    </w:p>
    <w:p>
      <w:pPr>
        <w:jc w:val="both"/>
        <w:ind w:right="60" w:firstLine="7"/>
        <w:spacing w:after="0" w:line="250" w:lineRule="auto"/>
        <w:tabs>
          <w:tab w:leader="none" w:pos="2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VIH Sponsor shall waive the anti-dilution rights set forth in Article 17.3 of the VIH Memorandum and Articles with respect to the VIH Class B Shares that may result from the PIPE Financing, the Merger and/or the other transactions contemplated hereunder, in each case, pursuant to and in accordance with the terms of the VIH Sponsor Letter; (ii) VIH shall consummate the Domestication; (iii) the PIPE Investors and VIH shall consummate the PIPE Financing; and (iv) the Certificate of Merger shall be executed, delivered, and filed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hereof, at the Effective Time, Merger Sub shall be merged with and into Bakkt Opco in accordance with Section 18-209 of the DLLCA, whereupon the separate limited liability company existence of Merger Sub shall cease, and Bakkt Opco shall continue as the surviving limited liability company in the Merger. Any reference in this Agreement to Bakkt Opco for periods from and after the Effective Time will be deemed to include Surviving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20" w:name="page21"/>
    <w:bookmarkEnd w:id="20"/>
    <w:p>
      <w:pPr>
        <w:ind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Location and Date</w:t>
      </w:r>
      <w:r>
        <w:rPr>
          <w:rFonts w:ascii="Times New Roman" w:cs="Times New Roman" w:eastAsia="Times New Roman" w:hAnsi="Times New Roman"/>
          <w:sz w:val="18"/>
          <w:szCs w:val="18"/>
          <w:color w:val="auto"/>
        </w:rPr>
        <w:t>. The consummation of the transactions contemplated by this Agreement, including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 electronically by remote mutual exchange of signatures and documents commencing as promptly as reasonably practicable (and in any event no later than 8:00 a.m., Eastern Time, on the fifth (5</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color w:val="auto"/>
        </w:rPr>
        <w:t xml:space="preserve">) Business Day) following the date on which all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have been satisfied or waived to the extent such conditions can be waived in accordance with applicable Law (other than those that by their terms are not contemplated to be satisfied until the time of the Closing, but subject to the fulfillment or waiver of such conditions at the time of the Closing) or (b) such other place, date or time as VIH and Bakkt Opco may mutually agree in writing. The date on which the Closing actually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In connection with the Closing, on the Closing Date, VIH and Bakkt Opco shall cause a certificate of merger,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acknowledged and filed with the Office of the Secretary of State of the State of Delaware in accordance with the applicable provisions of the DLLCA. The Merger shall become effective at such time as the Certificate of Merger is duly filed with and accepted by the Office of the Secretary of State of the State of Delaware, unless VIH and Bakkt Opco shall agree and specify a subsequent date or time (the time at which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Effects of Merger</w:t>
      </w:r>
      <w:r>
        <w:rPr>
          <w:rFonts w:ascii="Times New Roman" w:cs="Times New Roman" w:eastAsia="Times New Roman" w:hAnsi="Times New Roman"/>
          <w:sz w:val="18"/>
          <w:szCs w:val="18"/>
          <w:color w:val="auto"/>
        </w:rPr>
        <w:t>. The Merger will have the effects provided in this Agreement and the applicable provisions of the DLLCA. Without limiting the generality of the foregoing, and subject thereto, at the Effective Time, all the property, rights, privileges, agreements, powers and franchises, debts, liabilities, duties and obligations of Merger Sub and Bakkt Opco shall become the property, rights, privileges, agreements, powers and franchises, debts, liabilities, duties and obligations of the Surviving Company, which shall include the assumption by the Surviving Company of any and all agreements, covenants, duties and obligations of Merger Sub and the Surviving Company set forth in this Agreement to be performed after the Effective Time.</w:t>
      </w:r>
    </w:p>
    <w:p>
      <w:pPr>
        <w:spacing w:after="0" w:line="184"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Organizational Documents of Surviving Company</w:t>
      </w:r>
      <w:r>
        <w:rPr>
          <w:rFonts w:ascii="Times New Roman" w:cs="Times New Roman" w:eastAsia="Times New Roman" w:hAnsi="Times New Roman"/>
          <w:sz w:val="18"/>
          <w:szCs w:val="18"/>
          <w:color w:val="auto"/>
        </w:rPr>
        <w:t xml:space="preserve">. At the Effective Time, the certificate of formation of Bakkt Opco as of the date hereof shall become the certificate of formation of Surviving Company and the limited liability company agreement of Bakkt Opco shall be amended and restated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Surviving Company LLC Agreement</w:t>
      </w:r>
      <w:r>
        <w:rPr>
          <w:rFonts w:ascii="Times New Roman" w:cs="Times New Roman" w:eastAsia="Times New Roman" w:hAnsi="Times New Roman"/>
          <w:sz w:val="18"/>
          <w:szCs w:val="18"/>
          <w:color w:val="auto"/>
        </w:rPr>
        <w:t>”), which shall become the limited liability company agreement of the Surviving Company, in each case until thereafter amended in accordance with the DLLCA and as provided in such certificate of formation or limited liability company agreement, as applicable.</w:t>
      </w:r>
    </w:p>
    <w:p>
      <w:pPr>
        <w:spacing w:after="0" w:line="184"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Directors, Managers and Officers of Surviving Company</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 the officers of Bakkt Opco immediately prior to the Closing shall, from and after the Effective Time, become officers of Surviving Company until their successors shall have been duly elected, appointed or qualified or until their earlier death, resignation or removal in accordance with the Organizational Documents of Surviving Company and applicable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Law. From and after the Effective Time, the sole manager of the Surviving Company shall be Bakkt Pubco, which shall be the sole managing member of Surviving Company (and all members of the Board of Managers of Bakkt Opco immediately prior to the Effective Time shall resign or be removed as of the Effective Time), until the Organizational Documents of Surviving Company are thereafter amended in accordance with the DLLCA and as provided in such Organizational Documents.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Certain Closing Deliveries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40" w:hanging="250"/>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on the terms and conditions set forth in this Agreement, Bakkt Pubco shall deliver to Bakkt Opco:</w:t>
      </w:r>
    </w:p>
    <w:p>
      <w:pPr>
        <w:spacing w:after="0" w:line="113"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Surviving Company LLC Agreement, duly executed by Bakkt Pubco;</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Exchange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duly executed by</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w:t>
      </w:r>
    </w:p>
    <w:p>
      <w:pPr>
        <w:spacing w:after="0" w:line="95" w:lineRule="exact"/>
        <w:rPr>
          <w:rFonts w:ascii="Times New Roman" w:cs="Times New Roman" w:eastAsia="Times New Roman" w:hAnsi="Times New Roman"/>
          <w:sz w:val="18"/>
          <w:szCs w:val="18"/>
          <w:color w:val="auto"/>
        </w:rPr>
      </w:pPr>
    </w:p>
    <w:p>
      <w:pPr>
        <w:ind w:left="440" w:right="480" w:firstLine="947"/>
        <w:spacing w:after="0" w:line="278" w:lineRule="auto"/>
        <w:tabs>
          <w:tab w:leader="none" w:pos="16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Tax Receivable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duly executed by Bakkt Pubco;</w:t>
      </w:r>
    </w:p>
    <w:p>
      <w:pPr>
        <w:spacing w:after="0" w:line="55"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Rights Agreement, duly executed by Bakkt Pubco;</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Voting Agreement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duly executed by Bakkt Pubco;</w:t>
      </w:r>
    </w:p>
    <w:p>
      <w:pPr>
        <w:spacing w:after="0" w:line="113" w:lineRule="exact"/>
        <w:rPr>
          <w:rFonts w:ascii="Times New Roman" w:cs="Times New Roman" w:eastAsia="Times New Roman" w:hAnsi="Times New Roman"/>
          <w:sz w:val="18"/>
          <w:szCs w:val="18"/>
          <w:color w:val="auto"/>
        </w:rPr>
      </w:pPr>
    </w:p>
    <w:p>
      <w:pPr>
        <w:ind w:left="440" w:right="120" w:firstLine="947"/>
        <w:spacing w:after="0" w:line="278" w:lineRule="auto"/>
        <w:tabs>
          <w:tab w:leader="none" w:pos="16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Stockholders Agreement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duly executed by Bakkt Pubco and VIH Sponsor; and</w:t>
      </w:r>
    </w:p>
    <w:p>
      <w:pPr>
        <w:spacing w:after="0" w:line="55" w:lineRule="exact"/>
        <w:rPr>
          <w:rFonts w:ascii="Times New Roman" w:cs="Times New Roman" w:eastAsia="Times New Roman" w:hAnsi="Times New Roman"/>
          <w:sz w:val="18"/>
          <w:szCs w:val="18"/>
          <w:color w:val="auto"/>
        </w:rPr>
      </w:pPr>
    </w:p>
    <w:p>
      <w:pPr>
        <w:ind w:left="440" w:right="620" w:firstLine="947"/>
        <w:spacing w:after="0" w:line="278" w:lineRule="auto"/>
        <w:tabs>
          <w:tab w:leader="none" w:pos="173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Closing Date and duly executed by an authorized officer of Bakkt Pubco, certifying that the conditions set forth in each of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have been satisfied.</w:t>
      </w:r>
    </w:p>
    <w:p>
      <w:pPr>
        <w:spacing w:after="0" w:line="16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on the terms and conditions set forth in this Agreement, Bakkt Opco shall deliver to Bakkt Pubco:</w:t>
      </w:r>
    </w:p>
    <w:p>
      <w:pPr>
        <w:spacing w:after="0" w:line="113" w:lineRule="exact"/>
        <w:rPr>
          <w:rFonts w:ascii="Times New Roman" w:cs="Times New Roman" w:eastAsia="Times New Roman" w:hAnsi="Times New Roman"/>
          <w:sz w:val="18"/>
          <w:szCs w:val="18"/>
          <w:color w:val="auto"/>
        </w:rPr>
      </w:pPr>
    </w:p>
    <w:p>
      <w:pPr>
        <w:ind w:left="440" w:right="260" w:firstLine="947"/>
        <w:spacing w:after="0" w:line="278" w:lineRule="auto"/>
        <w:tabs>
          <w:tab w:leader="none" w:pos="15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Surviving Company LLC Agreement, duly executed by the Requisite Bakkt Equity Holders (which shall include, without limitation, the holders of a majority in interest of the Surviving Company Common Units (other than Bakkt Pubco));</w:t>
      </w:r>
    </w:p>
    <w:p>
      <w:pPr>
        <w:spacing w:after="0" w:line="55" w:lineRule="exact"/>
        <w:rPr>
          <w:rFonts w:ascii="Times New Roman" w:cs="Times New Roman" w:eastAsia="Times New Roman" w:hAnsi="Times New Roman"/>
          <w:sz w:val="18"/>
          <w:szCs w:val="18"/>
          <w:color w:val="auto"/>
        </w:rPr>
      </w:pPr>
    </w:p>
    <w:p>
      <w:pPr>
        <w:ind w:left="440" w:right="740" w:firstLine="947"/>
        <w:spacing w:after="0" w:line="278" w:lineRule="auto"/>
        <w:tabs>
          <w:tab w:leader="none" w:pos="16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Exchange Agreement, duly executed by the Requisite Bakkt Equity Holders (which shall include, without limitation, the holders of a majority in interest of the Surviving Company Common Units (other than Bakkt Pubco));</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22" w:name="page23"/>
    <w:bookmarkEnd w:id="22"/>
    <w:p>
      <w:pPr>
        <w:ind w:left="440" w:right="280" w:firstLine="947"/>
        <w:spacing w:after="0" w:line="278" w:lineRule="auto"/>
        <w:tabs>
          <w:tab w:leader="none" w:pos="1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copy of the Tax Receivable Agreement, duly executed by the Requisite Bakkt Equity Holders (which shall include, without limitation, the holders of a majority in interest of the Surviving Company Common Units (other than Bakkt Pubco));</w:t>
      </w:r>
    </w:p>
    <w:p>
      <w:pPr>
        <w:spacing w:after="0" w:line="55" w:lineRule="exact"/>
        <w:rPr>
          <w:rFonts w:ascii="Times New Roman" w:cs="Times New Roman" w:eastAsia="Times New Roman" w:hAnsi="Times New Roman"/>
          <w:sz w:val="18"/>
          <w:szCs w:val="18"/>
          <w:color w:val="auto"/>
        </w:rPr>
      </w:pPr>
    </w:p>
    <w:p>
      <w:pPr>
        <w:ind w:left="440" w:right="280" w:firstLine="947"/>
        <w:spacing w:after="0" w:line="278" w:lineRule="auto"/>
        <w:tabs>
          <w:tab w:leader="none" w:pos="1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resignation letters, in the form reasonably agreed to by VIH and Bakkt Opco, duly executed by each manager on the Board of Managers of Bakkt Opco;</w:t>
      </w:r>
    </w:p>
    <w:p>
      <w:pPr>
        <w:spacing w:after="0" w:line="55"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Voting Agreement, duly executed by the Majority Bakkt Equity Holder;</w:t>
      </w:r>
    </w:p>
    <w:p>
      <w:pPr>
        <w:spacing w:after="0" w:line="113" w:lineRule="exact"/>
        <w:rPr>
          <w:rFonts w:ascii="Times New Roman" w:cs="Times New Roman" w:eastAsia="Times New Roman" w:hAnsi="Times New Roman"/>
          <w:sz w:val="18"/>
          <w:szCs w:val="18"/>
          <w:color w:val="auto"/>
        </w:rPr>
      </w:pPr>
    </w:p>
    <w:p>
      <w:pPr>
        <w:ind w:left="440" w:right="740" w:firstLine="947"/>
        <w:spacing w:after="0" w:line="278" w:lineRule="auto"/>
        <w:tabs>
          <w:tab w:leader="none" w:pos="1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Closing Date and duly executed by an authorized officer of Bakkt Opco, certifying that the conditions set forth in each of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55" w:lineRule="exact"/>
        <w:rPr>
          <w:rFonts w:ascii="Times New Roman" w:cs="Times New Roman" w:eastAsia="Times New Roman" w:hAnsi="Times New Roman"/>
          <w:sz w:val="18"/>
          <w:szCs w:val="18"/>
          <w:color w:val="auto"/>
        </w:rPr>
      </w:pPr>
    </w:p>
    <w:p>
      <w:pPr>
        <w:ind w:left="440" w:right="420" w:firstLine="947"/>
        <w:spacing w:after="0" w:line="278" w:lineRule="auto"/>
        <w:tabs>
          <w:tab w:leader="none" w:pos="17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Stockholders Agreement, duly executed by the Requisite Bakkt Equity Holders (which shall include, without limitation, the holders of a majority in interest of the Surviving Company Common Units (other than Bakkt Pubco));</w:t>
      </w:r>
    </w:p>
    <w:p>
      <w:pPr>
        <w:spacing w:after="0" w:line="55" w:lineRule="exact"/>
        <w:rPr>
          <w:rFonts w:ascii="Times New Roman" w:cs="Times New Roman" w:eastAsia="Times New Roman" w:hAnsi="Times New Roman"/>
          <w:sz w:val="18"/>
          <w:szCs w:val="18"/>
          <w:color w:val="auto"/>
        </w:rPr>
      </w:pPr>
    </w:p>
    <w:p>
      <w:pPr>
        <w:ind w:left="440" w:firstLine="947"/>
        <w:spacing w:after="0" w:line="278" w:lineRule="auto"/>
        <w:tabs>
          <w:tab w:leader="none" w:pos="17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the Secretary of State of the State of Delaware, dated within ten (10) Business Days prior to the Closing Date, certifying that Bakkt Opco is in good standing;</w:t>
      </w:r>
    </w:p>
    <w:p>
      <w:pPr>
        <w:spacing w:after="0" w:line="55"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Financial Statements; and</w:t>
      </w:r>
    </w:p>
    <w:p>
      <w:pPr>
        <w:spacing w:after="0" w:line="113" w:lineRule="exact"/>
        <w:rPr>
          <w:rFonts w:ascii="Times New Roman" w:cs="Times New Roman" w:eastAsia="Times New Roman" w:hAnsi="Times New Roman"/>
          <w:sz w:val="18"/>
          <w:szCs w:val="18"/>
          <w:color w:val="auto"/>
        </w:rPr>
      </w:pPr>
    </w:p>
    <w:p>
      <w:pPr>
        <w:ind w:left="440" w:right="60" w:firstLine="947"/>
        <w:spacing w:after="0" w:line="278" w:lineRule="auto"/>
        <w:tabs>
          <w:tab w:leader="none" w:pos="1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Rights Agreement, duly executed by the Requisite Bakkt Equity Holders (which shall include, without limitation, the holders of a majority in interest of the Surviving Company Common Units (other than Bakkt Pubco)).</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 OF THE DOMESTICATION AND MERGER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Actions to Effect Domestication</w:t>
      </w:r>
      <w:r>
        <w:rPr>
          <w:rFonts w:ascii="Times New Roman" w:cs="Times New Roman" w:eastAsia="Times New Roman" w:hAnsi="Times New Roman"/>
          <w:sz w:val="18"/>
          <w:szCs w:val="18"/>
          <w:color w:val="auto"/>
        </w:rPr>
        <w:t>. Immediately prior to the Effective Time, subject to obtaining the VIH Shareholders’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95" w:lineRule="exact"/>
        <w:rPr>
          <w:sz w:val="20"/>
          <w:szCs w:val="20"/>
          <w:color w:val="auto"/>
        </w:rPr>
      </w:pPr>
    </w:p>
    <w:p>
      <w:pPr>
        <w:ind w:right="480" w:firstLine="990"/>
        <w:spacing w:after="0" w:line="278" w:lineRule="auto"/>
        <w:tabs>
          <w:tab w:leader="none" w:pos="1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shall attend to and effect all filings, including with the Registrar of Companies in the Cayman Islands, as required under the Companies Act to effect the Domestication;</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shall duly execute and file a certificate of corporate domestication with the Office of the Secretary of State of the State of</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5" w:lineRule="exact"/>
        <w:rPr>
          <w:rFonts w:ascii="Times New Roman" w:cs="Times New Roman" w:eastAsia="Times New Roman" w:hAnsi="Times New Roman"/>
          <w:sz w:val="18"/>
          <w:szCs w:val="18"/>
          <w:color w:val="auto"/>
        </w:rPr>
      </w:pPr>
    </w:p>
    <w:p>
      <w:pPr>
        <w:jc w:val="both"/>
        <w:ind w:right="320" w:firstLine="990"/>
        <w:spacing w:after="0" w:line="258" w:lineRule="auto"/>
        <w:tabs>
          <w:tab w:leader="none" w:pos="1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VIH shall duly execute and file a certificate of incorporation with the Secretary of State of the State of Delaware in the form of the certificate of incorporation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Bakkt Pubco Charter</w:t>
      </w:r>
      <w:r>
        <w:rPr>
          <w:rFonts w:ascii="Times New Roman" w:cs="Times New Roman" w:eastAsia="Times New Roman" w:hAnsi="Times New Roman"/>
          <w:sz w:val="18"/>
          <w:szCs w:val="18"/>
          <w:color w:val="auto"/>
        </w:rPr>
        <w:t>”), effective as of immediately prior to the Effective Time, which shall be the certificate of incorporation of Bakkt Pubco until thereafter amended in accordance with the DGCL and as provided in such certificate of incorporation;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23" w:name="page24"/>
    <w:bookmarkEnd w:id="23"/>
    <w:p>
      <w:pPr>
        <w:ind w:right="220" w:firstLine="990"/>
        <w:spacing w:after="0" w:line="263" w:lineRule="auto"/>
        <w:tabs>
          <w:tab w:leader="none" w:pos="12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Bakkt Pubco shall adopt bylaws in the form of the bylaws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Bakkt Pubco Bylaws</w:t>
      </w:r>
      <w:r>
        <w:rPr>
          <w:rFonts w:ascii="Times New Roman" w:cs="Times New Roman" w:eastAsia="Times New Roman" w:hAnsi="Times New Roman"/>
          <w:sz w:val="18"/>
          <w:szCs w:val="18"/>
          <w:color w:val="auto"/>
        </w:rPr>
        <w:t>”), effective as of immediately prior to the Effective Time, which shall be the bylaws of Bakkt Pubco until thereafter amended in accordance with the DGCL, the Bakkt Pubco Charter and as provided in such Bakkt Pubco Bylaws; and</w:t>
      </w:r>
    </w:p>
    <w:p>
      <w:pPr>
        <w:spacing w:after="0" w:line="68" w:lineRule="exact"/>
        <w:rPr>
          <w:rFonts w:ascii="Times New Roman" w:cs="Times New Roman" w:eastAsia="Times New Roman" w:hAnsi="Times New Roman"/>
          <w:sz w:val="18"/>
          <w:szCs w:val="18"/>
          <w:color w:val="auto"/>
        </w:rPr>
      </w:pPr>
    </w:p>
    <w:p>
      <w:pPr>
        <w:ind w:firstLine="990"/>
        <w:spacing w:after="0" w:line="255" w:lineRule="auto"/>
        <w:tabs>
          <w:tab w:leader="none" w:pos="1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shall take any other action reasonably necessary to consummate the Domestication in accordance with the applicable provisions of the DGCL and the Companies Act, in each case such that the Domestication shall become effective prior to the Effective Time. Upon the reasonable request of VIH, Bakkt Opco shall execute, acknowledge and deliver all such instruments and documents and shall take all such other actions reasonably required to consummate and make effective the Domestication, including, without limitation, in respect of the Name Change, executing a consent for the use of a similar corporate name or similar document.</w:t>
      </w:r>
    </w:p>
    <w:p>
      <w:pPr>
        <w:spacing w:after="0" w:line="184" w:lineRule="exact"/>
        <w:rPr>
          <w:sz w:val="20"/>
          <w:szCs w:val="20"/>
          <w:color w:val="auto"/>
        </w:rPr>
      </w:pPr>
    </w:p>
    <w:p>
      <w:pPr>
        <w:ind w:right="34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Effect of Domestication</w:t>
      </w:r>
      <w:r>
        <w:rPr>
          <w:rFonts w:ascii="Times New Roman" w:cs="Times New Roman" w:eastAsia="Times New Roman" w:hAnsi="Times New Roman"/>
          <w:sz w:val="17"/>
          <w:szCs w:val="17"/>
          <w:color w:val="auto"/>
        </w:rPr>
        <w:t>. Upon the Domestication, subject to consummation of the Merger and effective as of immediately prior to the Effective Time, by virtue of the Domestication and without any action on the part of VIH, any VIH Shareholder or any other Person:</w:t>
      </w:r>
    </w:p>
    <w:p>
      <w:pPr>
        <w:spacing w:after="0" w:line="33" w:lineRule="exact"/>
        <w:rPr>
          <w:sz w:val="20"/>
          <w:szCs w:val="20"/>
          <w:color w:val="auto"/>
        </w:rPr>
      </w:pPr>
    </w:p>
    <w:p>
      <w:pPr>
        <w:ind w:right="260" w:firstLine="990"/>
        <w:spacing w:after="0" w:line="278" w:lineRule="auto"/>
        <w:tabs>
          <w:tab w:leader="none" w:pos="12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VIH Public Unit issued and outstanding immediately prior to the Domestication shall be separated into its component share of VIH Class A Share and VIH Warrant;</w:t>
      </w:r>
    </w:p>
    <w:p>
      <w:pPr>
        <w:spacing w:after="0" w:line="55" w:lineRule="exact"/>
        <w:rPr>
          <w:rFonts w:ascii="Times New Roman" w:cs="Times New Roman" w:eastAsia="Times New Roman" w:hAnsi="Times New Roman"/>
          <w:sz w:val="18"/>
          <w:szCs w:val="18"/>
          <w:color w:val="auto"/>
        </w:rPr>
      </w:pPr>
    </w:p>
    <w:p>
      <w:pPr>
        <w:jc w:val="both"/>
        <w:ind w:right="80" w:firstLine="990"/>
        <w:spacing w:after="0" w:line="255" w:lineRule="auto"/>
        <w:tabs>
          <w:tab w:leader="none" w:pos="12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VIH Class A Share issued and outstanding immediately prior to the Domestication shall remain outstanding and shall be automatically converted into one (1) Bakkt Pubco Class A Share and (ii) the transfer books of VIH and Bakkt Pubco shall record such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VIH Class A Share owned by Public Stockholders who have validly elected to redeem their shares in connection with the Redemption shall entitle the holder thereof to receive only cash in an amount equal to the Redemption Price as provided for in the Trust Agreement and the VIH Memorandum and Articles.</w:t>
      </w:r>
    </w:p>
    <w:p>
      <w:pPr>
        <w:spacing w:after="0" w:line="7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VIH Class B Share issued and outstanding immediately prior to the Domestication shall be automatically converted into</w:t>
      </w:r>
    </w:p>
    <w:p>
      <w:pPr>
        <w:spacing w:after="0" w:line="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one (1) Bakkt Pubco Class A Share, (ii) the transfer books of VIH and Bakkt Pubco shall record such conversion and (iii) all rights in respect of all VIH Class B Shares shall cease to exist, other than the right to receive the Bakkt Pubco Class A Shares in accordance with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240" w:hanging="250"/>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VIH Warrants shall be automatically converted into one (1) Bakkt Pubco Warrant.</w:t>
      </w:r>
    </w:p>
    <w:p>
      <w:pPr>
        <w:spacing w:after="0" w:line="113" w:lineRule="exact"/>
        <w:rPr>
          <w:rFonts w:ascii="Times New Roman" w:cs="Times New Roman" w:eastAsia="Times New Roman" w:hAnsi="Times New Roman"/>
          <w:sz w:val="18"/>
          <w:szCs w:val="18"/>
          <w:color w:val="auto"/>
        </w:rPr>
      </w:pPr>
    </w:p>
    <w:p>
      <w:pPr>
        <w:ind w:right="200" w:firstLine="990"/>
        <w:spacing w:after="0" w:line="255" w:lineRule="auto"/>
        <w:tabs>
          <w:tab w:leader="none" w:pos="1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VIH Class A Shares and VIH Class B Shares, collectively, for periods from and after the Domestication will be deemed to include the Bakkt Pubco Class A Shares. Notwithstanding anything to the contrary contained in this Agreement, the parties acknowledge and agree that the Domestication will occur immediately prior to the Merger for Tax and all other purposes. For the avoidance of doubt, any reference in this Agreement to Bakkt Pubco for periods prior to the Domestication shall mean VIH and any reference in this Agreement to VIH for periods from and after the Domestication shall mean Bakkt Pubco.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Merger and Closing Payments; Effect on Equity Interests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00" w:hanging="250"/>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Bakkt Pubco shall:</w:t>
      </w:r>
    </w:p>
    <w:p>
      <w:pPr>
        <w:spacing w:after="0" w:line="113" w:lineRule="exact"/>
        <w:rPr>
          <w:rFonts w:ascii="Times New Roman" w:cs="Times New Roman" w:eastAsia="Times New Roman" w:hAnsi="Times New Roman"/>
          <w:sz w:val="18"/>
          <w:szCs w:val="18"/>
          <w:color w:val="auto"/>
        </w:rPr>
      </w:pPr>
    </w:p>
    <w:p>
      <w:pPr>
        <w:ind w:left="400" w:right="40" w:firstLine="947"/>
        <w:spacing w:after="0" w:line="263" w:lineRule="auto"/>
        <w:tabs>
          <w:tab w:leader="none" w:pos="15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as applicable, directly to each Person to whom Bakkt Transaction Expenses or VIH Transaction Expenses are owed, all sums necessary and sufficient to fully pay, discharge and satisfy all such Bakkt Transaction Expenses or VIH Transaction Expenses, in each case as reflected on the Closing Statement;</w:t>
      </w:r>
    </w:p>
    <w:p>
      <w:pPr>
        <w:spacing w:after="0" w:line="68" w:lineRule="exact"/>
        <w:rPr>
          <w:rFonts w:ascii="Times New Roman" w:cs="Times New Roman" w:eastAsia="Times New Roman" w:hAnsi="Times New Roman"/>
          <w:sz w:val="18"/>
          <w:szCs w:val="18"/>
          <w:color w:val="auto"/>
        </w:rPr>
      </w:pPr>
    </w:p>
    <w:p>
      <w:pPr>
        <w:jc w:val="both"/>
        <w:ind w:left="400" w:right="120" w:firstLine="947"/>
        <w:spacing w:after="0" w:line="263" w:lineRule="auto"/>
        <w:tabs>
          <w:tab w:leader="none" w:pos="16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by wire transfer of immediately available funds, to Bakkt Opco (to such account or accounts of Bakkt Opco as Bakkt Opco shall designate in writing to VIH not less than two (2) Business Days prior to the Closing Date) the amount of Bakkt Transaction Expenses paid prior to Closing, as reflected on the Closing Statement; and</w:t>
      </w:r>
    </w:p>
    <w:p>
      <w:pPr>
        <w:spacing w:after="0" w:line="68" w:lineRule="exact"/>
        <w:rPr>
          <w:rFonts w:ascii="Times New Roman" w:cs="Times New Roman" w:eastAsia="Times New Roman" w:hAnsi="Times New Roman"/>
          <w:sz w:val="18"/>
          <w:szCs w:val="18"/>
          <w:color w:val="auto"/>
        </w:rPr>
      </w:pPr>
    </w:p>
    <w:p>
      <w:pPr>
        <w:ind w:left="400" w:right="80" w:firstLine="947"/>
        <w:spacing w:after="0" w:line="278" w:lineRule="auto"/>
        <w:tabs>
          <w:tab w:leader="none" w:pos="1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by wire transfer of immediately available funds, to Bakkt Opco (to such account or accounts of Bakkt Opco as Bakkt Opco shall designate in writing to VIH not less than two (2) Business Days prior to the Closing Date), an amount equal to the Available Cash.</w:t>
      </w:r>
    </w:p>
    <w:p>
      <w:pPr>
        <w:spacing w:after="0" w:line="55" w:lineRule="exact"/>
        <w:rPr>
          <w:rFonts w:ascii="Times New Roman" w:cs="Times New Roman" w:eastAsia="Times New Roman" w:hAnsi="Times New Roman"/>
          <w:sz w:val="18"/>
          <w:szCs w:val="18"/>
          <w:color w:val="auto"/>
        </w:rPr>
      </w:pPr>
    </w:p>
    <w:p>
      <w:pPr>
        <w:ind w:left="-40" w:right="140" w:firstLine="990"/>
        <w:spacing w:after="0" w:line="278" w:lineRule="auto"/>
        <w:tabs>
          <w:tab w:leader="none" w:pos="11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Bakkt Pubco, Merger Sub, Bakkt Opco or any of the Bakkt Equity Holders:</w:t>
      </w:r>
    </w:p>
    <w:p>
      <w:pPr>
        <w:spacing w:after="0" w:line="55" w:lineRule="exact"/>
        <w:rPr>
          <w:rFonts w:ascii="Times New Roman" w:cs="Times New Roman" w:eastAsia="Times New Roman" w:hAnsi="Times New Roman"/>
          <w:sz w:val="18"/>
          <w:szCs w:val="18"/>
          <w:color w:val="auto"/>
        </w:rPr>
      </w:pPr>
    </w:p>
    <w:p>
      <w:pPr>
        <w:ind w:left="400" w:right="60" w:firstLine="947"/>
        <w:spacing w:after="0" w:line="278" w:lineRule="auto"/>
        <w:tabs>
          <w:tab w:leader="none" w:pos="15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Bakkt Interests held by Bakkt Opco or any of its Subsidiaries (the “</w:t>
      </w:r>
      <w:r>
        <w:rPr>
          <w:rFonts w:ascii="Times New Roman" w:cs="Times New Roman" w:eastAsia="Times New Roman" w:hAnsi="Times New Roman"/>
          <w:sz w:val="18"/>
          <w:szCs w:val="18"/>
          <w:u w:val="single" w:color="auto"/>
          <w:color w:val="auto"/>
        </w:rPr>
        <w:t>Excluded Bakkt Interests</w:t>
      </w:r>
      <w:r>
        <w:rPr>
          <w:rFonts w:ascii="Times New Roman" w:cs="Times New Roman" w:eastAsia="Times New Roman" w:hAnsi="Times New Roman"/>
          <w:sz w:val="18"/>
          <w:szCs w:val="18"/>
          <w:color w:val="auto"/>
        </w:rPr>
        <w:t>”) shall be automatically cancelled and no consideration shall be issued or paid in respect thereof;</w:t>
      </w:r>
    </w:p>
    <w:p>
      <w:pPr>
        <w:spacing w:after="0" w:line="55" w:lineRule="exact"/>
        <w:rPr>
          <w:rFonts w:ascii="Times New Roman" w:cs="Times New Roman" w:eastAsia="Times New Roman" w:hAnsi="Times New Roman"/>
          <w:sz w:val="18"/>
          <w:szCs w:val="18"/>
          <w:color w:val="auto"/>
        </w:rPr>
      </w:pPr>
    </w:p>
    <w:p>
      <w:pPr>
        <w:ind w:left="400" w:right="20" w:firstLine="947"/>
        <w:spacing w:after="0" w:line="252" w:lineRule="auto"/>
        <w:tabs>
          <w:tab w:leader="none" w:pos="16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Bakkt Interests held by each Bakkt Equity Holder (other than the Excluded Bakkt Interests) shall be converted into the right to receive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from Surviving Company and from Bakkt Pubco the number of Surviving Company Common Units and the number of validly issued, fully paid and nonassessable Bakkt Pubco Class V Shares, respectively, that such Bakkt Equity Holder would be entitled to receive if the Aggregate Merger Consideration were distributed by Bakkt Opco in a Deemed Liquidation consistent with the illustrative calculation (which assumes that the Effective Time occurred on the date hereof) set forth in Section 2.3(b)(ii) of the Bakkt Disclosure Letter (the “</w:t>
      </w:r>
      <w:r>
        <w:rPr>
          <w:rFonts w:ascii="Times New Roman" w:cs="Times New Roman" w:eastAsia="Times New Roman" w:hAnsi="Times New Roman"/>
          <w:sz w:val="18"/>
          <w:szCs w:val="18"/>
          <w:u w:val="single" w:color="auto"/>
          <w:color w:val="auto"/>
        </w:rPr>
        <w:t>Illustrative Merger Consideration Spreadsheet</w:t>
      </w:r>
      <w:r>
        <w:rPr>
          <w:rFonts w:ascii="Times New Roman" w:cs="Times New Roman" w:eastAsia="Times New Roman" w:hAnsi="Times New Roman"/>
          <w:sz w:val="18"/>
          <w:szCs w:val="18"/>
          <w:color w:val="auto"/>
        </w:rPr>
        <w:t>”), which Illustrative Merger Consideration Spreadsheet shall be updated by Bakkt Opco as of the Effective Time (the “</w:t>
      </w:r>
      <w:r>
        <w:rPr>
          <w:rFonts w:ascii="Times New Roman" w:cs="Times New Roman" w:eastAsia="Times New Roman" w:hAnsi="Times New Roman"/>
          <w:sz w:val="18"/>
          <w:szCs w:val="18"/>
          <w:u w:val="single" w:color="auto"/>
          <w:color w:val="auto"/>
        </w:rPr>
        <w:t>Final Merger Consideration Spreadsheet</w:t>
      </w:r>
      <w:r>
        <w:rPr>
          <w:rFonts w:ascii="Times New Roman" w:cs="Times New Roman" w:eastAsia="Times New Roman" w:hAnsi="Times New Roman"/>
          <w:sz w:val="18"/>
          <w:szCs w:val="18"/>
          <w:color w:val="auto"/>
        </w:rPr>
        <w:t>”) to reflect any transfers of interests prior to the Effective Time in accordance with the Bakkt Opco LLC Agreement or other applicable events;</w:t>
      </w:r>
    </w:p>
    <w:p>
      <w:pPr>
        <w:spacing w:after="0" w:line="80" w:lineRule="exact"/>
        <w:rPr>
          <w:rFonts w:ascii="Times New Roman" w:cs="Times New Roman" w:eastAsia="Times New Roman" w:hAnsi="Times New Roman"/>
          <w:sz w:val="18"/>
          <w:szCs w:val="18"/>
          <w:color w:val="auto"/>
        </w:rPr>
      </w:pPr>
    </w:p>
    <w:p>
      <w:pPr>
        <w:ind w:left="400" w:right="80" w:firstLine="947"/>
        <w:spacing w:after="0" w:line="278" w:lineRule="auto"/>
        <w:tabs>
          <w:tab w:leader="none" w:pos="1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of Surviving Company Common Units acquired pursuant to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automatically be deemed to continue as a member of Surviving Company with respect to such Surviving Company Common Units; and</w:t>
      </w:r>
    </w:p>
    <w:p>
      <w:pPr>
        <w:spacing w:after="0" w:line="55" w:lineRule="exact"/>
        <w:rPr>
          <w:rFonts w:ascii="Times New Roman" w:cs="Times New Roman" w:eastAsia="Times New Roman" w:hAnsi="Times New Roman"/>
          <w:sz w:val="18"/>
          <w:szCs w:val="18"/>
          <w:color w:val="auto"/>
        </w:rPr>
      </w:pPr>
    </w:p>
    <w:p>
      <w:pPr>
        <w:ind w:left="400" w:firstLine="947"/>
        <w:spacing w:after="0" w:line="255" w:lineRule="auto"/>
        <w:tabs>
          <w:tab w:leader="none" w:pos="16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interests of Merger Sub shall be converted into a number of Surviving Company Common Units equal to the number of Bakkt Pubco Class A Shares outstanding as of immediately prior to the Effective Time (after giving effect to the Domestication, the consummation of the PIPE Financing and the Redemption), and Bakkt Pubco, as the sole holder thereof, shall automatically be admitted as a member, and the managing member, of Surviving Company in accordance with the terms of the Surviving Company LLC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520" w:top="268" w:right="539" w:bottom="1440" w:gutter="0" w:footer="0" w:header="0"/>
        </w:sectPr>
      </w:pPr>
    </w:p>
    <w:bookmarkStart w:id="25" w:name="page26"/>
    <w:bookmarkEnd w:id="25"/>
    <w:p>
      <w:pPr>
        <w:ind w:left="-60" w:right="120" w:firstLine="990"/>
        <w:spacing w:after="0" w:line="285" w:lineRule="auto"/>
        <w:tabs>
          <w:tab w:leader="none" w:pos="116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 of the Effective Time, the Bakkt Interests (other than the Excluded Bakkt Interests) shall no longer be outstanding and shall automatically be cancelled and cease to exist, and each holder of such Bakkt Interests (other than the Excluded Bakkt Interests) shall cease to have any rights with respect thereto, except for the right of such holder to receive a portion of the Merger Consideration in accordance with the terms hereof.</w:t>
      </w:r>
    </w:p>
    <w:p>
      <w:pPr>
        <w:spacing w:after="0" w:line="52" w:lineRule="exact"/>
        <w:rPr>
          <w:rFonts w:ascii="Times New Roman" w:cs="Times New Roman" w:eastAsia="Times New Roman" w:hAnsi="Times New Roman"/>
          <w:sz w:val="17"/>
          <w:szCs w:val="17"/>
          <w:color w:val="auto"/>
        </w:rPr>
      </w:pPr>
    </w:p>
    <w:p>
      <w:pPr>
        <w:ind w:left="-60" w:right="300" w:firstLine="990"/>
        <w:spacing w:after="0" w:line="263" w:lineRule="auto"/>
        <w:tabs>
          <w:tab w:leader="none" w:pos="11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aggregate consideration to be received in respect of the Merger by (or otherwise allocated to, in the case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all of the Bakkt Equity Holders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any holders of Bakkt Opco Warrants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equal to (and in no event shall exceed) the Aggregate Merger Consideration.</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Treatment of Bakkt Incentive Plan Awards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0" w:right="40" w:firstLine="990"/>
        <w:spacing w:after="0" w:line="251" w:lineRule="auto"/>
        <w:tabs>
          <w:tab w:leader="none" w:pos="1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the Bakkt Opco Incentive Units held by Bakkt Management shall be converted into the right to receive the Merger Consideration as set forth on the Final Merger Consideration Spreadsheet;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without limiting the generality of the foregoing, that the Merger Consideration in respect of such Bakkt Opco Incentive Units (and the corresponding interests in Bakkt Management held by Participants (as defined in the Bakkt Equity Incentive Plan) under the Bakkt Equity Incentive Plan) shall vest in three equal installments, with one third vesting at the Effective Time, one third vesting on the first anniversary of the Effective Time, and one third vesting on the second anniversary of the Effective Time, as if the Transactions constituted an IPO under the Bakkt Equity Incentive Plan;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 Participant is terminated without Cause (as defined in the Bakkt Equity Incentive Plan) within two years following the Effective Time, the Merger Consideration in respect of all then unvested Bakkt Opco Incentive Units and corresponding interests in Bakkt Management relating to such Participant shall immediately vest in full.</w:t>
      </w:r>
    </w:p>
    <w:p>
      <w:pPr>
        <w:spacing w:after="0" w:line="84" w:lineRule="exact"/>
        <w:rPr>
          <w:rFonts w:ascii="Times New Roman" w:cs="Times New Roman" w:eastAsia="Times New Roman" w:hAnsi="Times New Roman"/>
          <w:sz w:val="18"/>
          <w:szCs w:val="18"/>
          <w:color w:val="auto"/>
        </w:rPr>
      </w:pPr>
    </w:p>
    <w:p>
      <w:pPr>
        <w:ind w:left="-60" w:firstLine="990"/>
        <w:spacing w:after="0" w:line="251" w:lineRule="auto"/>
        <w:tabs>
          <w:tab w:leader="none" w:pos="11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each Participation Unit shall be treated as if the Transactions constituted an IPO under the Bakkt Equity Incentive Plan, with one third vesting at the Effective Time, one third vesting on the first anniversary of the Effective Time, and one third vesting on the second anniversary of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Participant is terminated without Cause (as defined in the Bakkt Equity Incentive Plan) within two years following the Effective Time, all then unvested Participation Units shall immediately vest in full. Any Participation Unit that vests in accordance with the preceding sentence shall experience a Participation Unit Payment Event (as defined in the Bakkt Equity Incentive Plan) on the date of vesting and shall be treated (including with respect to the date and amount of payment in respect thereto) as if a Participation Unit Payment Event has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Participation Units that vest on the first and second anniversary of the Effective Time (or earlier upon a termination without Cause), the amount that would be payable upon a Participation Unit Payment Event occurring on such date shall be adjusted to reflect a notional investment in Bakkt Pubco Class A Shares in the principal amount equal to the amount that would have been payable had all such Participation Units experienced a Participation Unit Payment Event at the Effective Time, made as of the Effective Time and held through such Participation Unit Payment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40" w:top="268" w:right="539" w:bottom="1440" w:gutter="0" w:footer="0" w:header="0"/>
        </w:sectPr>
      </w:pPr>
    </w:p>
    <w:bookmarkStart w:id="26" w:name="page27"/>
    <w:bookmarkEnd w:id="26"/>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Participation Unit that vests after the date that is six months after the day the Closing occurs may be settled with Bakkt Pubco Class A Shares or Awards (as defined in the Equity Incentive Plan, based on the trading value of the Bakkt Pubco Class A Shares as of the close of business of the date of settlement), in each case equivalent in value on the day of settlement to the amount that otherwise would be payable in accordance with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in cash.</w:t>
      </w:r>
    </w:p>
    <w:p>
      <w:pPr>
        <w:spacing w:after="0" w:line="73" w:lineRule="exact"/>
        <w:rPr>
          <w:sz w:val="20"/>
          <w:szCs w:val="20"/>
          <w:color w:val="auto"/>
        </w:rPr>
      </w:pPr>
    </w:p>
    <w:p>
      <w:pPr>
        <w:ind w:firstLine="990"/>
        <w:spacing w:after="0" w:line="252" w:lineRule="auto"/>
        <w:tabs>
          <w:tab w:leader="none" w:pos="122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 under the Bakkt Equity Incentive Plan has determined that the treatment of Bakkt Opco Incentive Units (and the corresponding interests in Bakkt Management) and Participation Units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is an equitable treatment contemplated and required by Section 4(c) of the Bakkt Equity Incentive Plan in order to provide participants the intended benefits of their awards under the Bakkt Equity Incentive Plan. Prior to the Closing, Bakkt Opco shall provide a written notification to all Participants under the Bakkt Equity Incentive Plan summarizing the effect the Transaction will have on Bakkt Opco Incentive Units (and the corresponding interests in Bakkt Management) and Participation Units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Bakkt Opco will provide the form of such written notification to VIH and its counsel at least two (2) Business Days prior to the distribution to the Participants and shall reasonably review and consider in good faith the reasonable comments of VIH and its counsel for inclusion into such written notification.</w:t>
      </w:r>
    </w:p>
    <w:p>
      <w:pPr>
        <w:spacing w:after="0" w:line="80" w:lineRule="exact"/>
        <w:rPr>
          <w:rFonts w:ascii="Times New Roman" w:cs="Times New Roman" w:eastAsia="Times New Roman" w:hAnsi="Times New Roman"/>
          <w:sz w:val="18"/>
          <w:szCs w:val="18"/>
          <w:color w:val="auto"/>
        </w:rPr>
      </w:pPr>
    </w:p>
    <w:p>
      <w:pPr>
        <w:ind w:right="120" w:firstLine="990"/>
        <w:spacing w:after="0" w:line="268" w:lineRule="auto"/>
        <w:tabs>
          <w:tab w:leader="none" w:pos="1235"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Bakkt Opco shall take all necessary actions to effect the treatment of Bakkt Opco Incentive Units (and the corresponding interests in Bakkt Management) and Participation Units pursuant to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and the Bakkt Equity Incentive Plan and the applicable award agreements (as modified by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The Board of Managers of Bakkt Opco shall amend the Bakkt Equity Incentive Plan and take all other necessary actions, effective as of immediately prior to the Closing, in order to</w:t>
      </w:r>
    </w:p>
    <w:p>
      <w:pPr>
        <w:spacing w:after="0" w:line="1" w:lineRule="exact"/>
        <w:rPr>
          <w:rFonts w:ascii="Times New Roman" w:cs="Times New Roman" w:eastAsia="Times New Roman" w:hAnsi="Times New Roman"/>
          <w:sz w:val="17"/>
          <w:szCs w:val="17"/>
          <w:color w:val="auto"/>
        </w:rPr>
      </w:pPr>
    </w:p>
    <w:p>
      <w:pPr>
        <w:ind w:right="80" w:firstLine="7"/>
        <w:spacing w:after="0" w:line="250" w:lineRule="auto"/>
        <w:tabs>
          <w:tab w:leader="none" w:pos="2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remaining unallocated Equity Interests under the Bakkt Equity Incentive Plan and provide that Equity Interests in respect of Bakkt Opco Incentive Units and Participation Units that for any reason become re-eligible for future issuance, shall be cancelled, and (ii) provide that no new Bakkt Opco Incentive Units or Participation Units will be granted under the Bakkt Equity Incentive Plan. Bakkt Opco will provide such amendments to the Bakkt Equity Incentive Plan to VIH and its counsel at least two (2) Business Days prior to adoption and shall reasonably review and consider in good faith the reasonable comments of VIH and its counsel for inclusion in such amendments.</w:t>
      </w:r>
    </w:p>
    <w:p>
      <w:pPr>
        <w:spacing w:after="0" w:line="187" w:lineRule="exact"/>
        <w:rPr>
          <w:sz w:val="20"/>
          <w:szCs w:val="20"/>
          <w:color w:val="auto"/>
        </w:rPr>
      </w:pPr>
    </w:p>
    <w:p>
      <w:pPr>
        <w:ind w:right="200"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Treatment of Bakkt Opco Warrants</w:t>
      </w:r>
      <w:r>
        <w:rPr>
          <w:rFonts w:ascii="Times New Roman" w:cs="Times New Roman" w:eastAsia="Times New Roman" w:hAnsi="Times New Roman"/>
          <w:sz w:val="18"/>
          <w:szCs w:val="18"/>
          <w:color w:val="auto"/>
        </w:rPr>
        <w:t xml:space="preserve">. At the Effective Time,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each warrant to purchase Bakkt Interests (each, a “</w:t>
      </w:r>
      <w:r>
        <w:rPr>
          <w:rFonts w:ascii="Times New Roman" w:cs="Times New Roman" w:eastAsia="Times New Roman" w:hAnsi="Times New Roman"/>
          <w:sz w:val="18"/>
          <w:szCs w:val="18"/>
          <w:u w:val="single" w:color="auto"/>
          <w:color w:val="auto"/>
        </w:rPr>
        <w:t>Bakkt Opco Warrant</w:t>
      </w:r>
      <w:r>
        <w:rPr>
          <w:rFonts w:ascii="Times New Roman" w:cs="Times New Roman" w:eastAsia="Times New Roman" w:hAnsi="Times New Roman"/>
          <w:sz w:val="18"/>
          <w:szCs w:val="18"/>
          <w:color w:val="auto"/>
        </w:rPr>
        <w:t>”) shall be converted into the right to receive, upon exercise thereof and payment of the exercise price therefor, from Surviving Company and from Bakkt Pubco the number Warrant Interests set forth opposite such warrant holder’s name on the Final Merger Consideration Spreadsheet. The Merger shall not constitute an “IPO” or a “Liquidity Event”, each as defined in the applicable Bakkt Opco Warrant. Upon exercise of a Bakkt Opco Warrant, the holder thereof shall be obligated to execute and become a party to the Surviving Company LLC Agreement, the Exchange Agreement, the Tax Receivables Agreement, the Stockholders Agreement and the Registration Rights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1" w:lineRule="auto"/>
        <w:tabs>
          <w:tab w:leader="none" w:pos="12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date hereof, Bakkt Opco shall mail to each Bakkt Equity Holder (i) a letter of transmittal in the form agreed to by VIH and Bakkt Opco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and (ii) instructions for delivering the Letter of Transmittal in exchange for the Merger Consideration in accordance with this Agreement and the Final Merger Consideration Spreadsheet, as well as a request to have such Bakkt Equity Holder deliver an executed Letter of Transmittal to Bakkt Opco no less than ten (10) Business Days prior to the estimated Closing Date. Upon delivery of such Letter of Transmittal duly completed and validly executed in accordance with the instructions thereto, such Bakkt Equity Holder shall be entitled to receive in exchange therefor the Merger Consideration to which such Bakkt Equity Holder is entitled. Bakkt Opco shall provide VIH with a copy of each Letter of Transmittal it receives promptly after receipt thereof. Until delivery of a Letter of Transmittal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each Bakkt Interest shall be deemed after the Effective Time to represent only the right to receive the Merger Consideration payable in respect thereof in accordance with the Final Merger Consideration Spreadsheet. Upon receipt of an executed Letter of Transmittal from a Bakkt Equity Holder, Bakkt Pubco shall direct Bakkt Pubco’s transfer agent to note the ownership in the transfer agent’s books and records of the Bakkt Pubco Class V Shares issuable to such Bakkt Equity Holders as Merger Consideration.</w:t>
      </w:r>
    </w:p>
    <w:p>
      <w:pPr>
        <w:spacing w:after="0" w:line="79" w:lineRule="exact"/>
        <w:rPr>
          <w:rFonts w:ascii="Times New Roman" w:cs="Times New Roman" w:eastAsia="Times New Roman" w:hAnsi="Times New Roman"/>
          <w:sz w:val="18"/>
          <w:szCs w:val="18"/>
          <w:color w:val="auto"/>
        </w:rPr>
      </w:pPr>
    </w:p>
    <w:p>
      <w:pPr>
        <w:ind w:right="20" w:firstLine="990"/>
        <w:spacing w:after="0" w:line="255" w:lineRule="auto"/>
        <w:tabs>
          <w:tab w:leader="none" w:pos="12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Consideration issued and paid upon the delivery for exchange of Bakkt Interests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issued and paid in full satisfaction of all rights pertaining to the Bakkt Interests formerly outstanding. At the Effective Time, the membership transfer books of Bakkt Opco shall be closed and there shall be no further registration of transfers of the Bakkt Interests that were outstanding immediately prior to the Effective Time. If, after the Effective Time, Bakkt Interests are presented to Bakkt Pubco for transfer, such Bakkt Interests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60" w:firstLine="990"/>
        <w:spacing w:after="0" w:line="255" w:lineRule="auto"/>
        <w:tabs>
          <w:tab w:leader="none" w:pos="12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certificates or scrip representing fractional Bakkt Pubco Class V Shares or Surviving Company Common Units shall be issued upon the delivery of the Merger Consideration to the Bakkt Equity Holders, and such fractional share interests shall not entitle the owner thereof to vote or to any other rights of a VIH Shareholder or member of the Surviving Company. No payment shall be made with respect to fractional Surviving Company Common Units or Bakkt Pubco Class V Shares, and the number thereof shall be rounded down to the nearest whole number.</w:t>
      </w:r>
    </w:p>
    <w:p>
      <w:pPr>
        <w:spacing w:after="0" w:line="77" w:lineRule="exact"/>
        <w:rPr>
          <w:rFonts w:ascii="Times New Roman" w:cs="Times New Roman" w:eastAsia="Times New Roman" w:hAnsi="Times New Roman"/>
          <w:sz w:val="18"/>
          <w:szCs w:val="18"/>
          <w:color w:val="auto"/>
        </w:rPr>
      </w:pPr>
    </w:p>
    <w:p>
      <w:pPr>
        <w:ind w:firstLine="990"/>
        <w:spacing w:after="0" w:line="263" w:lineRule="auto"/>
        <w:tabs>
          <w:tab w:leader="none" w:pos="12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VIH, Surviving Company, Bakkt Pubco or any other Person shall be liable to any Person in respect of Bakkt Pubco Class V Shares or Surviving Company Common Units (or any dividends or other distributions with respect thereto) or cash (if applicable) properly delivered to a public official pursuant to any applicable abandoned property, escheat or similar Law.</w:t>
      </w:r>
    </w:p>
    <w:p>
      <w:pPr>
        <w:spacing w:after="0" w:line="175"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Closing Statement; Determination of Available Cash</w:t>
      </w:r>
      <w:r>
        <w:rPr>
          <w:rFonts w:ascii="Times New Roman" w:cs="Times New Roman" w:eastAsia="Times New Roman" w:hAnsi="Times New Roman"/>
          <w:sz w:val="18"/>
          <w:szCs w:val="18"/>
          <w:color w:val="auto"/>
        </w:rPr>
        <w:t>. On the date the right of Redemption expires, Bakkt Opco and VIH shall jointly prepare and deliver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that sets forth the Parties’ good faith determination of the Available Cash and the components thereof, including the amount of funds available in the Trust Account following the Redemption, the gross proceeds of the PIPE Financing, the Bakkt Transaction Expenses, the VIH Transaction Expenses and a determination as to whether Available Cash is at least equal to the Minimum Available Cash.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28" w:name="page29"/>
    <w:bookmarkEnd w:id="28"/>
    <w:p>
      <w:pPr>
        <w:ind w:firstLine="98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VIH (or Bakkt Pubco) and Bakkt Opco (or Surviving Company) (and any of their respective Representatives) shall be entitled to deduct and withhold (or cause to be deducted and withheld) from any amount otherwise payable under this Agreement such amounts as are required to be deducted or withheld with respect to the making of such payment under the Code or any other provision of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relevant payor will (a) provide written notice to the relevant payee at least ten (10) days prior to any such deduction or withholding (other than with respect to compensatory payments, if any) and (b) use commercially reasonable efforts to cooperate with the relevant payee prior to the making of such deductions and withholding payments to determine whether any such deductions or withholding payments (other than with respect to compensatory payments, if any) are required under applicable Law and in obtaining any available exemption or reduction of, or otherwise minimizing to the extent permitted by applicable Law, such deduction and withholding. To the extent that such withheld amounts are paid over to or deposited with the applicable Governmental Authority, such withheld amounts shall be treated for all purposes of this Agreement as having been paid to the Person in respect of which such deduction and withholding were made.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BAKKT OPCO</w:t>
      </w:r>
    </w:p>
    <w:p>
      <w:pPr>
        <w:spacing w:after="0" w:line="118"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Bakkt Opco makes the following representations and warranties to VIH and Merger Sub as of the date of this Agreement and as of the Closing, except as disclosed by Bakkt Opco in the written Bakkt Disclosure Letter provided to VIH dated as of the date of this Agreement (the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which shall be arranged in sections and subsections corresponding to the numbered and lettered sections and subsections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disclosure in any section or subsection of the Bakkt Disclosure Letter corresponding to any section or subsection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qualify other sections and subsections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so long as its relevance to such other section or subsection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reasonably clear on the face of the information disclosed therein.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60" w:firstLine="990"/>
        <w:spacing w:after="0" w:line="258" w:lineRule="auto"/>
        <w:tabs>
          <w:tab w:leader="none" w:pos="12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is duly organized, validly existing and in good standing under the Laws of the jurisdiction of its formation and has all necessary limited liability company or other power and authority to carry on its business as is currently conducted. Except as would not be materially adverse to Bakkt Opco and its Subsidiaries, taken as a whole, Bakkt Opco is duly licensed or qualified to do business and is in good standing in each jurisdiction in which the operation of its business as currently conducted makes such licensing or qualification necessary.</w:t>
      </w:r>
    </w:p>
    <w:p>
      <w:pPr>
        <w:spacing w:after="0" w:line="72" w:lineRule="exact"/>
        <w:rPr>
          <w:rFonts w:ascii="Times New Roman" w:cs="Times New Roman" w:eastAsia="Times New Roman" w:hAnsi="Times New Roman"/>
          <w:sz w:val="18"/>
          <w:szCs w:val="18"/>
          <w:color w:val="auto"/>
        </w:rPr>
      </w:pPr>
    </w:p>
    <w:p>
      <w:pPr>
        <w:ind w:right="420" w:firstLine="990"/>
        <w:spacing w:after="0" w:line="263" w:lineRule="auto"/>
        <w:tabs>
          <w:tab w:leader="none" w:pos="12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and its Subsidiaries, taken as a whole, each of the Subsidiaries of Bakkt Opco is duly organized, validly existing and in good standing under the Laws of the jurisdiction of its formation, has all necessary limited liability company or other power and authority to carry on its business as is currently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8" w:right="499" w:bottom="1440" w:gutter="0" w:footer="0" w:header="0"/>
        </w:sectPr>
      </w:pPr>
    </w:p>
    <w:bookmarkStart w:id="29" w:name="page30"/>
    <w:bookmarkEnd w:id="29"/>
    <w:p>
      <w:pPr>
        <w:ind w:right="1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conducted and is duly licensed or qualified to do business and is in good standing in each jurisdiction in which the operation of its business as currently conducted makes such licensing or qualification necessary. Each of Bakkt Opco and its Subsidiaries are not in violation of any provision of their respective Organizational Documents in any material respect.</w:t>
      </w:r>
    </w:p>
    <w:p>
      <w:pPr>
        <w:spacing w:after="0" w:line="175" w:lineRule="exact"/>
        <w:rPr>
          <w:sz w:val="20"/>
          <w:szCs w:val="20"/>
          <w:color w:val="auto"/>
        </w:rPr>
      </w:pPr>
    </w:p>
    <w:p>
      <w:pPr>
        <w:ind w:right="480" w:firstLine="990"/>
        <w:spacing w:after="0" w:line="258" w:lineRule="auto"/>
        <w:tabs>
          <w:tab w:leader="none" w:pos="1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3.1(c) of the Bakkt Disclosure Letter lists for each of Bakkt Opco and its Subsidiaries the jurisdiction of organization, all jurisdictions in which it is so qualified to conduct business and all names other than its legal name under which it does business. Bakkt Opco has provided or made available to VIH accurate and complete copies of the Organizational Documents of Bakkt Opco and each of its Subsidiaries as amended to date and as currently in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No Conflict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0" w:lineRule="auto"/>
        <w:tabs>
          <w:tab w:leader="none" w:pos="1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has full limited liability company power and authority to enter into this Agreement and the Transaction Documents to which it is a party, to carry out its obligations hereunder and thereunder and to consummate the Transactions. The execution and delivery by Bakkt Opco of this Agreement and the Transaction Documents to which it is a party, the performance by Bakkt Opco of its obligations hereunder and thereunder and the consummation by Bakkt Opco of the Transactions have been duly authorized by all requisite limited liability company action on the part of Bakkt Opco. This Agreement has been duly and validly executed and delivered by Bakkt Opco, and (assuming due authorization, execution and delivery by any other applicable parties thereto) constitutes, or upon such delivery constitutes, a legal, valid and binding obligation of Bakkt Opco enforceable against Bakkt Opco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(the “</w:t>
      </w:r>
      <w:r>
        <w:rPr>
          <w:rFonts w:ascii="Times New Roman" w:cs="Times New Roman" w:eastAsia="Times New Roman" w:hAnsi="Times New Roman"/>
          <w:sz w:val="18"/>
          <w:szCs w:val="18"/>
          <w:u w:val="single" w:color="auto"/>
          <w:color w:val="auto"/>
        </w:rPr>
        <w:t>Enforcement Exceptions</w:t>
      </w:r>
      <w:r>
        <w:rPr>
          <w:rFonts w:ascii="Times New Roman" w:cs="Times New Roman" w:eastAsia="Times New Roman" w:hAnsi="Times New Roman"/>
          <w:sz w:val="18"/>
          <w:szCs w:val="18"/>
          <w:color w:val="auto"/>
        </w:rPr>
        <w:t>”). Bakkt Opco’s Board of Managers, unanimously and in accordance with Bakkt Opco’s Organizational Documents: (i) determined that this Agreement, the Transaction Documents and the Merger and the other Transactions are advisable, fair to, and in the best interests of, Bakkt Opco and its members, (ii) approved this Agreement, the Transactions and the Merger and the other Transactions in accordance with the DLLCA, (iii) directed that this Agreement be submitted to Bakkt Opco’s members for adoption and (iv) recommended that Bakkt Opco’s members adopt this Agreement. The Bakkt Equity Holders Approval constitutes the requisite vote of the holders of Bakkt Interests to adopt and approve this Agreement, the Transaction Documents, the Merger and the other Transactions in accordance with the DLLCA and Bakkt Opco’s Organizational Documents.</w:t>
      </w:r>
    </w:p>
    <w:p>
      <w:pPr>
        <w:spacing w:after="0" w:line="82" w:lineRule="exact"/>
        <w:rPr>
          <w:rFonts w:ascii="Times New Roman" w:cs="Times New Roman" w:eastAsia="Times New Roman" w:hAnsi="Times New Roman"/>
          <w:sz w:val="18"/>
          <w:szCs w:val="18"/>
          <w:color w:val="auto"/>
        </w:rPr>
      </w:pPr>
    </w:p>
    <w:p>
      <w:pPr>
        <w:ind w:right="40" w:firstLine="990"/>
        <w:spacing w:after="0" w:line="254"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the required Regulatory Filings, or as otherwise set forth on Section 3.2(b) of the Bakkt Disclosure Letter, the execution, delivery and performance of this Agreement and the Transaction Documents by Bakkt Opco and its Subsidiaries, and the consummation of the Transactions, do not and will not, with or without notice, lapse of time or both: (i) conflict with or result in a breach or violation of the Organizational Documents of Bakkt Opco or any of its Subsidiaries; (ii) require any material consent, waiver, approval, declaration or authorization of, or notice to or filing with, any Governmental Authority; or (iii) violate, conflict with, result in a breach or default under (with notice or lapse of time or both), result in, or give any Person a right of, termination, cancellation, acceleration, suspension, modification or revocation under, give rise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any obligation to make payments or provide compensation under, result in the creation of any Lien upon any of the properties or assets of Bakkt Opco or any of its Subsidiaries under, give any Person the right to declare a default, exercise any remedy, claim a rebate, chargeback or penalty, accelerate the maturity or performance under, or require any consent, waiver, approval, notice, filing, declaration or authorization under, any Material Contract or any material Permit necessary to, in each case in all material respects, lawfully conduct its business as presently conducted, and to own, lease and operate its assets and properties (each a “</w:t>
      </w:r>
      <w:r>
        <w:rPr>
          <w:rFonts w:ascii="Times New Roman" w:cs="Times New Roman" w:eastAsia="Times New Roman" w:hAnsi="Times New Roman"/>
          <w:sz w:val="18"/>
          <w:szCs w:val="18"/>
          <w:u w:val="single" w:color="auto"/>
          <w:color w:val="auto"/>
        </w:rPr>
        <w:t>Material Permit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990"/>
        <w:spacing w:after="0" w:line="266" w:lineRule="auto"/>
        <w:tabs>
          <w:tab w:leader="none" w:pos="122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3.3(a) of the Bakkt Disclosure Letter sets forth a correct and complete list of all of the issued and outstanding, or reserved for issuance, limited liability company interests or other Equity Interests of Bakkt Opco and each of its Subsidiaries set forth on Section 3.1(c) of the Bakkt Disclosure Letter and the holders thereof. All outstanding Equity Interests in Bakkt Opco and each of its Subsidiaries (i) have been duly authorized and validly issued, (ii) with respect to the Subsidiaries of Bakkt Opco that are corporations, are fully paid and nonassessable, (iii) were not issued in violation of (or subject to) any preemptive rights (including any preemptive rights set forth in the Organizational Documents of Bakkt Opco or such Subsidiary, as applicable), rights of first refusal or similar rights and (iv) are owned free and clear of any Liens other than those created or imposed</w:t>
      </w:r>
    </w:p>
    <w:p>
      <w:pPr>
        <w:spacing w:after="0" w:line="2" w:lineRule="exact"/>
        <w:rPr>
          <w:rFonts w:ascii="Times New Roman" w:cs="Times New Roman" w:eastAsia="Times New Roman" w:hAnsi="Times New Roman"/>
          <w:sz w:val="17"/>
          <w:szCs w:val="17"/>
          <w:color w:val="auto"/>
        </w:rPr>
      </w:pPr>
    </w:p>
    <w:p>
      <w:pPr>
        <w:ind w:right="260" w:firstLine="7"/>
        <w:spacing w:after="0" w:line="249" w:lineRule="auto"/>
        <w:tabs>
          <w:tab w:leader="none" w:pos="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Bakkt Opco’s or any of its Subsidiaries’ Organizational Documents, as applicable, (y) under applicable securities Laws or (z) except to the extent Bakkt Opco has actual knowledge (without having conducted any investigation or inquiry) thereof, by Persons other than the Majority Bakkt Equity Holder, Bakkt Opco or any of Bakkt Opco’s Subsidiaries. Except as set forth in Section 3.3(a) of the Bakkt Disclosure Letter there are no options, warrants, equity securities, calls, rights, commitments or agreements (including agreements for convertible equity securities) to which Bakkt Opco or any of its Subsidiaries is a party or by which Bakkt Opco or any of its Subsidiaries is bound obligating Bakkt Opco or such Subsidiary, as applicable, to issue, exchange, transfer, deliver or sell, or cause to be issued, exchanged, transferred, delivered or sold additional Equity Interests of Bakkt Opco or any of its Subsidiaries or obligating the Bakkt Opco or any of its Subsidiaries to enter into any commitment or agreement containing such obligation. As a result of the consummation of the Transactions, except as expressly contemplated by this Agreement and the Transaction Documents, no Equity Interests of Bakkt Opco or any of its Subsidiaries are issuable.</w:t>
      </w:r>
    </w:p>
    <w:p>
      <w:pPr>
        <w:spacing w:after="0" w:line="81" w:lineRule="exact"/>
        <w:rPr>
          <w:rFonts w:ascii="Times New Roman" w:cs="Times New Roman" w:eastAsia="Times New Roman" w:hAnsi="Times New Roman"/>
          <w:sz w:val="18"/>
          <w:szCs w:val="18"/>
          <w:color w:val="auto"/>
        </w:rPr>
      </w:pPr>
    </w:p>
    <w:p>
      <w:pPr>
        <w:ind w:firstLine="990"/>
        <w:spacing w:after="0" w:line="251" w:lineRule="auto"/>
        <w:tabs>
          <w:tab w:leader="none" w:pos="12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Bakkt Opco and its Subsidiaries have been granted, offered, sold and issued in material compliance with all applicable securities Laws. Except as set forth in the Organizational Documents of Bakkt Opco or its Subsidiaries, as applicable, there are no voting trusts, proxies, shareholder agreements or any other agreements or understandings with respect to the voting of the Equity Interests of Bakkt Opco or its Subsidiaries. Except as set forth in the Organizational Documents of Bakkt Opco or its Subsidiaries, as applicable, there are no outstanding contractual obligations of Bakkt Opco or any of its Subsidiaries to repurchase, redeem or otherwise acquire any Equity Interests of Bakkt Opco or any of its Subsidiaries, nor has Bakkt Opco or any of its Subsidiaries granted any registration rights to any Person with respect to any Equity Interests of Bakkt Opco or any of its Subsidiaries. As a result of the consummation of the Transactions, except as expressly contemplated by this Agreement and the Transaction Documents, no rights in connection with any interests, warrants, rights, options or other securities of Bakkt Opco or any of its Subsidiaries accelerate or otherwise become triggered (whether as to vesting, exercisability, convertibility or otherwise).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8" w:right="519" w:bottom="1440" w:gutter="0" w:footer="0" w:header="0"/>
        </w:sectPr>
      </w:pPr>
    </w:p>
    <w:bookmarkStart w:id="31" w:name="page32"/>
    <w:bookmarkEnd w:id="31"/>
    <w:p>
      <w:pPr>
        <w:ind w:left="-20" w:right="20" w:firstLine="990"/>
        <w:spacing w:after="0" w:line="255" w:lineRule="auto"/>
        <w:tabs>
          <w:tab w:leader="none" w:pos="12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set forth on Section 3.3(c) of the Bakkt Disclosure Letter, neither Bakkt Opco nor any of its Subsidiaries owns any Equity Interest in any Person (other than Bakkt Opco or one of its Subsidiaries), nor are such parties a participant in any joint venture, partnership, limited liability company, trust, association or other noncorporate entity (other than Bakkt Opco or any of its Subsidiaries). There are no outstanding contractual obligations of Bakkt Opco or any of its Subsidiaries to make any investment (in the form of a loan, capital contribution or otherwise) in, any other Person.</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990"/>
        <w:spacing w:after="0" w:line="249" w:lineRule="auto"/>
        <w:tabs>
          <w:tab w:leader="none" w:pos="12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3.4(a) of the Bakkt Disclosure Letter sets forth the true, correct and complete copies of the following financial statements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 each of Bakkt Opco’s audited consolidated financial statements consisting of the consolidated balance sheets as of December 31, 2019 and December 31, 2018, respectively, and the related statements of income, statements of members’ equity and statements of cash flows for period beginning upon the formation of Bakkt Opco on July 31, 2018 (the “</w:t>
      </w:r>
      <w:r>
        <w:rPr>
          <w:rFonts w:ascii="Times New Roman" w:cs="Times New Roman" w:eastAsia="Times New Roman" w:hAnsi="Times New Roman"/>
          <w:sz w:val="18"/>
          <w:szCs w:val="18"/>
          <w:u w:val="single" w:color="auto"/>
          <w:color w:val="auto"/>
        </w:rPr>
        <w:t>Formation Date</w:t>
      </w:r>
      <w:r>
        <w:rPr>
          <w:rFonts w:ascii="Times New Roman" w:cs="Times New Roman" w:eastAsia="Times New Roman" w:hAnsi="Times New Roman"/>
          <w:sz w:val="18"/>
          <w:szCs w:val="18"/>
          <w:color w:val="auto"/>
        </w:rPr>
        <w:t>”) through December 31, 2018 and the year ended December 31, 2019; and (ii) Bakkt Opco’s unaudited consolidated balance sheet as of November 30, 2020 (the “</w:t>
      </w:r>
      <w:r>
        <w:rPr>
          <w:rFonts w:ascii="Times New Roman" w:cs="Times New Roman" w:eastAsia="Times New Roman" w:hAnsi="Times New Roman"/>
          <w:sz w:val="18"/>
          <w:szCs w:val="18"/>
          <w:u w:val="single" w:color="auto"/>
          <w:color w:val="auto"/>
        </w:rPr>
        <w:t>Most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and the related statement of income and statement of cash flows for the eleven (11) months then ended. Subject, in the case of unaudited interim period financial statements, to the absence of footnotes and normal recurring year-end audit adjustments applied consistent with past practice, none of which are or would be material, individually or in the aggregate, the Financial Statements (including the notes thereto) and the PCAOB Financial Statements will, when delivered to VIH pursuant to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(i) have been prepared from the Books and Records of Bakkt Opco and its Subsidiaries and (except as may be indicated in the notes thereto)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applied on a consistent basis in accordance with past practices throughout the periods covered thereby, and (ii) fairly present in all material respects the consolidated financial condition and results of operations and cash flows of Bakkt Opco and its Subsidiaries as of the dates, and for the periods, indicated thereon. Since the Most Recent Balance Sheet Date, there have been no material changes in the accounting policies of the Bakkt Opco or any of its Subsidiaries and no revaluation of the Bakkt Opco’s or any of its Subsidiaries’ properties or assets. None of Bakkt Opco or any of its Subsidiaries are subject to the reporting requirements of Section 13(a) or 15(d) of the Exchange Act. The PCAOB Financial Statements, when delivered by VIH for inclusion in the Registration Statement, including the Proxy Statement, for filing with the SEC following the date of this Agreement in accordance with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will comply in all material respects with the applicable accounting requirements and with the rules and regulations of the SEC and the Securities Act in effect as of such date.</w:t>
      </w:r>
    </w:p>
    <w:p>
      <w:pPr>
        <w:spacing w:after="0" w:line="93" w:lineRule="exact"/>
        <w:rPr>
          <w:rFonts w:ascii="Times New Roman" w:cs="Times New Roman" w:eastAsia="Times New Roman" w:hAnsi="Times New Roman"/>
          <w:sz w:val="18"/>
          <w:szCs w:val="18"/>
          <w:color w:val="auto"/>
        </w:rPr>
      </w:pPr>
    </w:p>
    <w:p>
      <w:pPr>
        <w:ind w:left="-20" w:firstLine="990"/>
        <w:spacing w:after="0" w:line="263" w:lineRule="auto"/>
        <w:tabs>
          <w:tab w:leader="none" w:pos="1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for Bakkt Opco, with respect to its report as will be included in the PCAOB Financial Statements, is an independent registered public accounting firm within the meaning of the Securities Act and the applicable rules and regulations adopted by the SEC and, with respect to the PCAOB Financial Statements, the PCAOB.</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8" w:right="519" w:bottom="1440" w:gutter="0" w:footer="0" w:header="0"/>
        </w:sectPr>
      </w:pPr>
    </w:p>
    <w:bookmarkStart w:id="32" w:name="page33"/>
    <w:bookmarkEnd w:id="32"/>
    <w:p>
      <w:pPr>
        <w:ind w:right="100" w:firstLine="990"/>
        <w:spacing w:after="0" w:line="251" w:lineRule="auto"/>
        <w:tabs>
          <w:tab w:leader="none" w:pos="12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and its Subsidiaries maintain, in all material respects, accurate and complete books and records reflecting the assets and Liabilities of Bakkt Opco and its Subsidiaries and maintain, in all material respects, proper and adequate internal accounting controls that are designed to provide reasonable assurance that (i) transactions are executed with management’s authorization and (ii) transactions are recorded as necessary to permit preparation of the financial statements of Bakkt Opco and its Subsidiaries and to maintain accountability for Bakkt Opco’s and its Subsidiaries’ assets and Liabilities. Neither Bakkt Opco nor any of its Subsidiaries has been subject to or involved in any fraud that involves management or other employees who have a significant role in the internal controls over financial reporting of Bakkt Opco or any of its Subsidiaries. From the Formation Date, neither Bakkt Opco nor any of its Subsidiaries has received any adverse material written complaint, allegation, assertion or claim regarding the accounting or auditing practices, procedures or methodologies of Bakkt Opco or any of its Subsidiaries or their internal accounting controls. Neither Bakkt Opco nor any of its Subsidiaries have any Bakkt Indebtedness other than the Bakkt Indebtedness as set forth on Section 3.4(c) of the Bakkt Disclosure Letter, and in such amounts (including principal and any accrued but unpaid interest), as set forth on Section 3.4(c) of the Bakkt Disclosure Letter.</w:t>
      </w:r>
    </w:p>
    <w:p>
      <w:pPr>
        <w:spacing w:after="0" w:line="79" w:lineRule="exact"/>
        <w:rPr>
          <w:rFonts w:ascii="Times New Roman" w:cs="Times New Roman" w:eastAsia="Times New Roman" w:hAnsi="Times New Roman"/>
          <w:sz w:val="18"/>
          <w:szCs w:val="18"/>
          <w:color w:val="auto"/>
        </w:rPr>
      </w:pPr>
    </w:p>
    <w:p>
      <w:pPr>
        <w:ind w:right="200" w:firstLine="990"/>
        <w:spacing w:after="0" w:line="267" w:lineRule="auto"/>
        <w:tabs>
          <w:tab w:leader="none" w:pos="123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Section 3.4(d) of the Bakkt Disclosure Letter, Bakkt Opco and its Subsidiaries do not have any material liabilities or obligations (whether accrued, absolute, contingent, unknown or otherwise) of the type required to be accrued on or reserved against in a consolidated balance sheet prepared in accordance with GAAP (collectively, “</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except (i) Liabilities accrued on or reserved against in the Most Recent Balance Sheet or disclosed in the notes thereto or in the notes to the other Financial Statements, (ii) Liabilities that have arisen since the date of the Most Recent Balance Sheet in the ordinary course of business, (iii) Liabilities incurred in connection with the Transactions, and</w:t>
      </w:r>
    </w:p>
    <w:p>
      <w:pPr>
        <w:spacing w:after="0" w:line="1"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on another section of the Bakkt Disclosure Letter.</w:t>
      </w:r>
    </w:p>
    <w:p>
      <w:pPr>
        <w:spacing w:after="0" w:line="202"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the Most Recent Balance Sheet Date, except for any actions expressly contemplated by this Agreement (including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Transaction Documents or the Transactions, (a) Bakkt Opco and each of its Subsidiaries has conducted its business in the ordinary course of business in all material respects, (b) there has not been any event, action or omission that, if taken or omitted during the period from the date of this Agreement through the Effective Time, would constitute a violation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and (c) there has not been any Material Adverse Effect.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90"/>
        <w:spacing w:after="0" w:line="263" w:lineRule="auto"/>
        <w:tabs>
          <w:tab w:leader="none" w:pos="12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owns or has owned since the Formation Date, any Real Property. Neither Bakkt Opco nor any of its Subsidiaries is a party to any Real Property Lease other than the Bakkt Leased Real Property set forth in Section 3.6(b) of the Bakkt Disclosure Letter.</w:t>
      </w:r>
    </w:p>
    <w:p>
      <w:pPr>
        <w:spacing w:after="0" w:line="68" w:lineRule="exact"/>
        <w:rPr>
          <w:rFonts w:ascii="Times New Roman" w:cs="Times New Roman" w:eastAsia="Times New Roman" w:hAnsi="Times New Roman"/>
          <w:sz w:val="18"/>
          <w:szCs w:val="18"/>
          <w:color w:val="auto"/>
        </w:rPr>
      </w:pPr>
    </w:p>
    <w:p>
      <w:pPr>
        <w:ind w:right="280" w:firstLine="990"/>
        <w:spacing w:after="0" w:line="258" w:lineRule="auto"/>
        <w:tabs>
          <w:tab w:leader="none" w:pos="1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3.6(b) of the Bakkt Disclosure Letter sets forth a correct and complete listing of all Bakkt Leased Real Property (including street address, lessor and lessee). Except as would not be material to Bakkt Opco and its Subsidiaries, taken as a whole, either Bakkt Opco or its Subsidiaries, as applicable, has a valid leasehold interest to the leasehold estate in the Bakkt Leased Real Property granted to Bakkt Opco or such Subsidiary, as applicable, pursuant to</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480" w:top="268" w:right="579" w:bottom="1440" w:gutter="0" w:footer="0" w:header="0"/>
        </w:sectPr>
      </w:pPr>
    </w:p>
    <w:bookmarkStart w:id="33" w:name="page34"/>
    <w:bookmarkEnd w:id="3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applicable Real Property Lease (subject to Permitted Liens), a true and correct copy of which (including all material amendments and modifications thereof or material waivers thereto) has been provided or made available to VIH prior to the date hereof. Except as set forth on Section 3.6(b) of the Bakkt Disclosure Letter, there are no parties other than Bakkt Opco and/or its Subsidiaries in possession of or having the right to use or occupy any portion of the Bakkt Leased Real Property, and, to the knowledge of the Bakkt Opco, no Contract grants any Person (other than Bakkt Opco and its Subsidiaries) the right of use or occupancy of any portion of the Bakkt Leased Real Property.</w:t>
      </w:r>
    </w:p>
    <w:p>
      <w:pPr>
        <w:spacing w:after="0" w:line="77" w:lineRule="exact"/>
        <w:rPr>
          <w:sz w:val="20"/>
          <w:szCs w:val="20"/>
          <w:color w:val="auto"/>
        </w:rPr>
      </w:pPr>
    </w:p>
    <w:p>
      <w:pPr>
        <w:jc w:val="both"/>
        <w:ind w:right="280" w:firstLine="990"/>
        <w:spacing w:after="0" w:line="263" w:lineRule="auto"/>
        <w:tabs>
          <w:tab w:leader="none" w:pos="1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Bakkt Opco, there are no pending or threatened condemnation proceedings, lawsuits or administrative actions relating to any portion of the Bakkt Real Property, nor has Bakkt Opco or any of its Subsidiaries received notice of any pending or threatened special assessment proceedings affecting any portion of the Bakkt Real Property.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4" w:lineRule="auto"/>
        <w:tabs>
          <w:tab w:leader="none" w:pos="12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and its Subsidiaries, taken as a whole, (i) Bakkt Opco and its Subsidiaries, collectively, have good and valid title to, or a valid leasehold interest in, all of the assets, properties, and rights owned or leased by, or otherwise used in the business of, Bakkt Opco and its Subsidiaries, free and clear of all Liens (other than Permitted Liens) and (ii) all of the tangible assets, properties and rights owned by Bakkt Opco and its Subsidiaries have been maintained in a reasonably prudent manner and are in good operating condition and repair, ordinary wear and tear excepted and are located on the Bakkt Leased Real Property. None of Bakkt Opco or any of its Subsidiaries is the subject of any bankruptcy, dissolution, liquidation, reorganization or similar proceeding.</w:t>
      </w:r>
    </w:p>
    <w:p>
      <w:pPr>
        <w:spacing w:after="0" w:line="76" w:lineRule="exact"/>
        <w:rPr>
          <w:rFonts w:ascii="Times New Roman" w:cs="Times New Roman" w:eastAsia="Times New Roman" w:hAnsi="Times New Roman"/>
          <w:sz w:val="18"/>
          <w:szCs w:val="18"/>
          <w:color w:val="auto"/>
        </w:rPr>
      </w:pPr>
    </w:p>
    <w:p>
      <w:pPr>
        <w:ind w:right="20" w:firstLine="990"/>
        <w:spacing w:after="0" w:line="258" w:lineRule="auto"/>
        <w:tabs>
          <w:tab w:leader="none" w:pos="12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properties and rights owned or leased by, or otherwise used in the business of, Bakkt Opco and its Subsidiaries, collectively with the assets and services provided to Bakkt Pubco and Bakkt Opco and its Subsidiaries under the Contracts set forth on Section 3.19 of the Bakkt Disclosure Letter, constitute all of the material assets necessary to conduct the business of the Bakkt Opco and its Subsidiaries immediately after the Closing, in all material respects, as it has been operated for the previous six (6) months.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5" w:lineRule="auto"/>
        <w:tabs>
          <w:tab w:leader="none" w:pos="12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is treated as a partnership for U.S. federal income tax purposes and will be so classified for all periods through and including the Closing Date, and at all times since its formation, Bakkt Opco has been treated either as an entity disregarded as separate from its owner or as a partnership for U.S. federal income tax purposes. Except as set forth on Section 3.8(a) of the Bakkt Disclosure Letter, each of Bakkt Opco’s Subsidiaries is, and at all times since its formation has been, treated as a disregarded entity for U.S. federal income tax purposes and will be so classified for all periods through and including the Closing Date.</w:t>
      </w:r>
    </w:p>
    <w:p>
      <w:pPr>
        <w:spacing w:after="0" w:line="77" w:lineRule="exact"/>
        <w:rPr>
          <w:rFonts w:ascii="Times New Roman" w:cs="Times New Roman" w:eastAsia="Times New Roman" w:hAnsi="Times New Roman"/>
          <w:sz w:val="18"/>
          <w:szCs w:val="18"/>
          <w:color w:val="auto"/>
        </w:rPr>
      </w:pPr>
    </w:p>
    <w:p>
      <w:pPr>
        <w:ind w:right="220" w:firstLine="990"/>
        <w:spacing w:after="0" w:line="258" w:lineRule="auto"/>
        <w:tabs>
          <w:tab w:leader="none" w:pos="12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3.8(b) of the Bakkt Disclosure Letter, each of Bakkt Opco and its Subsidiaries has timely filed (taking into account applicable extensions) all material Tax Returns that it was required to file and such Tax Returns are correct and complete in all material respects. Neither Bakkt Opco nor any of its Subsidiaries is currently the beneficiary of any extension of time within which to file any material Tax Return other than extensions of time to file Tax Returns obtained in the ordinary course of business.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34" w:name="page35"/>
    <w:bookmarkEnd w:id="34"/>
    <w:p>
      <w:pPr>
        <w:ind w:left="-20" w:right="180" w:firstLine="990"/>
        <w:spacing w:after="0" w:line="255" w:lineRule="auto"/>
        <w:tabs>
          <w:tab w:leader="none" w:pos="12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set forth on Section 3.8(c) of the Bakkt Disclosure Letter, all material Taxes and all material Tax liabilities of Bakkt Opco and its Subsidiaries that are due and payable have been timely paid in full to the appropriate taxing authorities. Any such Taxes or Tax liabilities that relate to a Pre-Closing Tax Period that are not yet due and payable (i) for periods covered by the Financial Statements have been properly accrued and adequately disclosed on the Financial Statements in accordance with GAAP, and (ii) for periods not covered by the Financial Statements have been properly accrued on the books and records of Bakkt Opco and its Subsidiaries in accordance with GAAP.</w:t>
      </w:r>
    </w:p>
    <w:p>
      <w:pPr>
        <w:spacing w:after="0" w:line="77" w:lineRule="exact"/>
        <w:rPr>
          <w:rFonts w:ascii="Times New Roman" w:cs="Times New Roman" w:eastAsia="Times New Roman" w:hAnsi="Times New Roman"/>
          <w:sz w:val="18"/>
          <w:szCs w:val="18"/>
          <w:color w:val="auto"/>
        </w:rPr>
      </w:pPr>
    </w:p>
    <w:p>
      <w:pPr>
        <w:ind w:left="-20" w:firstLine="990"/>
        <w:spacing w:after="0" w:line="263" w:lineRule="auto"/>
        <w:tabs>
          <w:tab w:leader="none" w:pos="1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3.8(d) of the Bakkt Disclosure Letter, Bakkt Opco and each of its Subsidiaries have withheld or collected all material Taxes required by Law to have been withheld or collected and, to the extent required, timely paid over such Taxes to the appropriate Governmental Authorities.</w:t>
      </w:r>
    </w:p>
    <w:p>
      <w:pPr>
        <w:spacing w:after="0" w:line="68" w:lineRule="exact"/>
        <w:rPr>
          <w:rFonts w:ascii="Times New Roman" w:cs="Times New Roman" w:eastAsia="Times New Roman" w:hAnsi="Times New Roman"/>
          <w:sz w:val="18"/>
          <w:szCs w:val="18"/>
          <w:color w:val="auto"/>
        </w:rPr>
      </w:pPr>
    </w:p>
    <w:p>
      <w:pPr>
        <w:jc w:val="both"/>
        <w:ind w:left="-20" w:right="40" w:firstLine="990"/>
        <w:spacing w:after="0" w:line="263" w:lineRule="auto"/>
        <w:tabs>
          <w:tab w:leader="none" w:pos="12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3.8(e) of the Bakkt Disclosure Letter, neither Bakkt Opco nor any of its Subsidiaries is currently, nor has been within the past three (3) years, the subject of any material Tax Proceeding by any Governmental Authority and no such Tax Proceeding is pending or, to the knowledge of Bakkt Opco or its Subsidiaries, threatened or contemplated.</w:t>
      </w:r>
    </w:p>
    <w:p>
      <w:pPr>
        <w:spacing w:after="0" w:line="68" w:lineRule="exact"/>
        <w:rPr>
          <w:rFonts w:ascii="Times New Roman" w:cs="Times New Roman" w:eastAsia="Times New Roman" w:hAnsi="Times New Roman"/>
          <w:sz w:val="18"/>
          <w:szCs w:val="18"/>
          <w:color w:val="auto"/>
        </w:rPr>
      </w:pPr>
    </w:p>
    <w:p>
      <w:pPr>
        <w:ind w:left="-20" w:right="220" w:firstLine="990"/>
        <w:spacing w:after="0" w:line="258" w:lineRule="auto"/>
        <w:tabs>
          <w:tab w:leader="none" w:pos="1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3.8(f) of the Bakkt Disclosure Letter, neither Bakkt Opco nor any of its Subsidiaries has waived any statute of limitations with respect to material Taxes or agreed to extend the period for assessment or collection of any material Taxes, which waiver or extension is still in effect. Neither Bakkt Opco nor any of its Subsidiaries is presently contesting a material Tax liability of Bakkt Opco or such Subsidiary, as applicable, before any taxing authority or other Governmental Authority.</w:t>
      </w:r>
    </w:p>
    <w:p>
      <w:pPr>
        <w:spacing w:after="0" w:line="72" w:lineRule="exact"/>
        <w:rPr>
          <w:rFonts w:ascii="Times New Roman" w:cs="Times New Roman" w:eastAsia="Times New Roman" w:hAnsi="Times New Roman"/>
          <w:sz w:val="18"/>
          <w:szCs w:val="18"/>
          <w:color w:val="auto"/>
        </w:rPr>
      </w:pPr>
    </w:p>
    <w:p>
      <w:pPr>
        <w:ind w:left="1220" w:hanging="250"/>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Bakkt Opco or any of its Subsidiaries other than Permitted Liens.</w:t>
      </w:r>
    </w:p>
    <w:p>
      <w:pPr>
        <w:spacing w:after="0" w:line="113" w:lineRule="exact"/>
        <w:rPr>
          <w:rFonts w:ascii="Times New Roman" w:cs="Times New Roman" w:eastAsia="Times New Roman" w:hAnsi="Times New Roman"/>
          <w:sz w:val="18"/>
          <w:szCs w:val="18"/>
          <w:color w:val="auto"/>
        </w:rPr>
      </w:pPr>
    </w:p>
    <w:p>
      <w:pPr>
        <w:ind w:left="-20" w:right="120" w:firstLine="990"/>
        <w:spacing w:after="0" w:line="263" w:lineRule="auto"/>
        <w:tabs>
          <w:tab w:leader="none" w:pos="1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3.8(h) of the Bakkt Disclosure Letter, no written claim has been made within the past three (3) years by any taxing authority in a jurisdiction where Bakkt Opco or any of its Subsidiaries does not file Tax Returns that Bakkt Opco or such Subsidiary, as applicable, is or may be subject to material taxation by that jurisdiction.</w:t>
      </w:r>
    </w:p>
    <w:p>
      <w:pPr>
        <w:spacing w:after="0" w:line="68" w:lineRule="exact"/>
        <w:rPr>
          <w:rFonts w:ascii="Times New Roman" w:cs="Times New Roman" w:eastAsia="Times New Roman" w:hAnsi="Times New Roman"/>
          <w:sz w:val="18"/>
          <w:szCs w:val="18"/>
          <w:color w:val="auto"/>
        </w:rPr>
      </w:pPr>
    </w:p>
    <w:p>
      <w:pPr>
        <w:ind w:left="-20" w:right="40" w:firstLine="990"/>
        <w:spacing w:after="0" w:line="254" w:lineRule="auto"/>
        <w:tabs>
          <w:tab w:leader="none" w:pos="11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3.8(i) of the Bakkt Disclosure Letter, neither Bakkt Opco nor any of its Subsidiaries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Bakkt Opco or any of its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500" w:top="268"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Subsidiaries pursuant to Section 481 of the Code or any similar provision of the Code or the corresponding Tax Laws of any nation, state or locality.</w:t>
      </w:r>
    </w:p>
    <w:p>
      <w:pPr>
        <w:spacing w:after="0" w:line="114" w:lineRule="exact"/>
        <w:rPr>
          <w:sz w:val="20"/>
          <w:szCs w:val="20"/>
          <w:color w:val="auto"/>
        </w:rPr>
      </w:pPr>
    </w:p>
    <w:p>
      <w:pPr>
        <w:jc w:val="both"/>
        <w:ind w:firstLine="990"/>
        <w:spacing w:after="0" w:line="263" w:lineRule="auto"/>
        <w:tabs>
          <w:tab w:leader="none" w:pos="11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any Liabilities for material Taxes of any other Person (other than Bakkt Opco or any of its Subsidiaries) as a successor or transferee, by Contract, by operation of Law, or otherwise (other than pursuant to any Commercial Tax Agreement). Neither Bakkt Opco nor any of its Subsidiaries is party to or bound by any Tax Sharing Agreement.</w:t>
      </w:r>
    </w:p>
    <w:p>
      <w:pPr>
        <w:spacing w:after="0" w:line="68" w:lineRule="exact"/>
        <w:rPr>
          <w:rFonts w:ascii="Times New Roman" w:cs="Times New Roman" w:eastAsia="Times New Roman" w:hAnsi="Times New Roman"/>
          <w:sz w:val="18"/>
          <w:szCs w:val="18"/>
          <w:color w:val="auto"/>
        </w:rPr>
      </w:pPr>
    </w:p>
    <w:p>
      <w:pPr>
        <w:ind w:right="500" w:firstLine="990"/>
        <w:spacing w:after="0" w:line="278" w:lineRule="auto"/>
        <w:tabs>
          <w:tab w:leader="none" w:pos="12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engaged in a “listed transaction” within the meaning of Treasury Regulations Section 1.6011-4(b).</w:t>
      </w:r>
    </w:p>
    <w:p>
      <w:pPr>
        <w:spacing w:after="0" w:line="55" w:lineRule="exact"/>
        <w:rPr>
          <w:rFonts w:ascii="Times New Roman" w:cs="Times New Roman" w:eastAsia="Times New Roman" w:hAnsi="Times New Roman"/>
          <w:sz w:val="18"/>
          <w:szCs w:val="18"/>
          <w:color w:val="auto"/>
        </w:rPr>
      </w:pPr>
    </w:p>
    <w:p>
      <w:pPr>
        <w:ind w:right="80" w:firstLine="990"/>
        <w:spacing w:after="0" w:line="278" w:lineRule="auto"/>
        <w:tabs>
          <w:tab w:leader="none" w:pos="11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election has been made under Treasury Regulation Section 301.9100-22 (or any similar provision of state, local, or non-U.S. Laws) with respect to Bakkt Opco or any of its Subsidiaries.</w:t>
      </w:r>
    </w:p>
    <w:p>
      <w:pPr>
        <w:spacing w:after="0" w:line="55" w:lineRule="exact"/>
        <w:rPr>
          <w:sz w:val="20"/>
          <w:szCs w:val="20"/>
          <w:color w:val="auto"/>
        </w:rPr>
      </w:pPr>
    </w:p>
    <w:p>
      <w:pPr>
        <w:ind w:right="1060"/>
        <w:spacing w:after="0" w:line="278"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Agreement, the representations and warranties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are the only representations and warranties of Bakkt Opco with respect to Tax matters.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7" w:lineRule="auto"/>
        <w:tabs>
          <w:tab w:leader="none" w:pos="12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3.9(a) of the Bakkt Disclosure Letter sets forth a complete list of each material Bakkt Benefit Plan, Bakkt Benefit Arrangement and Parent Benefit Plan. With respect to each material Bakkt Benefit Plan, Bakkt Benefit Arrangement and Parent Benefit Plan, Bakkt Opco has made available to VIH, to the extent applicable, true, complete and correct copies of (A) such Bakkt Benefit Plan, Bakkt Benefit Arrangement and Parent Benefit Plan (or, if not written, a written summary of its material terms) and all plan documents, trust agreements, insurance Contracts or other funding vehicles and all amendments thereto, (B) the most recent summary plan descriptions, including any summary of material modifications, (C) the three (3) most recent annual reports (Form 5500 series) filed with the Internal Revenue Service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with respect to such Bakkt Benefit Plan, Bakkt Benefit Arrangement and Parent Benefit Plan, (D) the most recent actuarial report or other financial statement relating to such Bakkt Benefit Plan, Bakkt Benefit Arrangement and Parent Benefit Plan, (E) the most recent determination or opinion letter, if any, issued by the IRS with respect to such Bakkt Benefit Plan, Bakkt Benefit Arrangement and Parent Benefit Plan and any pending request for such a determination letter and (F) all material correspondence to or from the IRS, the United States Department of Labor (“</w:t>
      </w:r>
      <w:r>
        <w:rPr>
          <w:rFonts w:ascii="Times New Roman" w:cs="Times New Roman" w:eastAsia="Times New Roman" w:hAnsi="Times New Roman"/>
          <w:sz w:val="17"/>
          <w:szCs w:val="17"/>
          <w:u w:val="single" w:color="auto"/>
          <w:color w:val="auto"/>
        </w:rPr>
        <w:t>DOL</w:t>
      </w:r>
      <w:r>
        <w:rPr>
          <w:rFonts w:ascii="Times New Roman" w:cs="Times New Roman" w:eastAsia="Times New Roman" w:hAnsi="Times New Roman"/>
          <w:sz w:val="17"/>
          <w:szCs w:val="17"/>
          <w:color w:val="auto"/>
        </w:rPr>
        <w:t>”), the Pension Benefit Guaranty Corporation or any other Governmental Authority received in the last three (3) years with respect to such Bakkt Benefit Plan, Bakkt Benefit Arrangement or Parent Benefit Plan.</w:t>
      </w:r>
    </w:p>
    <w:p>
      <w:pPr>
        <w:spacing w:after="0" w:line="68" w:lineRule="exact"/>
        <w:rPr>
          <w:rFonts w:ascii="Times New Roman" w:cs="Times New Roman" w:eastAsia="Times New Roman" w:hAnsi="Times New Roman"/>
          <w:sz w:val="17"/>
          <w:szCs w:val="17"/>
          <w:color w:val="auto"/>
        </w:rPr>
      </w:pPr>
    </w:p>
    <w:p>
      <w:pPr>
        <w:ind w:right="320" w:firstLine="990"/>
        <w:spacing w:after="0" w:line="258" w:lineRule="auto"/>
        <w:tabs>
          <w:tab w:leader="none" w:pos="12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Qualified Plan has received a favorable determination letter, or is the subject of a favorable advisory or opinion letter as to its qualification, issued by the IRS to the effect that such plan is qualified and the trust related thereto is exempt from federal income taxes under Sections 401(a) and 501(a), respectively, of the Code, and, to the knowledge of Bakkt Opco, no act or omission in the operation of such plan has occurred that would reasonably be expected to adversely affect its qualified status. Each Bakkt Benefit Plan and each Bakkt Benefit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8" w:right="51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Arrangement has been administered in all material respects in accordance with its terms and with all applicable Laws, including ERISA, the Code, the Patient Protection and Affordable Care Act (“</w:t>
      </w:r>
      <w:r>
        <w:rPr>
          <w:rFonts w:ascii="Times New Roman" w:cs="Times New Roman" w:eastAsia="Times New Roman" w:hAnsi="Times New Roman"/>
          <w:sz w:val="18"/>
          <w:szCs w:val="18"/>
          <w:u w:val="single" w:color="auto"/>
          <w:color w:val="auto"/>
        </w:rPr>
        <w:t>ACA</w:t>
      </w:r>
      <w:r>
        <w:rPr>
          <w:rFonts w:ascii="Times New Roman" w:cs="Times New Roman" w:eastAsia="Times New Roman" w:hAnsi="Times New Roman"/>
          <w:sz w:val="18"/>
          <w:szCs w:val="18"/>
          <w:color w:val="auto"/>
        </w:rPr>
        <w:t>”) and the Health Insurance Portability and Accountability Act. Neither Bakkt Opco nor any of its Subsidiaries is liable for any penalty or excise taxes assessable under ACA. Each individual classified as an independent contractor or other non-employee classification by Bakkt Opco or any of its Subsidiaries has been properly classified for purposes of participation and benefit accrual under each Bakkt Benefit Plan and Bakkt Benefit Arrangement, except as would not be materially adverse to Bakkt Opco and its Subsidiaries, taken as a whole. No Bakkt Benefit Plan or Bakkt Benefit Arrangement is maintained outside the jurisdiction of the United States or covers any employees or other service providers of Bakkt Opco or any of its Subsidiaries who reside or work outside of the United States.</w:t>
      </w:r>
    </w:p>
    <w:p>
      <w:pPr>
        <w:spacing w:after="0" w:line="77" w:lineRule="exact"/>
        <w:rPr>
          <w:sz w:val="20"/>
          <w:szCs w:val="20"/>
          <w:color w:val="auto"/>
        </w:rPr>
      </w:pPr>
    </w:p>
    <w:p>
      <w:pPr>
        <w:ind w:right="200" w:firstLine="990"/>
        <w:spacing w:after="0" w:line="258" w:lineRule="auto"/>
        <w:tabs>
          <w:tab w:leader="none" w:pos="1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from the Formation Date maintained, sponsored or been required to contribute to any Pension Plan or Multiemployer Plan. There are no current or contingent Liabilities that would be imposed upon Bakkt Opco or any of its Subsidiaries with respect to any Pension Plan or Multiemployer Plan maintained or previously maintained by an ERISA Affiliate or former ERISA Affiliate.</w:t>
      </w:r>
    </w:p>
    <w:p>
      <w:pPr>
        <w:spacing w:after="0" w:line="72" w:lineRule="exact"/>
        <w:rPr>
          <w:rFonts w:ascii="Times New Roman" w:cs="Times New Roman" w:eastAsia="Times New Roman" w:hAnsi="Times New Roman"/>
          <w:sz w:val="18"/>
          <w:szCs w:val="18"/>
          <w:color w:val="auto"/>
        </w:rPr>
      </w:pPr>
    </w:p>
    <w:p>
      <w:pPr>
        <w:ind w:right="20" w:firstLine="990"/>
        <w:spacing w:after="0" w:line="254" w:lineRule="auto"/>
        <w:tabs>
          <w:tab w:leader="none" w:pos="12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any Bakkt Benefit Plan or Bakkt Benefit Arrangement, nor, to the knowledge of Bakkt Opco, any trustee, administrator or other third-party fiduciary and/or party-in-interest thereof, has engaged in any breach of fiduciary responsibility or any “prohibited transaction” (as such term is defined in Section 406 of ERISA or Section 4975 of the Code) to which Section 406 of ERISA or Section 4975 of the Code applies and which would subject Bakkt Opco or any ERISA Affiliate to the tax or penalty on prohibited transactions imposed by Section 4975 of the Code, which, assuming the taxable period of such transaction expired as of the date hereof, would be materially adverse to Bakkt Opco and its Subsidiaries, taken as a whole.</w:t>
      </w:r>
    </w:p>
    <w:p>
      <w:pPr>
        <w:spacing w:after="0" w:line="76" w:lineRule="exact"/>
        <w:rPr>
          <w:rFonts w:ascii="Times New Roman" w:cs="Times New Roman" w:eastAsia="Times New Roman" w:hAnsi="Times New Roman"/>
          <w:sz w:val="18"/>
          <w:szCs w:val="18"/>
          <w:color w:val="auto"/>
        </w:rPr>
      </w:pPr>
    </w:p>
    <w:p>
      <w:pPr>
        <w:ind w:right="20" w:firstLine="990"/>
        <w:spacing w:after="0" w:line="255" w:lineRule="auto"/>
        <w:tabs>
          <w:tab w:leader="none" w:pos="1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Bakkt Opco, threatened Action or claims by, on behalf of, against or relating to any Bakkt Benefit Plan or Bakkt Benefit Arrangement (including any such claims against any fiduciary of any such Bakkt Benefit Plan or Bakkt Benefit Arrangement) or trust related thereto, which would be materially adverse to Bakkt Opco or its Subsidiaries, taken as a whole. No Bakkt Benefit Plan or Bakkt Benefit Arrangement has received notice of an audit or examination by any Governmental Authority (including the IRS and the DOL) from such Governmental Authority.</w:t>
      </w:r>
    </w:p>
    <w:p>
      <w:pPr>
        <w:spacing w:after="0" w:line="77" w:lineRule="exact"/>
        <w:rPr>
          <w:rFonts w:ascii="Times New Roman" w:cs="Times New Roman" w:eastAsia="Times New Roman" w:hAnsi="Times New Roman"/>
          <w:sz w:val="18"/>
          <w:szCs w:val="18"/>
          <w:color w:val="auto"/>
        </w:rPr>
      </w:pPr>
    </w:p>
    <w:p>
      <w:pPr>
        <w:ind w:right="20" w:firstLine="990"/>
        <w:spacing w:after="0" w:line="258" w:lineRule="auto"/>
        <w:tabs>
          <w:tab w:leader="none" w:pos="12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Bakkt Benefit Plan or Bakkt Benefit Arrangement contains any provision or is subject to any Law that, as a result of the Transactions or upon related, concurrent, or subsequent employment termination, would require or provide any payment or compensation that would constitute an “excess parachute payment” under Section 280G of the Code. No Bakkt Benefit Plan or Bakkt Benefit Arrangement contains any provision or is subject to any Law that would promise or provide any tax gross ups or tax indemnification under Sections 280G or 409A of the Code.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37" w:name="page38"/>
    <w:bookmarkEnd w:id="37"/>
    <w:p>
      <w:pPr>
        <w:ind w:left="-7" w:right="400" w:firstLine="990"/>
        <w:spacing w:after="0" w:line="267" w:lineRule="auto"/>
        <w:tabs>
          <w:tab w:leader="none" w:pos="122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expressly contemplated by this Agreement and the Transaction Documents,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severance or other compensation payable to any Person who is or has been an employee of or independent contractor to Bakkt Opco or one of its Subsidiaries (other than salaries, wages, or bonuses payable in the ordinary course of business) to increase or become due to any such Person,</w:t>
      </w:r>
    </w:p>
    <w:p>
      <w:pPr>
        <w:spacing w:after="0" w:line="1" w:lineRule="exact"/>
        <w:rPr>
          <w:rFonts w:ascii="Times New Roman" w:cs="Times New Roman" w:eastAsia="Times New Roman" w:hAnsi="Times New Roman"/>
          <w:sz w:val="17"/>
          <w:szCs w:val="17"/>
          <w:color w:val="auto"/>
        </w:rPr>
      </w:pPr>
    </w:p>
    <w:p>
      <w:pPr>
        <w:ind w:left="-7" w:firstLine="7"/>
        <w:spacing w:after="0" w:line="252"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accrual, vesting, or funding of, creation of, or other rights in respect of any rights of any Person to benefits under any Bakkt Benefit Plan or Bakkt Benefit Arrangement, (iii) result in forgiveness of indebtedness with respect to any employee of Bakkt Opco or one of its Subsidiaries or (iv) trigger any funding obligation under any Bakkt Benefit Plan or Bakkt Benefit Arrangement.</w:t>
      </w:r>
    </w:p>
    <w:p>
      <w:pPr>
        <w:spacing w:after="0" w:line="78" w:lineRule="exact"/>
        <w:rPr>
          <w:rFonts w:ascii="Times New Roman" w:cs="Times New Roman" w:eastAsia="Times New Roman" w:hAnsi="Times New Roman"/>
          <w:sz w:val="18"/>
          <w:szCs w:val="18"/>
          <w:color w:val="auto"/>
        </w:rPr>
      </w:pPr>
    </w:p>
    <w:p>
      <w:pPr>
        <w:ind w:left="-7" w:right="20" w:firstLine="990"/>
        <w:spacing w:after="0" w:line="263" w:lineRule="auto"/>
        <w:tabs>
          <w:tab w:leader="none" w:pos="12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Bakkt Benefit Plan or Bakkt Benefit Arrangement provides for post-employment medical, surgical, hospitalization, death or similar benefits (whether or not insured) for employees or former employees of Bakkt Opco or any Subsidiary, other than as required by COBRA or other applicable Laws, and none of Bakkt Opco or any of its Subsidiaries has any obligation to provide such benefits.</w:t>
      </w:r>
    </w:p>
    <w:p>
      <w:pPr>
        <w:spacing w:after="0" w:line="68" w:lineRule="exact"/>
        <w:rPr>
          <w:rFonts w:ascii="Times New Roman" w:cs="Times New Roman" w:eastAsia="Times New Roman" w:hAnsi="Times New Roman"/>
          <w:sz w:val="18"/>
          <w:szCs w:val="18"/>
          <w:color w:val="auto"/>
        </w:rPr>
      </w:pPr>
    </w:p>
    <w:p>
      <w:pPr>
        <w:ind w:left="-7" w:right="20" w:firstLine="990"/>
        <w:spacing w:after="0" w:line="278" w:lineRule="auto"/>
        <w:tabs>
          <w:tab w:leader="none" w:pos="11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Bakkt Benefit Plans and Bakkt Benefit Arrangements have been documented and administered in accordance with Section 409A of the Code in all material respects.</w:t>
      </w:r>
    </w:p>
    <w:p>
      <w:pPr>
        <w:spacing w:after="0" w:line="55" w:lineRule="exact"/>
        <w:rPr>
          <w:rFonts w:ascii="Times New Roman" w:cs="Times New Roman" w:eastAsia="Times New Roman" w:hAnsi="Times New Roman"/>
          <w:sz w:val="18"/>
          <w:szCs w:val="18"/>
          <w:color w:val="auto"/>
        </w:rPr>
      </w:pPr>
    </w:p>
    <w:p>
      <w:pPr>
        <w:ind w:left="-7" w:right="440" w:firstLine="990"/>
        <w:spacing w:after="0" w:line="278" w:lineRule="auto"/>
        <w:tabs>
          <w:tab w:leader="none" w:pos="11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Benefit Plan has been administered in all material respects in accordance with its terms and with all applicable Laws, except as would be materially adverse to Bakkt Opco and its Subsidiaries, taken as a whole.</w:t>
      </w:r>
    </w:p>
    <w:p>
      <w:pPr>
        <w:spacing w:after="0" w:line="162"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7" w:firstLine="990"/>
        <w:spacing w:after="0" w:line="263" w:lineRule="auto"/>
        <w:tabs>
          <w:tab w:leader="none" w:pos="121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unresolved labor controversies (including unresolved grievances or discrimination claims) that are pending or, to the knowledge of Bakkt Opco, threatened between Bakkt Opco or one of its Subsidiaries and Persons who are or have been employees of Bakkt Opco or one of its Subsidiaries.</w:t>
      </w:r>
    </w:p>
    <w:p>
      <w:pPr>
        <w:spacing w:after="0" w:line="68" w:lineRule="exact"/>
        <w:rPr>
          <w:rFonts w:ascii="Times New Roman" w:cs="Times New Roman" w:eastAsia="Times New Roman" w:hAnsi="Times New Roman"/>
          <w:sz w:val="18"/>
          <w:szCs w:val="18"/>
          <w:color w:val="auto"/>
        </w:rPr>
      </w:pPr>
    </w:p>
    <w:p>
      <w:pPr>
        <w:ind w:left="-7" w:firstLine="990"/>
        <w:spacing w:after="0" w:line="268" w:lineRule="auto"/>
        <w:tabs>
          <w:tab w:leader="none" w:pos="122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3.10(b) of the Bakkt Disclosure Letter, (i) neither Bakkt Opco nor any of its Subsidiaries is a party to or bound by any collective bargaining agreement, trade union agreement, works council, or employee representative agreement, (ii) no such agreement is currently being negotiated, requested by, or is under discussion by Bakkt Opco or any of its Subsidiaries with, any employee or employee representative body, and (iii) there is no effort by or on behalf of any labor union or other collective labor organization to organize or represent any employees of Bakkt Opco or any of its Subsidiaries, and there have been no such efforts since the Formation Date, and no such organizing effort is threatened, and (iv) there are no representation or certification proceedings or petitions seeking a representation proceeding pending, threatened in writing, or to the knowledge of the Bakkt Opco, otherwise threatened to be brought or filed with the National Labor Relations Board or any other applicable labor relations authority. In the past three (3) years, there has been no actual or, to the knowledge of Bakkt Opco, threatened strike, slowdown, work stoppage, labor organization activity, lockout or other material labor dispute or similar activity against or affecting Bakkt Opco or any of its Subsidiaries.</w:t>
      </w:r>
    </w:p>
    <w:p>
      <w:pPr>
        <w:spacing w:after="0" w:line="1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93"/>
          </w:cols>
          <w:pgMar w:left="487" w:top="268" w:right="519" w:bottom="1440" w:gutter="0" w:footer="0" w:header="0"/>
        </w:sectPr>
      </w:pPr>
    </w:p>
    <w:bookmarkStart w:id="38" w:name="page39"/>
    <w:bookmarkEnd w:id="38"/>
    <w:p>
      <w:pPr>
        <w:ind w:left="-7" w:right="20" w:firstLine="990"/>
        <w:spacing w:after="0" w:line="254" w:lineRule="auto"/>
        <w:tabs>
          <w:tab w:leader="none" w:pos="12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and each of its Subsidiaries is and have been for the past three (3) years, in compliance in all material respects with all applicable Laws respecting employment and employment practices, terms and conditions of employment, health and safety and wages and hours, and other Laws relating to discrimination, disability, labor relations, hours of work, payment of wages and overtime wages, payment for leave, pay equity, immigration, workers compensation, working conditions, employee scheduling, occupational safety and health, family and medical leave, and employee terminations, and has not received written or, to the knowledge of Bakkt Opco, oral notice that there is any pending Action involving unfair labor practices against Bakkt Opco or one of its Subsidiaries.</w:t>
      </w:r>
    </w:p>
    <w:p>
      <w:pPr>
        <w:spacing w:after="0" w:line="76" w:lineRule="exact"/>
        <w:rPr>
          <w:rFonts w:ascii="Times New Roman" w:cs="Times New Roman" w:eastAsia="Times New Roman" w:hAnsi="Times New Roman"/>
          <w:sz w:val="18"/>
          <w:szCs w:val="18"/>
          <w:color w:val="auto"/>
        </w:rPr>
      </w:pPr>
    </w:p>
    <w:p>
      <w:pPr>
        <w:ind w:left="-7" w:firstLine="990"/>
        <w:spacing w:after="0" w:line="251" w:lineRule="auto"/>
        <w:tabs>
          <w:tab w:leader="none" w:pos="122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Bakkt Opco and its Subsidiaries have not received (i) notice of any unfair labor practice charge or material complaint pending or threatened before the National Labor Relations Board or any other Governmental Authority against them, (ii) notice of any complaints, grievances or arbitrations arising out of any collective bargaining agreement, (iii) notice of any material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material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82" w:lineRule="exact"/>
        <w:rPr>
          <w:rFonts w:ascii="Times New Roman" w:cs="Times New Roman" w:eastAsia="Times New Roman" w:hAnsi="Times New Roman"/>
          <w:sz w:val="18"/>
          <w:szCs w:val="18"/>
          <w:color w:val="auto"/>
        </w:rPr>
      </w:pPr>
    </w:p>
    <w:p>
      <w:pPr>
        <w:ind w:left="-7" w:right="40" w:firstLine="990"/>
        <w:spacing w:after="0" w:line="274" w:lineRule="auto"/>
        <w:tabs>
          <w:tab w:leader="none" w:pos="121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Bakkt Opco, no present or former employee, worker or independent contractor of Bakkt Opco or any of its Subsidiaries is in material violation of (i) any restrictive covenant, nondisclosure obligation or fiduciary duty to Bakkt Opco or any of its Subsidiaries or</w:t>
      </w:r>
    </w:p>
    <w:p>
      <w:pPr>
        <w:ind w:left="-7" w:right="300" w:firstLine="7"/>
        <w:spacing w:after="0" w:line="25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 or nondisclosure obligation to a former employer or engager of any such individual relating to (A) the right of any such individual to work for or provide services to Bakkt Opco or any of its Subsidiaries or (B) the knowledge or use of Trade Secrets, except for any such violation that would not be materially adverse to Bakkt Opco and its Subsidiaries, taken as a whole.</w:t>
      </w:r>
    </w:p>
    <w:p>
      <w:pPr>
        <w:spacing w:after="0" w:line="78" w:lineRule="exact"/>
        <w:rPr>
          <w:rFonts w:ascii="Times New Roman" w:cs="Times New Roman" w:eastAsia="Times New Roman" w:hAnsi="Times New Roman"/>
          <w:sz w:val="18"/>
          <w:szCs w:val="18"/>
          <w:color w:val="auto"/>
        </w:rPr>
      </w:pPr>
    </w:p>
    <w:p>
      <w:pPr>
        <w:ind w:left="-7" w:right="360" w:firstLine="990"/>
        <w:spacing w:after="0" w:line="258" w:lineRule="auto"/>
        <w:tabs>
          <w:tab w:leader="none" w:pos="11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Bakkt Opco and its Subsidiaries have not engaged in layoffs, furloughs or employment terminations sufficient to trigger application of the Workers’ Adjustment and Retraining Notification Act or any similar state or local law relating to group terminations. Bakkt Opco and its Subsidiaries have not engaged in layoffs or furloughs or effected any broad-based salary or other compensation or benefits reductions as a result of or in response to the COVID-19 virus, in each case, whether temporary or permanent, since January 1, 2020.</w:t>
      </w:r>
    </w:p>
    <w:p>
      <w:pPr>
        <w:spacing w:after="0" w:line="113"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93"/>
          </w:cols>
          <w:pgMar w:left="487" w:top="268" w:right="519" w:bottom="1440" w:gutter="0" w:footer="0" w:header="0"/>
        </w:sectPr>
      </w:pPr>
    </w:p>
    <w:bookmarkStart w:id="39" w:name="page40"/>
    <w:bookmarkEnd w:id="39"/>
    <w:p>
      <w:pPr>
        <w:ind w:right="40" w:firstLine="990"/>
        <w:spacing w:after="0" w:line="270" w:lineRule="auto"/>
        <w:tabs>
          <w:tab w:leader="none" w:pos="123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past three (3) years, (i) no allegations of sexual harassment or sexual misconduct have been made or threatened in writing, or, to the knowledge of Bakkt Opco, otherwise threatened to be made, against or involving any current or former officer, director or other employee at the level of Vice President or above by any current or former officer, employee or individual service provider of Bakkt Opco or any of its Subsidiaries, and</w:t>
      </w:r>
    </w:p>
    <w:p>
      <w:pPr>
        <w:spacing w:after="0" w:line="1" w:lineRule="exact"/>
        <w:rPr>
          <w:rFonts w:ascii="Times New Roman" w:cs="Times New Roman" w:eastAsia="Times New Roman" w:hAnsi="Times New Roman"/>
          <w:sz w:val="17"/>
          <w:szCs w:val="17"/>
          <w:color w:val="auto"/>
        </w:rPr>
      </w:pPr>
    </w:p>
    <w:p>
      <w:pPr>
        <w:ind w:right="520" w:firstLine="7"/>
        <w:spacing w:after="0" w:line="256" w:lineRule="auto"/>
        <w:tabs>
          <w:tab w:leader="none" w:pos="2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entered into any settlement agreements resolving, in whole or in part, allegations of sexual harassment or sexual misconduct by any current or former officer, director or other key employee.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Compliance; Permits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8" w:lineRule="auto"/>
        <w:tabs>
          <w:tab w:leader="none" w:pos="122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Bakkt Opco is and has been since the Formation Date and each Bakkt Opco Subsidiary is and has been since the later of (i) its respective formation date, (ii) the date on which it was acquired by Bakkt Opco and (iii) the date that is five (5) years prior to the date hereof, conducting its business and operations in compliance in all material respects with all applicable Laws and Material Permits. Neither Bakkt Opco nor its Subsidiaries have received any written or, to the knowledge of the Bakkt Opco, oral communication from any Governmental Authority since the later of</w:t>
      </w:r>
    </w:p>
    <w:p>
      <w:pPr>
        <w:spacing w:after="0" w:line="1" w:lineRule="exact"/>
        <w:rPr>
          <w:rFonts w:ascii="Times New Roman" w:cs="Times New Roman" w:eastAsia="Times New Roman" w:hAnsi="Times New Roman"/>
          <w:sz w:val="17"/>
          <w:szCs w:val="17"/>
          <w:color w:val="auto"/>
        </w:rPr>
      </w:pPr>
    </w:p>
    <w:p>
      <w:pPr>
        <w:ind w:right="160" w:firstLine="7"/>
        <w:spacing w:after="0" w:line="256" w:lineRule="auto"/>
        <w:tabs>
          <w:tab w:leader="none" w:pos="2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entity’s respective formation date, (ii) the date on which it was acquired by Bakkt Opco and (iii) the date that is five (5) years prior to the date hereof, alleging noncompliance in any material respect with any applicable Law.</w:t>
      </w:r>
    </w:p>
    <w:p>
      <w:pPr>
        <w:spacing w:after="0" w:line="74" w:lineRule="exact"/>
        <w:rPr>
          <w:rFonts w:ascii="Times New Roman" w:cs="Times New Roman" w:eastAsia="Times New Roman" w:hAnsi="Times New Roman"/>
          <w:sz w:val="18"/>
          <w:szCs w:val="18"/>
          <w:color w:val="auto"/>
        </w:rPr>
      </w:pPr>
    </w:p>
    <w:p>
      <w:pPr>
        <w:ind w:firstLine="990"/>
        <w:spacing w:after="0" w:line="254" w:lineRule="auto"/>
        <w:tabs>
          <w:tab w:leader="none" w:pos="123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and each of its Subsidiaries owns or holds the Material Permits. Section 3.11(b) of the Bakkt Disclosure Letter sets forth a correct and complete list and expiration dates of each Material Permit as of the date hereof. As of the date hereof, all of the Material Permits are in full force and effect, and no Action is pending, or, to Bakkt Opco’s knowledge, threatened seeking the suspension or cancellation of any of the Material Permits. As of the date hereof, neither Bakkt Opco nor any of its Subsidiaries is in material default or material violation (and no event has occurred that, with notice or the lapse of time or both, would constitute a material default or material violation) of any term, condition or provision of any of its Material Permits.</w:t>
      </w:r>
    </w:p>
    <w:p>
      <w:pPr>
        <w:spacing w:after="0" w:line="184" w:lineRule="exact"/>
        <w:rPr>
          <w:sz w:val="20"/>
          <w:szCs w:val="20"/>
          <w:color w:val="auto"/>
        </w:rPr>
      </w:pPr>
    </w:p>
    <w:p>
      <w:pPr>
        <w:ind w:right="140"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set forth on Section 3.12 of the Bakkt Disclosure Letter, there is no Action pending or, to the knowledge of Bakkt Opco, threatened in writing, against Bakkt Opco or any of its Subsidiaries (and no Action has been brought, or to Bakkt Opco’s knowledge, threatened, since January 1, 2018), and no notice of any Action involving or relating to Bakkt Opco or any of its Subsidiaries, whether pending or threatened, has been received by Bakkt Opco or any of its Subsidiaries in each case, except as would not be material to Bakkt Opco and its Subsidiaries, taken as a whole. To the knowledge of Bakkt Opco, as of the date hereof, there are no material investigations or Orders pending or rendered by a Governmental Authority against Bakkt Opco or any of its Subsidiaries.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Contracts and Commitments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990"/>
        <w:spacing w:after="0" w:line="263" w:lineRule="auto"/>
        <w:tabs>
          <w:tab w:leader="none" w:pos="12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3.13(a) of the Bakkt Disclosure Letter sets forth a correct and complete list of the following Contracts to which Bakkt Opco or any of its Subsidiaries is a party or otherwise bound (the Contracts required to be set forth in Section 3.13(a) of the Bakkt Disclosure Letter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60"/>
          </w:cols>
          <w:pgMar w:left="480" w:top="268" w:right="559" w:bottom="1440" w:gutter="0" w:footer="0" w:header="0"/>
        </w:sectPr>
      </w:pPr>
    </w:p>
    <w:bookmarkStart w:id="40" w:name="page41"/>
    <w:bookmarkEnd w:id="40"/>
    <w:p>
      <w:pPr>
        <w:ind w:right="40" w:firstLine="947"/>
        <w:spacing w:after="0" w:line="263" w:lineRule="auto"/>
        <w:tabs>
          <w:tab w:leader="none" w:pos="11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Contract that involved the expenditure or receipt by Bakkt Opco and its Subsidiaries of more than $150,000 in the aggregate during the twelve (12)-month period ending on December 31, 2019 or would involve the expenditure or receipt by Bakkt Opco and its Subsidiaries of more than $150,000 in the aggregate in the twelve (12)-month period ending December 31, 2020;</w:t>
      </w:r>
    </w:p>
    <w:p>
      <w:pPr>
        <w:spacing w:after="0" w:line="68" w:lineRule="exact"/>
        <w:rPr>
          <w:rFonts w:ascii="Times New Roman" w:cs="Times New Roman" w:eastAsia="Times New Roman" w:hAnsi="Times New Roman"/>
          <w:sz w:val="18"/>
          <w:szCs w:val="18"/>
          <w:color w:val="auto"/>
        </w:rPr>
      </w:pPr>
    </w:p>
    <w:p>
      <w:pPr>
        <w:ind w:right="320" w:firstLine="947"/>
        <w:spacing w:after="0" w:line="263" w:lineRule="auto"/>
        <w:tabs>
          <w:tab w:leader="none" w:pos="12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Related Party (other than (A) offer letters for employment on an at-will basis, (B) customary confidentiality, assignment of inventions and/or noncompetition or other similar arrangements and (C) Bakkt Benefit Plans and Bakkt Benefit Arrangements);</w:t>
      </w:r>
    </w:p>
    <w:p>
      <w:pPr>
        <w:spacing w:after="0" w:line="68" w:lineRule="exact"/>
        <w:rPr>
          <w:rFonts w:ascii="Times New Roman" w:cs="Times New Roman" w:eastAsia="Times New Roman" w:hAnsi="Times New Roman"/>
          <w:sz w:val="18"/>
          <w:szCs w:val="18"/>
          <w:color w:val="auto"/>
        </w:rPr>
      </w:pPr>
    </w:p>
    <w:p>
      <w:pPr>
        <w:ind w:right="480" w:firstLine="947"/>
        <w:spacing w:after="0" w:line="308" w:lineRule="auto"/>
        <w:tabs>
          <w:tab w:leader="none" w:pos="12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evidencing indebtedness in excess of $150,000, including any loan or credit agreement, security agreement, guaranty, indenture, mortgage, pledge, conditional sale or title retention agreement, equipment obligation or lease purchase agreement;</w:t>
      </w:r>
    </w:p>
    <w:p>
      <w:pPr>
        <w:spacing w:after="0" w:line="33" w:lineRule="exact"/>
        <w:rPr>
          <w:rFonts w:ascii="Times New Roman" w:cs="Times New Roman" w:eastAsia="Times New Roman" w:hAnsi="Times New Roman"/>
          <w:sz w:val="17"/>
          <w:szCs w:val="17"/>
          <w:color w:val="auto"/>
        </w:rPr>
      </w:pPr>
    </w:p>
    <w:p>
      <w:pPr>
        <w:ind w:right="380" w:firstLine="947"/>
        <w:spacing w:after="0" w:line="278" w:lineRule="auto"/>
        <w:tabs>
          <w:tab w:leader="none" w:pos="12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prohibits the payment of dividends or distributions in respect of the Equity Interests of Bakkt Opco or its Subsidiaries or the pledging of the Equity Interests of Bakkt Opco or its Subsidiaries;</w:t>
      </w:r>
    </w:p>
    <w:p>
      <w:pPr>
        <w:spacing w:after="0" w:line="55" w:lineRule="exact"/>
        <w:rPr>
          <w:rFonts w:ascii="Times New Roman" w:cs="Times New Roman" w:eastAsia="Times New Roman" w:hAnsi="Times New Roman"/>
          <w:sz w:val="18"/>
          <w:szCs w:val="18"/>
          <w:color w:val="auto"/>
        </w:rPr>
      </w:pPr>
    </w:p>
    <w:p>
      <w:pPr>
        <w:jc w:val="both"/>
        <w:ind w:right="40" w:firstLine="947"/>
        <w:spacing w:after="0" w:line="263" w:lineRule="auto"/>
        <w:tabs>
          <w:tab w:leader="none" w:pos="11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management and consultant contracts (excluding Contracts for employment or that do not exceed annual fees of $200,000 per year), including any Contracts involving the payment of royalties or other amounts calculated based upon the revenues or income of Bakkt Opco or its Subsidiaries or income or revenues related to any product or service of Bakkt Opco or its Subsidiaries;</w:t>
      </w:r>
    </w:p>
    <w:p>
      <w:pPr>
        <w:spacing w:after="0" w:line="68" w:lineRule="exact"/>
        <w:rPr>
          <w:rFonts w:ascii="Times New Roman" w:cs="Times New Roman" w:eastAsia="Times New Roman" w:hAnsi="Times New Roman"/>
          <w:sz w:val="18"/>
          <w:szCs w:val="18"/>
          <w:color w:val="auto"/>
        </w:rPr>
      </w:pPr>
    </w:p>
    <w:p>
      <w:pPr>
        <w:ind w:left="1240" w:hanging="29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Real Property Lease;</w:t>
      </w:r>
    </w:p>
    <w:p>
      <w:pPr>
        <w:spacing w:after="0" w:line="113" w:lineRule="exact"/>
        <w:rPr>
          <w:rFonts w:ascii="Times New Roman" w:cs="Times New Roman" w:eastAsia="Times New Roman" w:hAnsi="Times New Roman"/>
          <w:sz w:val="18"/>
          <w:szCs w:val="18"/>
          <w:color w:val="auto"/>
        </w:rPr>
      </w:pPr>
    </w:p>
    <w:p>
      <w:pPr>
        <w:ind w:right="360" w:firstLine="947"/>
        <w:spacing w:after="0" w:line="255"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license, in each case that is material to the business of Bakkt Opco or any of its Subsidiaries, pursuant to which Bakkt Opco or any of its Subsidiaries grants or receives rights in, or to use, any material Intellectual Property, except Contracts for (A) off-the-shelf Software with annual fees that do not exceed annual fees of $150,000 per year which are readily commercially available, and (B) Intellectual Property granted by Bakkt Opco or any of its Subsidiaries to customers in the ordinary course of business or service providers solely for the purpose of performing services on Bakkt Opco’s or any of its Subsidiaries’ behalf;</w:t>
      </w:r>
    </w:p>
    <w:p>
      <w:pPr>
        <w:spacing w:after="0" w:line="77" w:lineRule="exact"/>
        <w:rPr>
          <w:rFonts w:ascii="Times New Roman" w:cs="Times New Roman" w:eastAsia="Times New Roman" w:hAnsi="Times New Roman"/>
          <w:sz w:val="18"/>
          <w:szCs w:val="18"/>
          <w:color w:val="auto"/>
        </w:rPr>
      </w:pPr>
    </w:p>
    <w:p>
      <w:pPr>
        <w:ind w:firstLine="947"/>
        <w:spacing w:after="0" w:line="254" w:lineRule="auto"/>
        <w:tabs>
          <w:tab w:leader="none" w:pos="13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the (A) disposition (whether by merger, consolidation, sale of equity or assets or otherwise) of any significant portion of the assets or business of Bakkt Opco and its Subsidiaries, taken as a whole, (B) acquisition of any significant portion of the assets or business or any Equity Interests (whether by merger, consolidation, purchase of equity or assets or otherwise) of any other Person (other than in the ordinary course of business), or (C) acquisition of at least one percent (1%) of Equity Interests of Bakkt Opco or any of its Subsidiaries (other than by Bakkt Opco and its Subsidiaries and any exercise of Bakkt Opco Warrants and Bakkt Opco Incentive Units), in each case, entered into since the Formation Date;</w:t>
      </w:r>
    </w:p>
    <w:p>
      <w:pPr>
        <w:spacing w:after="0" w:line="76" w:lineRule="exact"/>
        <w:rPr>
          <w:rFonts w:ascii="Times New Roman" w:cs="Times New Roman" w:eastAsia="Times New Roman" w:hAnsi="Times New Roman"/>
          <w:sz w:val="18"/>
          <w:szCs w:val="18"/>
          <w:color w:val="auto"/>
        </w:rPr>
      </w:pPr>
    </w:p>
    <w:p>
      <w:pPr>
        <w:ind w:right="20" w:firstLine="947"/>
        <w:spacing w:after="0" w:line="258" w:lineRule="auto"/>
        <w:tabs>
          <w:tab w:leader="none" w:pos="12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limits or purports to limit, directly or indirectly, the freedom of Bakkt Opco or its Subsidiaries (A) to compete in any line of business or with any Person or engage in any line of business within any geographic area, or restricts, directly or indirectly, Bakkt Opco’s or its Subsidiaries’ ability to solicit or hire any Person or solicit business from any Person or (B) from purchasing or acquiring an interest in any other Person;</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40"/>
          </w:cols>
          <w:pgMar w:left="920" w:top="268" w:right="539" w:bottom="1440" w:gutter="0" w:footer="0" w:header="0"/>
        </w:sectPr>
      </w:pPr>
    </w:p>
    <w:bookmarkStart w:id="41" w:name="page42"/>
    <w:bookmarkEnd w:id="41"/>
    <w:p>
      <w:pPr>
        <w:ind w:left="420" w:right="40" w:firstLine="947"/>
        <w:spacing w:after="0" w:line="263" w:lineRule="auto"/>
        <w:tabs>
          <w:tab w:leader="none" w:pos="161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Contract that contains a put, call, right of first refusal, right of first offer or similar right pursuant to which Bakkt Opco or its Subsidiaries would be required to, directly or indirectly, purchase or sell, as applicable, any securities, capital stock or other interests, assets or business of any other Person;</w:t>
      </w:r>
    </w:p>
    <w:p>
      <w:pPr>
        <w:spacing w:after="0" w:line="68" w:lineRule="exact"/>
        <w:rPr>
          <w:rFonts w:ascii="Times New Roman" w:cs="Times New Roman" w:eastAsia="Times New Roman" w:hAnsi="Times New Roman"/>
          <w:sz w:val="18"/>
          <w:szCs w:val="18"/>
          <w:color w:val="auto"/>
        </w:rPr>
      </w:pPr>
    </w:p>
    <w:p>
      <w:pPr>
        <w:ind w:left="420" w:firstLine="947"/>
        <w:spacing w:after="0" w:line="278" w:lineRule="auto"/>
        <w:tabs>
          <w:tab w:leader="none" w:pos="16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concerning the establishment or operation of a partnership, joint venture, profit or revenue sharing, limited liability company, trust, association, any noncorporate entity or similar enterprise;</w:t>
      </w:r>
    </w:p>
    <w:p>
      <w:pPr>
        <w:spacing w:after="0" w:line="55" w:lineRule="exact"/>
        <w:rPr>
          <w:rFonts w:ascii="Times New Roman" w:cs="Times New Roman" w:eastAsia="Times New Roman" w:hAnsi="Times New Roman"/>
          <w:sz w:val="18"/>
          <w:szCs w:val="18"/>
          <w:color w:val="auto"/>
        </w:rPr>
      </w:pPr>
    </w:p>
    <w:p>
      <w:pPr>
        <w:ind w:left="420" w:right="240" w:firstLine="947"/>
        <w:spacing w:after="0" w:line="278" w:lineRule="auto"/>
        <w:tabs>
          <w:tab w:leader="none" w:pos="17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(or similar) agreement or Contract between Bakkt Opco or any of its Subsidiaries, on one hand, and any labor union or other body representing employees of Bakkt Opco or any of its Subsidiaries, on the other hand;</w:t>
      </w:r>
    </w:p>
    <w:p>
      <w:pPr>
        <w:spacing w:after="0" w:line="55" w:lineRule="exact"/>
        <w:rPr>
          <w:rFonts w:ascii="Times New Roman" w:cs="Times New Roman" w:eastAsia="Times New Roman" w:hAnsi="Times New Roman"/>
          <w:sz w:val="18"/>
          <w:szCs w:val="18"/>
          <w:color w:val="auto"/>
        </w:rPr>
      </w:pPr>
    </w:p>
    <w:p>
      <w:pPr>
        <w:ind w:left="420" w:right="20" w:firstLine="947"/>
        <w:spacing w:after="0" w:line="263" w:lineRule="auto"/>
        <w:tabs>
          <w:tab w:leader="none" w:pos="17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is an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w:t>
      </w:r>
    </w:p>
    <w:p>
      <w:pPr>
        <w:spacing w:after="0" w:line="68" w:lineRule="exact"/>
        <w:rPr>
          <w:rFonts w:ascii="Times New Roman" w:cs="Times New Roman" w:eastAsia="Times New Roman" w:hAnsi="Times New Roman"/>
          <w:sz w:val="18"/>
          <w:szCs w:val="18"/>
          <w:color w:val="auto"/>
        </w:rPr>
      </w:pPr>
    </w:p>
    <w:p>
      <w:pPr>
        <w:ind w:left="420" w:right="440" w:firstLine="947"/>
        <w:spacing w:after="0" w:line="278" w:lineRule="auto"/>
        <w:tabs>
          <w:tab w:leader="none" w:pos="17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entered into in connection with a material settlement under which Bakkt Opco or any of its Subsidiaries has material outstanding obligations;</w:t>
      </w:r>
    </w:p>
    <w:p>
      <w:pPr>
        <w:spacing w:after="0" w:line="55" w:lineRule="exact"/>
        <w:rPr>
          <w:rFonts w:ascii="Times New Roman" w:cs="Times New Roman" w:eastAsia="Times New Roman" w:hAnsi="Times New Roman"/>
          <w:sz w:val="18"/>
          <w:szCs w:val="18"/>
          <w:color w:val="auto"/>
        </w:rPr>
      </w:pPr>
    </w:p>
    <w:p>
      <w:pPr>
        <w:ind w:left="420" w:right="20" w:firstLine="947"/>
        <w:spacing w:after="0" w:line="278" w:lineRule="auto"/>
        <w:tabs>
          <w:tab w:leader="none" w:pos="17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supervisory Contract with a Governmental Authority and terms of conditional approvals from any Governmental Authority for any License or Permit other than Contracts for which the disclosure is prohibited by applicable Law; or</w:t>
      </w:r>
    </w:p>
    <w:p>
      <w:pPr>
        <w:spacing w:after="0" w:line="55" w:lineRule="exact"/>
        <w:rPr>
          <w:rFonts w:ascii="Times New Roman" w:cs="Times New Roman" w:eastAsia="Times New Roman" w:hAnsi="Times New Roman"/>
          <w:sz w:val="18"/>
          <w:szCs w:val="18"/>
          <w:color w:val="auto"/>
        </w:rPr>
      </w:pPr>
    </w:p>
    <w:p>
      <w:pPr>
        <w:ind w:left="420" w:right="40" w:firstLine="947"/>
        <w:spacing w:after="0" w:line="263" w:lineRule="auto"/>
        <w:tabs>
          <w:tab w:leader="none" w:pos="17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required to be filed with the Registration Statement under applicable SEC requirements or would otherwise be required to be filed by Bakkt Opco as an exhibit for a Form S-1 pursuant to Items 601(b)(1), (2), (4), (9) or (10) of Regulation S-K under the Securities Act as if Bakkt Opco was the registrant.</w:t>
      </w:r>
    </w:p>
    <w:p>
      <w:pPr>
        <w:spacing w:after="0" w:line="68" w:lineRule="exact"/>
        <w:rPr>
          <w:rFonts w:ascii="Times New Roman" w:cs="Times New Roman" w:eastAsia="Times New Roman" w:hAnsi="Times New Roman"/>
          <w:sz w:val="18"/>
          <w:szCs w:val="18"/>
          <w:color w:val="auto"/>
        </w:rPr>
      </w:pPr>
    </w:p>
    <w:p>
      <w:pPr>
        <w:ind w:left="-20" w:right="80" w:firstLine="990"/>
        <w:spacing w:after="0" w:line="252" w:lineRule="auto"/>
        <w:tabs>
          <w:tab w:leader="none" w:pos="1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and its Subsidiaries, taken as a whole, (i) each Material Contract is in full force and effect and is a legal, valid, binding and enforceable obligation of Bakkt Opco or its applicable Subsidiary and, to the knowledge of Bakkt Opco, each other party thereto (subject in each case to the Enforcement Exceptions); and (ii) neither Bakkt Opco, any of its Subsidiaries nor, to the knowledge of Bakkt Opco, any other party to any Material Contract, is in material violation, material breach or material default under, any Material Contract, and, to the knowledge of Bakkt Opco, there exists no condition or event which, after notice, lapse of time or both, would constitute any such violation, breach or default; (iii) neither Bakkt Opco nor any of its Subsidiaries has received written, or to the knowledge of Bakkt Opco, oral notice of default or termination under any Material Contract; and (iv) neither Bakkt Opco nor its Subsidiaries have waived any material rights under any Material Contract.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500" w:top="268" w:right="499" w:bottom="1440" w:gutter="0" w:footer="0" w:header="0"/>
        </w:sectPr>
      </w:pPr>
    </w:p>
    <w:bookmarkStart w:id="42" w:name="page43"/>
    <w:bookmarkEnd w:id="4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100" w:firstLine="990"/>
        <w:spacing w:after="0" w:line="255" w:lineRule="auto"/>
        <w:tabs>
          <w:tab w:leader="none" w:pos="12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or any of its Subsidiaries, (i) all of the Intellectual Property registrations and applications that are owned by Bakkt Opco or any of its Subsidiaries in any jurisdiction, alone or jointly with others (collectively, “</w:t>
      </w:r>
      <w:r>
        <w:rPr>
          <w:rFonts w:ascii="Times New Roman" w:cs="Times New Roman" w:eastAsia="Times New Roman" w:hAnsi="Times New Roman"/>
          <w:sz w:val="18"/>
          <w:szCs w:val="18"/>
          <w:u w:val="single" w:color="auto"/>
          <w:color w:val="auto"/>
        </w:rPr>
        <w:t>Registered 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IP</w:t>
      </w:r>
      <w:r>
        <w:rPr>
          <w:rFonts w:ascii="Times New Roman" w:cs="Times New Roman" w:eastAsia="Times New Roman" w:hAnsi="Times New Roman"/>
          <w:sz w:val="18"/>
          <w:szCs w:val="18"/>
          <w:color w:val="auto"/>
        </w:rPr>
        <w:t>”) are registered or filed in the name of Bakkt Opco or one of its Subsidiaries, without any Liens (except Permitted Liens) and with all fees paid and other filings made to the extent required to maintain such Registered Bakkt IP and protect the ownership interests of Bakkt Opco or its Subsidiaries therein, (ii) to the knowledge of Bakkt Opco, all of the Registered Bakkt IP, excluding applications, are valid and enforceable.</w:t>
      </w:r>
    </w:p>
    <w:p>
      <w:pPr>
        <w:spacing w:after="0" w:line="77" w:lineRule="exact"/>
        <w:rPr>
          <w:rFonts w:ascii="Times New Roman" w:cs="Times New Roman" w:eastAsia="Times New Roman" w:hAnsi="Times New Roman"/>
          <w:sz w:val="18"/>
          <w:szCs w:val="18"/>
          <w:color w:val="auto"/>
        </w:rPr>
      </w:pPr>
    </w:p>
    <w:p>
      <w:pPr>
        <w:ind w:left="-20" w:firstLine="990"/>
        <w:spacing w:after="0" w:line="255" w:lineRule="auto"/>
        <w:tabs>
          <w:tab w:leader="none" w:pos="1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Bakkt Opco or any of its Subsidiaries, (i) each item of Intellectual Property required for the operation of the business of Bakkt Opco or any of its Subsidiaries as it is currently conducted is owned by Bakkt Opco or its relevant Subsidiary or otherwise licensed by Bakkt Opco or such relevant Subsidiary for use as it is currently used or contemplated for use, and (ii) Bakkt Opco, together with its Subsidiaries, owns or otherwise has the right to use all Bakkt IP free and clear of any (x) Liens (except Permitted Liens), (y) Orders restricting its use, and (z) without obligations on Bakkt Opco or its Subsidiaries to pay royalties, licensing fees or any other duty of accounting to any third party.</w:t>
      </w:r>
    </w:p>
    <w:p>
      <w:pPr>
        <w:spacing w:after="0" w:line="77" w:lineRule="exact"/>
        <w:rPr>
          <w:rFonts w:ascii="Times New Roman" w:cs="Times New Roman" w:eastAsia="Times New Roman" w:hAnsi="Times New Roman"/>
          <w:sz w:val="18"/>
          <w:szCs w:val="18"/>
          <w:color w:val="auto"/>
        </w:rPr>
      </w:pPr>
    </w:p>
    <w:p>
      <w:pPr>
        <w:ind w:left="-20" w:right="60" w:firstLine="990"/>
        <w:spacing w:after="0" w:line="254" w:lineRule="auto"/>
        <w:tabs>
          <w:tab w:leader="none" w:pos="12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Bakkt Opco or any of its Subsidiaries, (i) Bakkt Opco and each of its Subsidiaries has taken commercially reasonable measures to maintain and protect the secrecy and confidentiality of all Trade Secrets and other confidential information, in each case, included in the Bakkt IP, and (ii) to the knowledge of Bakkt Opco, there has been no misappropriation or unauthorized disclosure of any such Trade Secrets including (x) no violations of the policies or practices of Bakkt Opco or its Subsidiaries related to the protection of the Trade Secrets included in the Bakkt IP or (y) breaches by any Person of any confidentiality or nondisclosure contract relating to the Trade Secrets included in the Bakkt IP.</w:t>
      </w:r>
    </w:p>
    <w:p>
      <w:pPr>
        <w:spacing w:after="0" w:line="76" w:lineRule="exact"/>
        <w:rPr>
          <w:rFonts w:ascii="Times New Roman" w:cs="Times New Roman" w:eastAsia="Times New Roman" w:hAnsi="Times New Roman"/>
          <w:sz w:val="18"/>
          <w:szCs w:val="18"/>
          <w:color w:val="auto"/>
        </w:rPr>
      </w:pPr>
    </w:p>
    <w:p>
      <w:pPr>
        <w:ind w:left="-20" w:right="80" w:firstLine="990"/>
        <w:spacing w:after="0" w:line="269" w:lineRule="auto"/>
        <w:tabs>
          <w:tab w:leader="none" w:pos="12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knowledge of Bakkt Opco, and except as would not be material to Bakkt Opco or any of its Subsidiaries (i) the conduct of the respective businesses of Bakkt Opco and its Subsidiaries does not currently infringe, misappropriate or violate, and has not since the Formation Date infringed, misappropriated or violated, any Intellectual Property of any other Person, and (ii) no Person is, or since the Formation Date has been, infringing, violating or misappropriating any Bakkt IP. Since the Formation Date, neither Bakkt Opco nor any of its Subsidiaries have received any written notice, offer to license or claim from any Person (x) challenging the validity of the Bakkt IP or ownership rights of Bakkt Opco or its Subsidiaries in the Bakkt IP, or (y) alleging that Bakkt Opco, its Subsidiaries, or the operation of their respective businesses infringe, misappropriate or otherwise violate the Intellectual Property of any third party. The representations and warranties in this </w:t>
      </w:r>
      <w:r>
        <w:rPr>
          <w:rFonts w:ascii="Times New Roman" w:cs="Times New Roman" w:eastAsia="Times New Roman" w:hAnsi="Times New Roman"/>
          <w:sz w:val="17"/>
          <w:szCs w:val="17"/>
          <w:u w:val="single" w:color="auto"/>
          <w:color w:val="auto"/>
        </w:rPr>
        <w:t>Section 3.14(d)</w:t>
      </w:r>
      <w:r>
        <w:rPr>
          <w:rFonts w:ascii="Times New Roman" w:cs="Times New Roman" w:eastAsia="Times New Roman" w:hAnsi="Times New Roman"/>
          <w:sz w:val="17"/>
          <w:szCs w:val="17"/>
          <w:color w:val="auto"/>
        </w:rPr>
        <w:t xml:space="preserve"> constitute the sole and exclusive representations and warranties of Bakkt Opco relating to the infringement, misappropriation or violation of any Intellectual Property of any Person.</w:t>
      </w:r>
    </w:p>
    <w:p>
      <w:pPr>
        <w:spacing w:after="0" w:line="66" w:lineRule="exact"/>
        <w:rPr>
          <w:rFonts w:ascii="Times New Roman" w:cs="Times New Roman" w:eastAsia="Times New Roman" w:hAnsi="Times New Roman"/>
          <w:sz w:val="17"/>
          <w:szCs w:val="17"/>
          <w:color w:val="auto"/>
        </w:rPr>
      </w:pPr>
    </w:p>
    <w:p>
      <w:pPr>
        <w:ind w:left="-20" w:right="100" w:firstLine="990"/>
        <w:spacing w:after="0" w:line="263" w:lineRule="auto"/>
        <w:tabs>
          <w:tab w:leader="none" w:pos="12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Bakkt Opco or any of its Subsidiaries, (i) neither Bakkt Opco nor any of its Subsidiaries distributes or otherwise uses any Public Software in a manner that would obligate Bakkt Opco or any of its Subsidiaries to disclose, license, make available or distribute any source code or other works of authorship or Trade Secrets that, in each</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500" w:top="268" w:right="499" w:bottom="1440" w:gutter="0" w:footer="0" w:header="0"/>
        </w:sectPr>
      </w:pPr>
    </w:p>
    <w:bookmarkStart w:id="43" w:name="page44"/>
    <w:bookmarkEnd w:id="43"/>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case of the foregoing, constitute Bakkt IP as a condition of such distribution or use of such Public Software, and (ii) neither Bakkt Opco nor any of its Subsidiaries is subject to any obligation to deliver possession to any holder of an escrow of any source code or other works of authorship that, in each case of the foregoing, constitute Bakkt IP, nor has Bakkt Opco or its Subsidiaries delivered any such materials to any holder of an escrow.</w:t>
      </w:r>
    </w:p>
    <w:p>
      <w:pPr>
        <w:spacing w:after="0" w:line="68" w:lineRule="exact"/>
        <w:rPr>
          <w:sz w:val="20"/>
          <w:szCs w:val="20"/>
          <w:color w:val="auto"/>
        </w:rPr>
      </w:pPr>
    </w:p>
    <w:p>
      <w:pPr>
        <w:ind w:right="20" w:firstLine="990"/>
        <w:spacing w:after="0" w:line="254" w:lineRule="auto"/>
        <w:tabs>
          <w:tab w:leader="none" w:pos="12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to be material to Bakkt Opco or any of its Subsidiaries, (i) all Persons (including employees, consultants and independent contractors of Bakkt Opco or any of its Subsidiaries) who were or are involved in the creation, development, design or modification of any Bakkt IP have entered into, with respect to Bakkt Opco or such Subsidiary, valid and binding written agreements expressly assigning to Bakkt Opco or such Subsidiary all of their right, title and interest in and to the same that does not initially vest in Bakkt Opco or its Subsidiaries by operation of law, and (ii) to the knowledge of Bakkt Opco, no third party owns Intellectual Property covering work that such Person has contributed to Bakkt Opco or any of its Subsidiaries.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Data Privacy and IT Systems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8" w:lineRule="auto"/>
        <w:tabs>
          <w:tab w:leader="none" w:pos="122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Bakkt Opco, the Software, computer hardware, firmware, networks, interfaces, Bakkt Software, and related systems used by Bakkt Opco or any of its Subsidiaries in connection with the operation of the business of Bakkt Opco or any of its Subsidiaries (collectively, “</w:t>
      </w:r>
      <w:r>
        <w:rPr>
          <w:rFonts w:ascii="Times New Roman" w:cs="Times New Roman" w:eastAsia="Times New Roman" w:hAnsi="Times New Roman"/>
          <w:sz w:val="17"/>
          <w:szCs w:val="17"/>
          <w:u w:val="single" w:color="auto"/>
          <w:color w:val="auto"/>
        </w:rPr>
        <w:t>Computer Systems</w:t>
      </w:r>
      <w:r>
        <w:rPr>
          <w:rFonts w:ascii="Times New Roman" w:cs="Times New Roman" w:eastAsia="Times New Roman" w:hAnsi="Times New Roman"/>
          <w:sz w:val="17"/>
          <w:szCs w:val="17"/>
          <w:color w:val="auto"/>
        </w:rPr>
        <w:t>”), in the past three (3) years, have not suffered any material failure, crash, security incident or data breach that has had a material effect on the security of the Computer Systems or the information stored therein, or caused material disruption to the business or operations of Bakkt Opco or any of its Subsidiaries. Except as would not be material to Bakkt Opco or any of its Subsidiaries, Bakkt Opco and its Subsidiaries have implemented, and have used commercially reasonable efforts to ensure that their third party vendors who handle personal information or help facilitate transactions as part of the business and operation of Bakkt Opco implement, adequate policies and commercially reasonable security measures regarding the integrity, security, confidentiality and availability of the Computer Systems that Bakkt Opco and its Subsidiaries own or use and the information stored therein, such as providing for the back-up and recovery of material data and implementing disaster recovery plans and procedures.</w:t>
      </w:r>
    </w:p>
    <w:p>
      <w:pPr>
        <w:spacing w:after="0" w:line="68" w:lineRule="exact"/>
        <w:rPr>
          <w:rFonts w:ascii="Times New Roman" w:cs="Times New Roman" w:eastAsia="Times New Roman" w:hAnsi="Times New Roman"/>
          <w:sz w:val="17"/>
          <w:szCs w:val="17"/>
          <w:color w:val="auto"/>
        </w:rPr>
      </w:pPr>
    </w:p>
    <w:p>
      <w:pPr>
        <w:ind w:right="40" w:firstLine="990"/>
        <w:spacing w:after="0" w:line="252" w:lineRule="auto"/>
        <w:tabs>
          <w:tab w:leader="none" w:pos="12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collection, storage, transfer (including, without limitation, any transfer across national borders), processing, retention, safeguarding, security, disclosure, disposal, sale, and/or use of any personal information, business and proprietary information or Sensitive Data, Bakkt Opco and its Subsidiaries are in material compliance with (i) all applicable privacy, security and data protection Laws in all relevant jurisdictions, (ii) Bakkt Opco’s and any of its Subsidiaries’ current privacy policies and (iii) the requirements of any contract or codes of conduct to which Bakkt Opco or any of its Subsidiaries is a party or is subject, in each case, relating to privacy, security and data protection (collectively,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Privacy Practices</w:t>
      </w:r>
      <w:r>
        <w:rPr>
          <w:rFonts w:ascii="Times New Roman" w:cs="Times New Roman" w:eastAsia="Times New Roman" w:hAnsi="Times New Roman"/>
          <w:sz w:val="18"/>
          <w:szCs w:val="18"/>
          <w:color w:val="auto"/>
        </w:rPr>
        <w:t>”). Since the Formation Date there have not been any Actions pending or, threatened in writing, or, to the knowledge of Bakkt Opco, threatened orally, against Bakkt Opco or any of its Subsidiaries arising out of Bakkt Opco’s or any of its Subsidiaries’ non-compliance with the Data Privacy Practices or any information security incidents affecting the Computer Systems.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480" w:top="268" w:right="519" w:bottom="1440" w:gutter="0" w:footer="0" w:header="0"/>
        </w:sectPr>
      </w:pPr>
    </w:p>
    <w:bookmarkStart w:id="44" w:name="page45"/>
    <w:bookmarkEnd w:id="44"/>
    <w:p>
      <w:pPr>
        <w:jc w:val="both"/>
        <w:ind w:left="-20" w:right="20" w:firstLine="990"/>
        <w:spacing w:after="0" w:line="258" w:lineRule="auto"/>
        <w:tabs>
          <w:tab w:leader="none" w:pos="12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would not materially disrupt the business or operations of Bakkt Opco or any of its Subsidiaries, the Computer Systems owned and operated by Bakkt Opco or any of its Subsidiaries’, and, to Bakkt Opco’s knowledge, the Computer Systems owned or operated by third parties, do not contain any “time bomb,” “Trojan horse,” “back door,” “worm,” virus, bug, errors, malware, spyware, or other device or code intended to disable, disrupt or harm the Computer Systems.</w:t>
      </w:r>
    </w:p>
    <w:p>
      <w:pPr>
        <w:spacing w:after="0" w:line="72" w:lineRule="exact"/>
        <w:rPr>
          <w:rFonts w:ascii="Times New Roman" w:cs="Times New Roman" w:eastAsia="Times New Roman" w:hAnsi="Times New Roman"/>
          <w:sz w:val="18"/>
          <w:szCs w:val="18"/>
          <w:color w:val="auto"/>
        </w:rPr>
      </w:pPr>
    </w:p>
    <w:p>
      <w:pPr>
        <w:ind w:left="-20" w:right="20" w:firstLine="990"/>
        <w:spacing w:after="0" w:line="251" w:lineRule="auto"/>
        <w:tabs>
          <w:tab w:leader="none" w:pos="1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to the knowledge of Bakkt Opco, there has not been any material unauthorized access, unauthorized processing, unauthorized acquisition, unauthorized disclosure or theft of Sensitive Data, personal information, and business or proprietary data from Bakkt Opco or any of its Subsidiaries, which occurred while such information or data was in the possession, custody or control of Bakkt Opco or any of its Subsidiaries or, to the knowledge of Bakkt Opco, their third party vendors, nor has Bakkt Opco or any of its Subsidiaries received any written or, to the knowledge of Bakkt Opco, oral notice of the material improper use or disclosure of, or a material breach in the security of, any such information or data, nor has Bakkt Opco or any of its Subsidiaries notified any person or entity in writing, or been required by applicable law, regulation, or Contract to notify any person or entity, of any security incident relating to personal data or information security. Bakkt Opco and each of its Subsidiaries is, and since the Formation Date has been, in material compliance with all applicable Contract requirements relating to privacy, personal data protection, data security, and the collection, processing and use of personal information and its own privacy policies and guidelines.</w:t>
      </w:r>
    </w:p>
    <w:p>
      <w:pPr>
        <w:spacing w:after="0" w:line="1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20" w:firstLine="990"/>
        <w:spacing w:after="0" w:line="251" w:lineRule="auto"/>
        <w:tabs>
          <w:tab w:leader="none" w:pos="12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3.16(a) of the Bakkt Disclosure Letter sets forth a correct and complete list (by policy number, insurer, coverage period, coverage amount, annual premium and type of policy) of each material insurance policy of Bakkt Opco and its Subsidiaries, which provide for coverage in such amounts as are prudent and customary in the businesses in which Bakkt Opco and its Subsidiaries are engaged. The material insurance policies of Bakkt Opco and its Subsidiaries satisfy all insurance-related requirements necessary for Bakkt Opco and its Subsidiaries to maintain in good standing all Licenses. Bakkt Opco has provided or made available to VIH summaries of all such insurance policies. With respect to each such material insurance policy, except as would not be materially adverse to Bakkt Opco and its Subsidiaries, taken as a whole: (a) such policy is legal, valid, binding and enforceable in accordance with its terms and is in full force and effect, (b) all premiums due and payable under all such insurance policy have been timely paid and (c) neither Bakkt Opco nor any of its Subsidiaries is in material violation, breach or default, and no event has occurred which, after notice or the lapse of time or both, would constitute a material violation, breach or default or permit termination, revocation or modification under such policy. Neither Bakkt Opco nor any of its Subsidiaries has any self-insurance or co-insurance programs.</w:t>
      </w:r>
    </w:p>
    <w:p>
      <w:pPr>
        <w:spacing w:after="0" w:line="82" w:lineRule="exact"/>
        <w:rPr>
          <w:rFonts w:ascii="Times New Roman" w:cs="Times New Roman" w:eastAsia="Times New Roman" w:hAnsi="Times New Roman"/>
          <w:sz w:val="18"/>
          <w:szCs w:val="18"/>
          <w:color w:val="auto"/>
        </w:rPr>
      </w:pPr>
    </w:p>
    <w:p>
      <w:pPr>
        <w:ind w:left="-20" w:firstLine="990"/>
        <w:spacing w:after="0" w:line="255" w:lineRule="auto"/>
        <w:tabs>
          <w:tab w:leader="none" w:pos="1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3.16(b) of the Bakkt Disclosure Letter identifies each individual insurance claim in excess of $250,000 made by Bakkt Opco or any of its Subsidiaries since the Formation Date. No such claim has been denied by the applicable insurer and each of Bakkt Opco and its Subsidiaries has reported to its insurers all claims and pending circumstances that would result in a claim, in each case except where such failure to report such a claim has not had and would not be reasonably likely to have, individually or in the aggregate, a material adverse impact on Bakkt Opco and its Subsidiaries, taken as a whole.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80"/>
          </w:cols>
          <w:pgMar w:left="500" w:top="268" w:right="519" w:bottom="1440" w:gutter="0" w:footer="0" w:header="0"/>
        </w:sectPr>
      </w:pPr>
    </w:p>
    <w:bookmarkStart w:id="45" w:name="page46"/>
    <w:bookmarkEnd w:id="45"/>
    <w:p>
      <w:pPr>
        <w:ind w:firstLine="98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have a Material Adverse Effect: (a) Bakkt Opco and each of its Subsidiaries is in compliance with all applicable Environmental Laws, including obtaining, maintaining in good standing, and complying with all Permits required for its business and operations by Environmental Laws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(b) neither Bakkt Opco nor any of its Subsidiaries is the subject of any outstanding Order with any Governmental Authority in respect of any Environmental Laws, and (c) no Action is pending, or to Bakkt Opco’s knowledge, threatened against Bakkt Opco or any of its Subsidiaries alleging that Bakkt Opco or one of its Subsidiaries may be in violation of any Environmental Law or Environmental Permit.</w:t>
      </w:r>
    </w:p>
    <w:p>
      <w:pPr>
        <w:spacing w:after="0" w:line="184" w:lineRule="exact"/>
        <w:rPr>
          <w:sz w:val="20"/>
          <w:szCs w:val="20"/>
          <w:color w:val="auto"/>
        </w:rPr>
      </w:pPr>
    </w:p>
    <w:p>
      <w:pPr>
        <w:jc w:val="both"/>
        <w:ind w:right="16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Brokers and Agents</w:t>
      </w:r>
      <w:r>
        <w:rPr>
          <w:rFonts w:ascii="Times New Roman" w:cs="Times New Roman" w:eastAsia="Times New Roman" w:hAnsi="Times New Roman"/>
          <w:sz w:val="18"/>
          <w:szCs w:val="18"/>
          <w:color w:val="auto"/>
        </w:rPr>
        <w:t>. Other than PJ Solomon, L.P., no broker or finder has acted for Bakkt Opco or any of its Subsidiaries in connection with this Agreement, the Transaction Documents or the Transactions, and no broker or finder is entitled to any brokerage or finder’s fee or other commissions in respect of such transactions based upon agreements, arrangements or understandings made by or on behalf of Bakkt Opco or any of its Subsidiaries.</w:t>
      </w:r>
    </w:p>
    <w:p>
      <w:pPr>
        <w:spacing w:after="0" w:line="180" w:lineRule="exact"/>
        <w:rPr>
          <w:sz w:val="20"/>
          <w:szCs w:val="20"/>
          <w:color w:val="auto"/>
        </w:rPr>
      </w:pPr>
    </w:p>
    <w:p>
      <w:pPr>
        <w:ind w:right="4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Transactions with Related Parties</w:t>
      </w:r>
      <w:r>
        <w:rPr>
          <w:rFonts w:ascii="Times New Roman" w:cs="Times New Roman" w:eastAsia="Times New Roman" w:hAnsi="Times New Roman"/>
          <w:sz w:val="18"/>
          <w:szCs w:val="18"/>
          <w:color w:val="auto"/>
        </w:rPr>
        <w:t>. Except (a) as set forth on Section 3.19 of the Bakkt Disclosure Letter, (b) as set forth in this Agreement or the Transaction Documents or (c) Contracts incident to employment by or service as a director or officer of Bakkt Opco or any of its Subsidiaries (including, for the avoidance of doubt, any Bakkt Benefit Plan or Bakkt Benefit Arrangement), neither Bakkt Opco nor any of its Affiliates, nor any executive officer or director of Bakkt Opco or any of its Affiliates, nor any immediate family member of any of the foregoing (or any of their respective Affiliates) is presently, or in the past two (2) years has been, a party to any transaction with Bakkt Opco, including any Contract or other arrangement (i) providing for the furnishing of services by, (ii) providing for the rental of Real Property or personal property from or (iii) otherwise requiring payments to any Related Party. Except as set forth on Section 3.19 of the Bakkt Disclosure Letter, no Related Party owns any Real Property or personal property, or right, tangible or intangible (including Intellectual Property), which is material to the business of Bakkt Opco or any of its Subsidiaries.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52" w:lineRule="auto"/>
        <w:tabs>
          <w:tab w:leader="none" w:pos="12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from the Formation Date to the date hereof, its Subsidiaries in the last three (3) years to the date hereof, nor any of their respective Representatives acting on their behalf, in their capacity as such, has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Bakkt Opco, its Subsidiaries, nor any of their respective Representatives acting on their behalf, in their capacity as such, has promised, offered, authorized, given or agreed to give any unlawful gift, similar unlawful benefit or anything of value in any material amount to any customer, supplier, governmental employee or other Person who is or may be in a position to help or hinder Bakkt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480" w:top="268" w:right="499" w:bottom="1440" w:gutter="0" w:footer="0" w:header="0"/>
        </w:sectPr>
      </w:pPr>
    </w:p>
    <w:bookmarkStart w:id="46" w:name="page47"/>
    <w:bookmarkEnd w:id="46"/>
    <w:p>
      <w:pPr>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Opco or its Subsidiaries or assist in connection with any actual or proposed transaction, in violation of any provision of the FCPA or of any other applicable anti-bribery or anti-corruption Law. No Action with respect to any of the foregoing is pending or, to the knowledge of Bakkt Opco, threatened in writing against Bakkt Opco or its Subsidiaries.</w:t>
      </w:r>
    </w:p>
    <w:p>
      <w:pPr>
        <w:spacing w:after="0" w:line="68" w:lineRule="exact"/>
        <w:rPr>
          <w:sz w:val="20"/>
          <w:szCs w:val="20"/>
          <w:color w:val="auto"/>
        </w:rPr>
      </w:pPr>
    </w:p>
    <w:p>
      <w:pPr>
        <w:ind w:right="80" w:firstLine="990"/>
        <w:spacing w:after="0" w:line="254" w:lineRule="auto"/>
        <w:tabs>
          <w:tab w:leader="none" w:pos="12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been conducted in compliance with anti-money laundering Laws in all applicable jurisdictions, including the maintenance of appropriate anti-money laundering programs pursuant to such Laws, and no material deficiencies in those programs have been identified, and no Action involving Bakkt Opco or any of its Subsidiaries with respect to any of the foregoing is pending or, to the knowledge of the Bakkt Opco, threatened in writing.</w:t>
      </w:r>
    </w:p>
    <w:p>
      <w:pPr>
        <w:spacing w:after="0" w:line="76" w:lineRule="exact"/>
        <w:rPr>
          <w:rFonts w:ascii="Times New Roman" w:cs="Times New Roman" w:eastAsia="Times New Roman" w:hAnsi="Times New Roman"/>
          <w:sz w:val="18"/>
          <w:szCs w:val="18"/>
          <w:color w:val="auto"/>
        </w:rPr>
      </w:pPr>
    </w:p>
    <w:p>
      <w:pPr>
        <w:ind w:right="20" w:firstLine="990"/>
        <w:spacing w:after="0" w:line="251" w:lineRule="auto"/>
        <w:tabs>
          <w:tab w:leader="none" w:pos="1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3.20(c) of the Bakkt Disclosure Letter sets forth, as of the date hereof, (i) each jurisdiction in which Bakkt Opco or any of its Subsidiaries holds any Licenses and (ii) each jurisdiction in which Bakkt Opco or any of its Subsidiaries has applications pending for any Licenses (“</w:t>
      </w:r>
      <w:r>
        <w:rPr>
          <w:rFonts w:ascii="Times New Roman" w:cs="Times New Roman" w:eastAsia="Times New Roman" w:hAnsi="Times New Roman"/>
          <w:sz w:val="18"/>
          <w:szCs w:val="18"/>
          <w:u w:val="single" w:color="auto"/>
          <w:color w:val="auto"/>
        </w:rPr>
        <w:t>License Applications</w:t>
      </w:r>
      <w:r>
        <w:rPr>
          <w:rFonts w:ascii="Times New Roman" w:cs="Times New Roman" w:eastAsia="Times New Roman" w:hAnsi="Times New Roman"/>
          <w:sz w:val="18"/>
          <w:szCs w:val="18"/>
          <w:color w:val="auto"/>
        </w:rPr>
        <w:t>”). Except as would not be materially adverse to Bakkt Opco and its Subsidiaries, taken as a whole, 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conducted in all material respects in compliance with all Licenses necessary to conduct its business (“</w:t>
      </w:r>
      <w:r>
        <w:rPr>
          <w:rFonts w:ascii="Times New Roman" w:cs="Times New Roman" w:eastAsia="Times New Roman" w:hAnsi="Times New Roman"/>
          <w:sz w:val="18"/>
          <w:szCs w:val="18"/>
          <w:u w:val="single" w:color="auto"/>
          <w:color w:val="auto"/>
        </w:rPr>
        <w:t>Material Licenses</w:t>
      </w:r>
      <w:r>
        <w:rPr>
          <w:rFonts w:ascii="Times New Roman" w:cs="Times New Roman" w:eastAsia="Times New Roman" w:hAnsi="Times New Roman"/>
          <w:sz w:val="18"/>
          <w:szCs w:val="18"/>
          <w:color w:val="auto"/>
        </w:rPr>
        <w:t>”). All Material Licenses are in full force and effect, and since the Formation Date to the date hereof, neither Bakkt Opco nor any of its Subsidiaries has received written, or to the knowledge of Bakkt Opco, oral notice or communications from any Governmental Authority regarding: (i) any violation of or failure to comply with any term or requirement of any Material License or (ii) any revocation, withdrawal, suspension, cancellation, termination or modification of any Material License. Since the Formation Date to the date hereof, neither Bakkt Opco nor any of its Subsidiaries has withdrawn any material License Application.</w:t>
      </w:r>
    </w:p>
    <w:p>
      <w:pPr>
        <w:spacing w:after="0" w:line="82" w:lineRule="exact"/>
        <w:rPr>
          <w:rFonts w:ascii="Times New Roman" w:cs="Times New Roman" w:eastAsia="Times New Roman" w:hAnsi="Times New Roman"/>
          <w:sz w:val="18"/>
          <w:szCs w:val="18"/>
          <w:color w:val="auto"/>
        </w:rPr>
      </w:pPr>
    </w:p>
    <w:p>
      <w:pPr>
        <w:ind w:right="40" w:firstLine="990"/>
        <w:spacing w:after="0" w:line="251" w:lineRule="auto"/>
        <w:tabs>
          <w:tab w:leader="none" w:pos="12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its Subsidiaries nor any of their respective directors or officers, or, to the knowledge of Bakkt Opco, any other Representative acting on behalf of Bakkt Opco or its Subsidiaries, is currently identified on the Specially Designated Nationals and Blocked Persons List (“</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or other sanctions-related persons list, owned or controlled by such a person, otherwise the target of sanctions administered by the U.S. Government, including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State, or any other relevant sanctions authorities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operating, organized, or resident in a country or territory that is the target of U.S. sanctions (currently, Cuba, Iran, North Korea, Syria, and the Crimea region of Ukraine), and Bakkt Opco has not since its Formation Date, directly or, to its knowledge indirectly, loaned, contributed or otherwise made available funds to any Subsidiary, joint venture partner or other Person, in connection with any sales or operations in any country or territory that is the target of Sanctions or for the purpose of financing the activities of any Person that is the target of Sanctions, or has otherwise been in violation of Sanctions.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68" w:right="499" w:bottom="1440" w:gutter="0" w:footer="0" w:header="0"/>
        </w:sectPr>
      </w:pPr>
    </w:p>
    <w:bookmarkStart w:id="47" w:name="page48"/>
    <w:bookmarkEnd w:id="47"/>
    <w:p>
      <w:pPr>
        <w:ind w:right="160" w:firstLine="990"/>
        <w:spacing w:after="0" w:line="263" w:lineRule="auto"/>
        <w:tabs>
          <w:tab w:leader="none" w:pos="1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Neither Bakkt Opco or any of its Subsidiaries is an “investment company” or a Person directly or indirectly “controlled” by or acting on behalf of an “investment company”, in each case within the meaning of the Investment Company Act of 1940, as amended. Each holder of Bakkt Interests is an “accredited investor”, as such term is defined in Rule 501(a) under the Securities Act.</w:t>
      </w:r>
    </w:p>
    <w:p>
      <w:pPr>
        <w:spacing w:after="0" w:line="175" w:lineRule="exact"/>
        <w:rPr>
          <w:sz w:val="20"/>
          <w:szCs w:val="20"/>
          <w:color w:val="auto"/>
        </w:rPr>
      </w:pPr>
    </w:p>
    <w:p>
      <w:pPr>
        <w:ind w:firstLine="982"/>
        <w:spacing w:after="0" w:line="274" w:lineRule="auto"/>
        <w:rPr>
          <w:sz w:val="20"/>
          <w:szCs w:val="20"/>
          <w:color w:val="auto"/>
        </w:rPr>
      </w:pPr>
      <w:r>
        <w:rPr>
          <w:rFonts w:ascii="Times New Roman" w:cs="Times New Roman" w:eastAsia="Times New Roman" w:hAnsi="Times New Roman"/>
          <w:sz w:val="17"/>
          <w:szCs w:val="17"/>
          <w:color w:val="auto"/>
        </w:rPr>
        <w:t xml:space="preserve">Section 3.21 </w:t>
      </w:r>
      <w:r>
        <w:rPr>
          <w:rFonts w:ascii="Times New Roman" w:cs="Times New Roman" w:eastAsia="Times New Roman" w:hAnsi="Times New Roman"/>
          <w:sz w:val="17"/>
          <w:szCs w:val="17"/>
          <w:u w:val="single" w:color="auto"/>
          <w:color w:val="auto"/>
        </w:rPr>
        <w:t>Board Recommendation</w:t>
      </w:r>
      <w:r>
        <w:rPr>
          <w:rFonts w:ascii="Times New Roman" w:cs="Times New Roman" w:eastAsia="Times New Roman" w:hAnsi="Times New Roman"/>
          <w:sz w:val="17"/>
          <w:szCs w:val="17"/>
          <w:color w:val="auto"/>
        </w:rPr>
        <w:t>. The Board of Managers of Bakkt Opco has, as of the date of this Agreement, unanimously determined that (i) the consummation of the Transactions (including the Merger) is in the best interest of Bakkt Opco and the Bakkt Equity Holders, and</w:t>
      </w:r>
    </w:p>
    <w:p>
      <w:pPr>
        <w:ind w:right="880" w:firstLine="7"/>
        <w:spacing w:after="0" w:line="256" w:lineRule="auto"/>
        <w:tabs>
          <w:tab w:leader="none" w:pos="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Bakkt Equity Holders adopt and approve this Agreement, the other Transaction Documents, the Merger and the other Transactions.</w:t>
      </w:r>
    </w:p>
    <w:p>
      <w:pPr>
        <w:spacing w:after="0" w:line="182"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No Other VIH or Merger Sub Representations or Warranties</w:t>
      </w:r>
      <w:r>
        <w:rPr>
          <w:rFonts w:ascii="Times New Roman" w:cs="Times New Roman" w:eastAsia="Times New Roman" w:hAnsi="Times New Roman"/>
          <w:sz w:val="18"/>
          <w:szCs w:val="18"/>
          <w:color w:val="auto"/>
        </w:rPr>
        <w:t xml:space="preserve">. Bakkt Opco acknowledges and agrees that the specific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VIH Disclosure Letter) or expressly set forth in a Transaction Document (collectively, the “</w:t>
      </w:r>
      <w:r>
        <w:rPr>
          <w:rFonts w:ascii="Times New Roman" w:cs="Times New Roman" w:eastAsia="Times New Roman" w:hAnsi="Times New Roman"/>
          <w:sz w:val="18"/>
          <w:szCs w:val="18"/>
          <w:u w:val="single" w:color="auto"/>
          <w:color w:val="auto"/>
        </w:rPr>
        <w:t>VIH Representations</w:t>
      </w:r>
      <w:r>
        <w:rPr>
          <w:rFonts w:ascii="Times New Roman" w:cs="Times New Roman" w:eastAsia="Times New Roman" w:hAnsi="Times New Roman"/>
          <w:sz w:val="18"/>
          <w:szCs w:val="18"/>
          <w:color w:val="auto"/>
        </w:rPr>
        <w:t>”), (a) are and shall constitute the sole and exclusive representations and warranties made by VIH, Merger Sub and their respective Representatives in connection with this Agreement or the Transactions, (b) none of VIH, Merger Sub nor any of their respective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VIH or Merger Sub, or any of their respective businesses, financial projections, assets, liabilities or operations, or the Transactions, and (c) each of VIH and Merger Sub disclaims any other representations or warranties, whether made by VIH or Merger Sub or any of their respective Representatives. Bakkt Opco acknowledges and agrees that except for the VIH Representations, Bakkt Opco (a) shall consummate the Transactions without any representation or warranty, except as otherwise expressly set forth in the VIH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VIH Representations and (c) expressly disclaims reliance upon any representations and warranties other than the VIH Representations. Without limiting the foregoing, VIH and Merger Sub do not make any representation or warranty of any kind whatsoever, express or implied, written or oral, at law or in equity, to Bakkt Opco or its Representatives regarding the success, profitability or value of VIH or Merger Sub.</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VIH AND MERGER SUB</w:t>
      </w:r>
    </w:p>
    <w:p>
      <w:pPr>
        <w:spacing w:after="0" w:line="225" w:lineRule="exact"/>
        <w:rPr>
          <w:sz w:val="20"/>
          <w:szCs w:val="20"/>
          <w:color w:val="auto"/>
        </w:rPr>
      </w:pPr>
    </w:p>
    <w:p>
      <w:pPr>
        <w:jc w:val="both"/>
        <w:ind w:right="60" w:firstLine="982"/>
        <w:spacing w:after="0" w:line="258" w:lineRule="auto"/>
        <w:rPr>
          <w:sz w:val="20"/>
          <w:szCs w:val="20"/>
          <w:color w:val="auto"/>
        </w:rPr>
      </w:pPr>
      <w:r>
        <w:rPr>
          <w:rFonts w:ascii="Times New Roman" w:cs="Times New Roman" w:eastAsia="Times New Roman" w:hAnsi="Times New Roman"/>
          <w:sz w:val="18"/>
          <w:szCs w:val="18"/>
          <w:color w:val="auto"/>
        </w:rPr>
        <w:t>Each of VIH and Merger Sub make the following representations and warranties to Bakkt Opco as of the date of this Agreement and as of the Closing, except as disclosed by VIH in (i) the written VIH Disclosure Letter provided to Bakkt Opco (the “</w:t>
      </w:r>
      <w:r>
        <w:rPr>
          <w:rFonts w:ascii="Times New Roman" w:cs="Times New Roman" w:eastAsia="Times New Roman" w:hAnsi="Times New Roman"/>
          <w:sz w:val="18"/>
          <w:szCs w:val="18"/>
          <w:u w:val="single" w:color="auto"/>
          <w:color w:val="auto"/>
        </w:rPr>
        <w:t>VIH Disclosure Letter</w:t>
      </w:r>
      <w:r>
        <w:rPr>
          <w:rFonts w:ascii="Times New Roman" w:cs="Times New Roman" w:eastAsia="Times New Roman" w:hAnsi="Times New Roman"/>
          <w:sz w:val="18"/>
          <w:szCs w:val="18"/>
          <w:color w:val="auto"/>
        </w:rPr>
        <w:t xml:space="preserve">”), which shall be arranged in sections and subsections corresponding to the numbered and lettered sections and subsections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(ii) the SEC Reports that were available at least one (1) Business Day prior to the date hereof on the SEC’s website through EDGAR (other than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80"/>
          </w:cols>
          <w:pgMar w:left="480" w:top="268" w:right="5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disclosures in the “Risk Factors” or “Cautionary Note Regarding Forward-Looking Statements” sections of such reports and other disclosures that are generally cautionary, predictive or forward-looking in nature). The disclosure in any section or subsection of the VIH Disclosure Letter corresponding to any section or subsection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qualify other sections and subsections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so long as its relevance to such other section or subsection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reasonably clear on the face of the information disclosed therein.</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VIH is a Cayman Islands exempted company duly incorporated, validly existing and in good standing under the Laws of the Cayman Islands. VIH has full corporate power and authority necessary to carry on the businesses in which it is engaged and to own and use the properties owned and used by it. Section 4.1 of the VIH Disclosure Letter lists for each of VIH and Merger Sub all jurisdictions in which it is qualified to conduct business and all names other than its legal name under which it does business. Each of VIH and Merger Sub are not in violation of any provision of their respective Organizational Documents in any material respect.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 No Conflict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1" w:lineRule="auto"/>
        <w:tabs>
          <w:tab w:leader="none" w:pos="122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VIH and Merger Sub have full corporate and limited liability company, respectively, power and, upon receipt of the VIH Shareholders’ Approval, authority to enter into this Agreement and the Transaction Documents to which it is a party, to carry out its obligations hereunder and thereunder and to consummate the Transactions. The execution and delivery by each of VIH and Merger Sub of this Agreement and the Transaction Documents to which it is a party, the performance by each of VIH and Merger Sub of its obligations hereunder and thereunder and the consummation by each of VIH and Merger Sub of the Transactions have been duly and validly authorized by all requisite corporate and limited liability company action on the part of each of VIH and Merger Sub, subject only to the receipt of the VIH Shareholders’ Approval. This Agreement has been duly and validly executed and delivered by each of VIH and Merger Sub, and (assuming due authorization, execution and delivery by any other applicable parties thereto) constitutes, or upon such delivery constitutes, a legal, valid and binding obligation of each of VIH and Merger Sub enforceable against each of VIH and Merger Sub in accordance with its terms, subject to the Enforcement Exceptions.</w:t>
      </w:r>
    </w:p>
    <w:p>
      <w:pPr>
        <w:spacing w:after="0" w:line="84" w:lineRule="exact"/>
        <w:rPr>
          <w:rFonts w:ascii="Times New Roman" w:cs="Times New Roman" w:eastAsia="Times New Roman" w:hAnsi="Times New Roman"/>
          <w:sz w:val="18"/>
          <w:szCs w:val="18"/>
          <w:color w:val="auto"/>
        </w:rPr>
      </w:pPr>
    </w:p>
    <w:p>
      <w:pPr>
        <w:ind w:right="40" w:firstLine="990"/>
        <w:spacing w:after="0" w:line="252" w:lineRule="auto"/>
        <w:tabs>
          <w:tab w:leader="none" w:pos="123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VIH Shareholders’ Approval is obtained and the effectiveness of the Domestication, and except for any required Regulatory Filings, the execution, delivery and performance of this Agreement and the Transaction Documents by VIH and Merger Sub and the consummation of the Transactions, do not and will not, with or without notice, lapse of time or both: (i) conflict with or result in a breach or violation of the Organizational Documents of VIH or Merger Sub; (ii) except for applicable requirements, if any, of the Securities Act, the Exchange Act, and state securities laws, require any consent, waiver, approval, declaration or authorization of, or notice to or filing with, any Governmental Authority; or</w:t>
      </w:r>
    </w:p>
    <w:p>
      <w:pPr>
        <w:spacing w:after="0" w:line="2" w:lineRule="exact"/>
        <w:rPr>
          <w:rFonts w:ascii="Times New Roman" w:cs="Times New Roman" w:eastAsia="Times New Roman" w:hAnsi="Times New Roman"/>
          <w:sz w:val="18"/>
          <w:szCs w:val="18"/>
          <w:color w:val="auto"/>
        </w:rPr>
      </w:pPr>
    </w:p>
    <w:p>
      <w:pPr>
        <w:ind w:right="20" w:firstLine="7"/>
        <w:spacing w:after="0" w:line="268" w:lineRule="auto"/>
        <w:tabs>
          <w:tab w:leader="none" w:pos="31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violate, conflict with, result in a breach or default under (with notice or lapse of time or both), result in, or give any Person a right of, termination, cancellation, acceleration, suspension, modification or revocation under, give rise to any obligation to make payments or provide compensation under, result in the creation of any Lien upon any of the properties or assets of VIH under, give any Person the right to exercise any remedy, claim a rebate, chargeback or penalty, accelerate the maturity or performance under, or require any consent, waiver, approval, notice, filing, declaration or authorization under, any Material VIH Contract, except, with respect to the foregoing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as would not have a VIH Material Adverse Effect.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480" w:top="268" w:right="519"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1" w:lineRule="auto"/>
        <w:tabs>
          <w:tab w:leader="none" w:pos="1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(and, prior to giving effect to the consummation of the transactions contemplated by the Redemption, as of the Closing), the authorized capital stock of VIH consists of 200,000,000 Class A ordinary shares (“</w:t>
      </w:r>
      <w:r>
        <w:rPr>
          <w:rFonts w:ascii="Times New Roman" w:cs="Times New Roman" w:eastAsia="Times New Roman" w:hAnsi="Times New Roman"/>
          <w:sz w:val="18"/>
          <w:szCs w:val="18"/>
          <w:u w:val="single" w:color="auto"/>
          <w:color w:val="auto"/>
        </w:rPr>
        <w:t>VIH Class A Shares</w:t>
      </w:r>
      <w:r>
        <w:rPr>
          <w:rFonts w:ascii="Times New Roman" w:cs="Times New Roman" w:eastAsia="Times New Roman" w:hAnsi="Times New Roman"/>
          <w:sz w:val="18"/>
          <w:szCs w:val="18"/>
          <w:color w:val="auto"/>
        </w:rPr>
        <w:t>”), of which 20,737,202 are outstanding, 20,000,000 Class B ordinary shares (“</w:t>
      </w:r>
      <w:r>
        <w:rPr>
          <w:rFonts w:ascii="Times New Roman" w:cs="Times New Roman" w:eastAsia="Times New Roman" w:hAnsi="Times New Roman"/>
          <w:sz w:val="18"/>
          <w:szCs w:val="18"/>
          <w:u w:val="single" w:color="auto"/>
          <w:color w:val="auto"/>
        </w:rPr>
        <w:t>VIH Class B Shares</w:t>
      </w:r>
      <w:r>
        <w:rPr>
          <w:rFonts w:ascii="Times New Roman" w:cs="Times New Roman" w:eastAsia="Times New Roman" w:hAnsi="Times New Roman"/>
          <w:sz w:val="18"/>
          <w:szCs w:val="18"/>
          <w:color w:val="auto"/>
        </w:rPr>
        <w:t>” and, together with the VIH Class A Shares, the “</w:t>
      </w:r>
      <w:r>
        <w:rPr>
          <w:rFonts w:ascii="Times New Roman" w:cs="Times New Roman" w:eastAsia="Times New Roman" w:hAnsi="Times New Roman"/>
          <w:sz w:val="18"/>
          <w:szCs w:val="18"/>
          <w:u w:val="single" w:color="auto"/>
          <w:color w:val="auto"/>
        </w:rPr>
        <w:t>VIH Ordinary Shares</w:t>
      </w:r>
      <w:r>
        <w:rPr>
          <w:rFonts w:ascii="Times New Roman" w:cs="Times New Roman" w:eastAsia="Times New Roman" w:hAnsi="Times New Roman"/>
          <w:sz w:val="18"/>
          <w:szCs w:val="18"/>
          <w:color w:val="auto"/>
        </w:rPr>
        <w:t>”), of which 5,184,300 are outstanding, and 1,000,000 preference shares (“</w:t>
      </w:r>
      <w:r>
        <w:rPr>
          <w:rFonts w:ascii="Times New Roman" w:cs="Times New Roman" w:eastAsia="Times New Roman" w:hAnsi="Times New Roman"/>
          <w:sz w:val="18"/>
          <w:szCs w:val="18"/>
          <w:u w:val="single" w:color="auto"/>
          <w:color w:val="auto"/>
        </w:rPr>
        <w:t>VIH Preference Shares</w:t>
      </w:r>
      <w:r>
        <w:rPr>
          <w:rFonts w:ascii="Times New Roman" w:cs="Times New Roman" w:eastAsia="Times New Roman" w:hAnsi="Times New Roman"/>
          <w:sz w:val="18"/>
          <w:szCs w:val="18"/>
          <w:color w:val="auto"/>
        </w:rPr>
        <w:t>”), none of which are outstanding. All outstanding VIH Ordinary Shares have been duly authorized and validly issued, are fully paid and nonassessable and were not issued in violation of (or subject to) any preemptive rights (including any preemptive rights set forth in the Organizational Documents of VIH), rights of first refusal or similar rights. As of the date hereof (and, as of the Closing), VIH has 16,516,041 warrants (“</w:t>
      </w:r>
      <w:r>
        <w:rPr>
          <w:rFonts w:ascii="Times New Roman" w:cs="Times New Roman" w:eastAsia="Times New Roman" w:hAnsi="Times New Roman"/>
          <w:sz w:val="18"/>
          <w:szCs w:val="18"/>
          <w:u w:val="single" w:color="auto"/>
          <w:color w:val="auto"/>
        </w:rPr>
        <w:t>VIH Warrants</w:t>
      </w:r>
      <w:r>
        <w:rPr>
          <w:rFonts w:ascii="Times New Roman" w:cs="Times New Roman" w:eastAsia="Times New Roman" w:hAnsi="Times New Roman"/>
          <w:sz w:val="18"/>
          <w:szCs w:val="18"/>
          <w:color w:val="auto"/>
        </w:rPr>
        <w:t>”) outstanding, each such VIH Warrant entitling the holder thereof to purchase one (1) VIH Class A Share. Other than the VIH Warrants, there are no options, warrants, rights, commitments or agreements obligating VIH to issue, exchange, transfer, deliver or sell additional Equity Interests of VIH. As a result of the consummation of the Transactions, except as expressly contemplated by this Agreement, the Transaction Documents, the Organizational Documents of VIH, or the PIPE Financing, no other Equity Interests of VIH are issuable.</w:t>
      </w:r>
    </w:p>
    <w:p>
      <w:pPr>
        <w:spacing w:after="0" w:line="79" w:lineRule="exact"/>
        <w:rPr>
          <w:rFonts w:ascii="Times New Roman" w:cs="Times New Roman" w:eastAsia="Times New Roman" w:hAnsi="Times New Roman"/>
          <w:sz w:val="18"/>
          <w:szCs w:val="18"/>
          <w:color w:val="auto"/>
        </w:rPr>
      </w:pPr>
    </w:p>
    <w:p>
      <w:pPr>
        <w:ind w:right="480" w:firstLine="990"/>
        <w:spacing w:after="0" w:line="258" w:lineRule="auto"/>
        <w:tabs>
          <w:tab w:leader="none" w:pos="12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securities of VIH have been granted, offered, sold and issued in material compliance with all applicable securities Laws. Except for the VIH Public Warrants, the VIH Warrants issued to the VIH Sponsor and the VIH Class B Shares (subject to the transactions contemplated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there are no outstanding contractual obligations of VIH to repurchase, redeem or otherwise acquire any Equity Interests of VIH.</w:t>
      </w:r>
    </w:p>
    <w:p>
      <w:pPr>
        <w:spacing w:after="0" w:line="72" w:lineRule="exact"/>
        <w:rPr>
          <w:rFonts w:ascii="Times New Roman" w:cs="Times New Roman" w:eastAsia="Times New Roman" w:hAnsi="Times New Roman"/>
          <w:sz w:val="18"/>
          <w:szCs w:val="18"/>
          <w:color w:val="auto"/>
        </w:rPr>
      </w:pPr>
    </w:p>
    <w:p>
      <w:pPr>
        <w:ind w:right="560" w:firstLine="990"/>
        <w:spacing w:after="0" w:line="263" w:lineRule="auto"/>
        <w:tabs>
          <w:tab w:leader="none" w:pos="1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its ownership of Merger Sub, VIH does not own any Equity Interest in any Person. Other than in connection with the Redemption, there are no outstanding contractual obligations of VIH to provide funds to, or make any investment (in the form of a loan, capital contribution or otherwise) in, any other Person.</w:t>
      </w:r>
    </w:p>
    <w:p>
      <w:pPr>
        <w:spacing w:after="0" w:line="68" w:lineRule="exact"/>
        <w:rPr>
          <w:rFonts w:ascii="Times New Roman" w:cs="Times New Roman" w:eastAsia="Times New Roman" w:hAnsi="Times New Roman"/>
          <w:sz w:val="18"/>
          <w:szCs w:val="18"/>
          <w:color w:val="auto"/>
        </w:rPr>
      </w:pPr>
    </w:p>
    <w:p>
      <w:pPr>
        <w:ind w:right="40" w:firstLine="990"/>
        <w:spacing w:after="0" w:line="254" w:lineRule="auto"/>
        <w:tabs>
          <w:tab w:leader="none" w:pos="12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Equity Interests of Merger Sub consists solely of limited liability company interests owned by VIH. All outstanding limited liability company interests of Merger Sub are owned by VIH, have been duly authorized and validly issued, are fully paid and nonassessable and were not issued in violation of (or subject to) any preemptive rights There are no options, warrants, equity securities, calls, rights, commitments or agreements by which Merger Sub is bound obligating Merger Sub to issue, exchange, transfer, deliver or sell Equity Interests of Merger Sub. As a result of the consummation of the Transactions, except as expressly contemplated by this Agreement and the Transaction Documents, no Equity Interests of Merger Sub are issuable.</w:t>
      </w:r>
    </w:p>
    <w:p>
      <w:pPr>
        <w:spacing w:after="0" w:line="76"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securities of Merger Sub have been granted, offered, sold and issued in material compliance with all applicable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80" w:top="268" w:right="499" w:bottom="1440" w:gutter="0" w:footer="0" w:header="0"/>
        </w:sectPr>
      </w:pPr>
    </w:p>
    <w:bookmarkStart w:id="50" w:name="page51"/>
    <w:bookmarkEnd w:id="50"/>
    <w:p>
      <w:pPr>
        <w:ind w:right="100" w:firstLine="990"/>
        <w:spacing w:after="0" w:line="263" w:lineRule="auto"/>
        <w:tabs>
          <w:tab w:leader="none" w:pos="12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Merger Sub owns no capital stock, securities convertible into capital stock or any other Equity Interest in any Person. There are no outstanding contractual obligations of Merger Sub to provide funds to, or make any investment (in the form of a loan, capital contribution or otherwise) in, any other Person.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Merger Sub is a limited liability company duly organized, validly existing and in good standing under the Laws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Merger Sub was formed for the purpose of engaging in the Transactions, and Merger Sub has not engaged in any other business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w:t>
      </w:r>
    </w:p>
    <w:p>
      <w:pPr>
        <w:spacing w:after="0" w:line="95" w:lineRule="exact"/>
        <w:rPr>
          <w:sz w:val="20"/>
          <w:szCs w:val="20"/>
          <w:color w:val="auto"/>
        </w:rPr>
      </w:pPr>
    </w:p>
    <w:p>
      <w:pPr>
        <w:ind w:left="1240" w:hanging="250"/>
        <w:spacing w:after="0"/>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Merger Sub will not have any assets, liabilities or obligations of any nature or any tax attributes other than</w:t>
      </w:r>
    </w:p>
    <w:p>
      <w:pPr>
        <w:spacing w:after="0" w:line="25" w:lineRule="exact"/>
        <w:rPr>
          <w:rFonts w:ascii="Times New Roman" w:cs="Times New Roman" w:eastAsia="Times New Roman" w:hAnsi="Times New Roman"/>
          <w:sz w:val="18"/>
          <w:szCs w:val="18"/>
          <w:color w:val="auto"/>
        </w:rPr>
      </w:pPr>
    </w:p>
    <w:p>
      <w:pPr>
        <w:ind w:firstLine="7"/>
        <w:spacing w:after="0" w:line="256" w:lineRule="auto"/>
        <w:tabs>
          <w:tab w:leader="none" w:pos="2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set forth under its Organizational Documents (including its costs of formation), and (ii) pursuant to this Agreement, the Transaction Documents, and the Transactions.</w:t>
      </w:r>
    </w:p>
    <w:p>
      <w:pPr>
        <w:spacing w:after="0" w:line="182" w:lineRule="exact"/>
        <w:rPr>
          <w:sz w:val="20"/>
          <w:szCs w:val="20"/>
          <w:color w:val="auto"/>
        </w:rPr>
      </w:pPr>
    </w:p>
    <w:p>
      <w:pPr>
        <w:ind w:right="4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Special Purpose Acquisition Company; Absence of Changes</w:t>
      </w:r>
      <w:r>
        <w:rPr>
          <w:rFonts w:ascii="Times New Roman" w:cs="Times New Roman" w:eastAsia="Times New Roman" w:hAnsi="Times New Roman"/>
          <w:sz w:val="18"/>
          <w:szCs w:val="18"/>
          <w:color w:val="auto"/>
        </w:rPr>
        <w:t xml:space="preserve">. Since the date of its formation, (a) except for any actions expressly contemplated or permitted by this Agreement (including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Transaction Documents, the Transactions, or the PIPE Financing, VIH has conducted no business other than the public offering of its securities (and the related private offerings), public reporting and its search for an initial Business Combination, and (b) there has not been any VIH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90"/>
        <w:spacing w:after="0" w:line="278" w:lineRule="auto"/>
        <w:tabs>
          <w:tab w:leader="none" w:pos="12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is, and at all times since its formation has been, classified as a corporation for all U.S. federal income tax purposes and will be so classified for all periods through and including the Closing Date.</w:t>
      </w:r>
    </w:p>
    <w:p>
      <w:pPr>
        <w:spacing w:after="0" w:line="55" w:lineRule="exact"/>
        <w:rPr>
          <w:rFonts w:ascii="Times New Roman" w:cs="Times New Roman" w:eastAsia="Times New Roman" w:hAnsi="Times New Roman"/>
          <w:sz w:val="18"/>
          <w:szCs w:val="18"/>
          <w:color w:val="auto"/>
        </w:rPr>
      </w:pPr>
    </w:p>
    <w:p>
      <w:pPr>
        <w:jc w:val="both"/>
        <w:ind w:right="120" w:firstLine="990"/>
        <w:spacing w:after="0" w:line="285" w:lineRule="auto"/>
        <w:tabs>
          <w:tab w:leader="none" w:pos="123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VIH and Merger Sub has timely filed (taking into account applicable extensions) all material Tax Returns that it was required to file and such Tax Returns are correct and complete in all material respects. Neither VIH nor Merger Sub is currently the beneficiary of any extension of time within which to file any material Tax Return other than extensions of time to file Tax Returns obtained in the ordinary course of business.</w:t>
      </w:r>
    </w:p>
    <w:p>
      <w:pPr>
        <w:spacing w:after="0" w:line="52" w:lineRule="exact"/>
        <w:rPr>
          <w:rFonts w:ascii="Times New Roman" w:cs="Times New Roman" w:eastAsia="Times New Roman" w:hAnsi="Times New Roman"/>
          <w:sz w:val="17"/>
          <w:szCs w:val="17"/>
          <w:color w:val="auto"/>
        </w:rPr>
      </w:pPr>
    </w:p>
    <w:p>
      <w:pPr>
        <w:ind w:right="140" w:firstLine="990"/>
        <w:spacing w:after="0" w:line="277" w:lineRule="auto"/>
        <w:tabs>
          <w:tab w:leader="none" w:pos="122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Taxes and all material Tax liabilities of VIH and Merger Sub that are due and payable have been timely paid in full to the appropriate taxing authorities. Any such Taxes or Tax liabilities that relate to a Pre-Closing Tax Period that are not yet due and payable (i) for periods covered by the VIH Financials have been properly accrued and adequately disclosed on the VIH Financials in accordance with GAAP, and (ii) for periods not covered by the VIH Financials have been properly accrued on the books and records of VIH and Merger Sub in accordance with GAAP.</w:t>
      </w:r>
    </w:p>
    <w:p>
      <w:pPr>
        <w:spacing w:after="0" w:line="60" w:lineRule="exact"/>
        <w:rPr>
          <w:rFonts w:ascii="Times New Roman" w:cs="Times New Roman" w:eastAsia="Times New Roman" w:hAnsi="Times New Roman"/>
          <w:sz w:val="17"/>
          <w:szCs w:val="17"/>
          <w:color w:val="auto"/>
        </w:rPr>
      </w:pPr>
    </w:p>
    <w:p>
      <w:pPr>
        <w:ind w:right="200" w:firstLine="990"/>
        <w:spacing w:after="0" w:line="278" w:lineRule="auto"/>
        <w:tabs>
          <w:tab w:leader="none" w:pos="12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VIH and Merger Sub has withheld or collected all material Taxes required by Law to have been withheld or collected and, to the extent required, timely paid over such Taxes to the appropriate Governmental Authorities.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80" w:top="268" w:right="499" w:bottom="1440" w:gutter="0" w:footer="0" w:header="0"/>
        </w:sectPr>
      </w:pPr>
    </w:p>
    <w:bookmarkStart w:id="51" w:name="page52"/>
    <w:bookmarkEnd w:id="51"/>
    <w:p>
      <w:pPr>
        <w:ind w:right="260" w:firstLine="990"/>
        <w:spacing w:after="0" w:line="278" w:lineRule="auto"/>
        <w:tabs>
          <w:tab w:leader="none" w:pos="12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Neither VIH nor Merger Sub is currently, nor has been within the past three (3) years, the subject of any material Tax Proceeding by any Governmental Authority and no such Tax Proceeding is pending or, to the knowledge of VIH or Merger Sub, threatened or contemplated.</w:t>
      </w:r>
    </w:p>
    <w:p>
      <w:pPr>
        <w:spacing w:after="0" w:line="55" w:lineRule="exact"/>
        <w:rPr>
          <w:rFonts w:ascii="Times New Roman" w:cs="Times New Roman" w:eastAsia="Times New Roman" w:hAnsi="Times New Roman"/>
          <w:sz w:val="18"/>
          <w:szCs w:val="18"/>
          <w:color w:val="auto"/>
        </w:rPr>
      </w:pPr>
    </w:p>
    <w:p>
      <w:pPr>
        <w:ind w:right="380" w:firstLine="990"/>
        <w:spacing w:after="0" w:line="263" w:lineRule="auto"/>
        <w:tabs>
          <w:tab w:leader="none" w:pos="12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has waived any statute of limitations with respect to material Taxes or agreed to extend the period for assessment or collection of any material Taxes, which waiver or extension is still in effect. Neither VIH nor Merger Sub is presently contesting a material Tax liability of VIH or Merger Sub, as applicable, before any taxing authority or other Governmental Authority.</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VIH or Merger Sub other than Permitted Liens</w:t>
      </w:r>
    </w:p>
    <w:p>
      <w:pPr>
        <w:spacing w:after="0" w:line="113" w:lineRule="exact"/>
        <w:rPr>
          <w:rFonts w:ascii="Times New Roman" w:cs="Times New Roman" w:eastAsia="Times New Roman" w:hAnsi="Times New Roman"/>
          <w:sz w:val="18"/>
          <w:szCs w:val="18"/>
          <w:color w:val="auto"/>
        </w:rPr>
      </w:pPr>
    </w:p>
    <w:p>
      <w:pPr>
        <w:ind w:right="40" w:firstLine="990"/>
        <w:spacing w:after="0" w:line="278" w:lineRule="auto"/>
        <w:tabs>
          <w:tab w:leader="none" w:pos="12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within the past three (3) years by any taxing authority in a jurisdiction where VIH or Merger Sub does not file Tax Returns that VIH or Merger Sub, as applicable, is or may be subject to material taxation by that jurisdiction.</w:t>
      </w:r>
    </w:p>
    <w:p>
      <w:pPr>
        <w:spacing w:after="0" w:line="55" w:lineRule="exact"/>
        <w:rPr>
          <w:rFonts w:ascii="Times New Roman" w:cs="Times New Roman" w:eastAsia="Times New Roman" w:hAnsi="Times New Roman"/>
          <w:sz w:val="18"/>
          <w:szCs w:val="18"/>
          <w:color w:val="auto"/>
        </w:rPr>
      </w:pPr>
    </w:p>
    <w:p>
      <w:pPr>
        <w:ind w:firstLine="990"/>
        <w:spacing w:after="0" w:line="254" w:lineRule="auto"/>
        <w:tabs>
          <w:tab w:leader="none" w:pos="11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VIH or Merger Sub pursuant to Section 481 of the Code or any similar provision of the Code or the corresponding Tax Laws of any nation, state or locality.</w:t>
      </w:r>
    </w:p>
    <w:p>
      <w:pPr>
        <w:spacing w:after="0" w:line="76" w:lineRule="exact"/>
        <w:rPr>
          <w:rFonts w:ascii="Times New Roman" w:cs="Times New Roman" w:eastAsia="Times New Roman" w:hAnsi="Times New Roman"/>
          <w:sz w:val="18"/>
          <w:szCs w:val="18"/>
          <w:color w:val="auto"/>
        </w:rPr>
      </w:pPr>
    </w:p>
    <w:p>
      <w:pPr>
        <w:jc w:val="both"/>
        <w:ind w:right="160" w:firstLine="990"/>
        <w:spacing w:after="0" w:line="263" w:lineRule="auto"/>
        <w:tabs>
          <w:tab w:leader="none" w:pos="11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has any Liabilities for material Taxes of any other Person (other than VIH or Merger Sub) as a successor or transferee, by Contract, by operation of Law, or otherwise (other than pursuant to any Commercial Tax Agreement). Neither VIH nor Merger Sub is party to or bound by any Tax Sharing Agreement.</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has engaged in a “listed transaction” within the meaning of Treasury Regulations Section 1.6011-4(b).</w:t>
      </w:r>
    </w:p>
    <w:p>
      <w:pPr>
        <w:spacing w:after="0" w:line="221"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Agreement, the representations and warranties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are the only representations and warranties of VIH and Merger Sub with respect to Tax matters.</w:t>
      </w:r>
    </w:p>
    <w:p>
      <w:pPr>
        <w:spacing w:after="0" w:line="162" w:lineRule="exact"/>
        <w:rPr>
          <w:sz w:val="20"/>
          <w:szCs w:val="20"/>
          <w:color w:val="auto"/>
        </w:rPr>
      </w:pPr>
    </w:p>
    <w:p>
      <w:pPr>
        <w:ind w:right="160" w:firstLine="982"/>
        <w:spacing w:after="0" w:line="277"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Brokers and Agents</w:t>
      </w:r>
      <w:r>
        <w:rPr>
          <w:rFonts w:ascii="Times New Roman" w:cs="Times New Roman" w:eastAsia="Times New Roman" w:hAnsi="Times New Roman"/>
          <w:sz w:val="17"/>
          <w:szCs w:val="17"/>
          <w:color w:val="auto"/>
        </w:rPr>
        <w:t>. Other than Jefferies LLC and, solely to the extent related to the PIPE Financing, Citigroup Global Markets Inc., no broker or finder has acted for VIH or Merger Sub in connection with this Agreement, the Transaction Documents, the Transactions, including the PIPE Financing, or VIH’s initial public offering, and no broker or finder is entitled to any brokerage or finder’s fee or other commissions in respect of such transactions based upon agreements, arrangements or understandings made by or on behalf of VIH, Merger Sub or VIH Sponsor.</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80" w:top="268" w:right="499" w:bottom="1440" w:gutter="0" w:footer="0" w:header="0"/>
        </w:sectPr>
      </w:pPr>
    </w:p>
    <w:bookmarkStart w:id="52" w:name="page53"/>
    <w:bookmarkEnd w:id="52"/>
    <w:p>
      <w:pPr>
        <w:ind w:right="280" w:firstLine="982"/>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4.8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Each of VIH and Merger Sub represents that it is not a condition to the Closing or to any of its other obligations under this Agreement that VIH or Merger Sub obtain financing for or related to any of the Transactions except as expressly contemplated herein.</w:t>
      </w:r>
    </w:p>
    <w:p>
      <w:pPr>
        <w:spacing w:after="0" w:line="140" w:lineRule="exact"/>
        <w:rPr>
          <w:sz w:val="20"/>
          <w:szCs w:val="20"/>
          <w:color w:val="auto"/>
        </w:rPr>
      </w:pPr>
    </w:p>
    <w:p>
      <w:pPr>
        <w:ind w:right="2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is no Action pending, threatened in writing or, to the knowledge of VIH, otherwise threatened against VIH or Merger Sub (and no Action has been brought or, to VIH’s knowledge, threatened since the date of VIH’s formation), and no notice of any Action involving or relating to VIH or Merger Sub, whether pending or threatened, has been received by VIH or Merger Sub, in each case to the extent such Action would have a VIH Material Adverse Effect. There are no Orders pending now or rendered by a Governmental Authority since the date of VIH’s formation against VIH or Merger Sub that would have a VIH Material Adverse Effect.</w:t>
      </w:r>
    </w:p>
    <w:p>
      <w:pPr>
        <w:spacing w:after="0" w:line="184"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Compliance; Permits</w:t>
      </w:r>
      <w:r>
        <w:rPr>
          <w:rFonts w:ascii="Times New Roman" w:cs="Times New Roman" w:eastAsia="Times New Roman" w:hAnsi="Times New Roman"/>
          <w:sz w:val="18"/>
          <w:szCs w:val="18"/>
          <w:color w:val="auto"/>
        </w:rPr>
        <w:t>. VIH and Merger Sub are, and since the date of such their respective dates of formation have been, conducting its business and operations, and otherwise is, and has since their respective dates of formation has been, in compliance in all material respects with all applicable Laws and Permits reasonably necessary to lawfully conduct the business of VIH and Merger Sub. Since their formation, neither VIH nor Merger Sub has received any written communication from any Governmental Authority alleging noncompliance in any material respect with any applicable Law or Permit.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SEC Filings and VIH Financials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49" w:lineRule="auto"/>
        <w:tabs>
          <w:tab w:leader="none" w:pos="1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IPO, VIH has timely filed all forms, reports, registration statements, prospectuses and other documents required to be filed or furnished by VIH with the SEC under the Securities Act and/or the Exchange Act, together with any amendments, restatements or supplements thereto. Except to the extent available on the SEC’s website through EDGAR, VIH has delivered to Bakkt Opco copies in the form filed with the SEC of (i) all forms, reports, registration statements, prospectuses and other documents (other than preliminary materials) filed by VIH with the SEC (the forms, reports, registration statements, prospectuses and other documents referred to above, whether or not available through EDGAR, collectively,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and (ii) all certifications and statements required by (A) Rules 13a-14 or 15d-14 under the Exchange Act, and (B) 18 U.S.C. §1350 (Section 906 of SOX) with respect to any report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(collectively, the “</w:t>
      </w:r>
      <w:r>
        <w:rPr>
          <w:rFonts w:ascii="Times New Roman" w:cs="Times New Roman" w:eastAsia="Times New Roman" w:hAnsi="Times New Roman"/>
          <w:sz w:val="18"/>
          <w:szCs w:val="18"/>
          <w:u w:val="single" w:color="auto"/>
          <w:color w:val="auto"/>
        </w:rPr>
        <w:t>Public Certifications</w:t>
      </w:r>
      <w:r>
        <w:rPr>
          <w:rFonts w:ascii="Times New Roman" w:cs="Times New Roman" w:eastAsia="Times New Roman" w:hAnsi="Times New Roman"/>
          <w:sz w:val="18"/>
          <w:szCs w:val="18"/>
          <w:color w:val="auto"/>
        </w:rPr>
        <w:t xml:space="preserve">”). The SEC Reports (x) were prepared in all material respects in accordance with the requirements of the Securities Act and the Exchange Act, as the case may be, and the rules and regulations thereunder and (y) did not, as of their respective effective dates (in the case of SEC Reports that are registration statements filed pursuant to the requirements of the Securities Act) and at the time they were filed with the SEC (in the case of all other SEC Reports) contain any untrue statement of a material fact or omit to state a material fact required to be stated therein or necessary in order to make the statements made therein, in the light of the circumstances under which they were made, not misleading. As of the date hereof, there are no material outstanding or unresolved comments in comment letters from the SEC staff with respect to VIH or the SEC Reports. As of the date hereof to the knowledge of VIH, (i) none of the SEC Reports is the subject of ongoing SEC review or outstanding SEC comments and (ii) neither the SEC nor any other Governmental Authority is conducting any investigation or review of any SEC Report. The Public Certifications are each true as of their respective dates of filing. As used in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the term “file” shall be broadly construed to include any manner permitted by SEC rules and regulations in which a document or information is furnished, supplied or otherwise made available to the SEC.</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00"/>
          </w:cols>
          <w:pgMar w:left="480" w:top="268" w:right="519" w:bottom="1440" w:gutter="0" w:footer="0" w:header="0"/>
        </w:sectPr>
      </w:pPr>
    </w:p>
    <w:bookmarkStart w:id="53" w:name="page54"/>
    <w:bookmarkEnd w:id="53"/>
    <w:p>
      <w:pPr>
        <w:ind w:left="-60" w:right="120" w:firstLine="990"/>
        <w:spacing w:after="0" w:line="254" w:lineRule="auto"/>
        <w:tabs>
          <w:tab w:leader="none" w:pos="11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financial statements and notes of VIH contained or incorporated by reference in the SEC Reports (the “</w:t>
      </w:r>
      <w:r>
        <w:rPr>
          <w:rFonts w:ascii="Times New Roman" w:cs="Times New Roman" w:eastAsia="Times New Roman" w:hAnsi="Times New Roman"/>
          <w:sz w:val="18"/>
          <w:szCs w:val="18"/>
          <w:u w:val="single" w:color="auto"/>
          <w:color w:val="auto"/>
        </w:rPr>
        <w:t>VIH Financials</w:t>
      </w:r>
      <w:r>
        <w:rPr>
          <w:rFonts w:ascii="Times New Roman" w:cs="Times New Roman" w:eastAsia="Times New Roman" w:hAnsi="Times New Roman"/>
          <w:sz w:val="18"/>
          <w:szCs w:val="18"/>
          <w:color w:val="auto"/>
        </w:rPr>
        <w:t>”), fairly present in all material respects the financial position and the results of operations, changes in shareholders’ equity, and cash flows of VIH at the respective dates of and, for the periods referred to in such financial statements, all in accordance with (i) GAAP methodologies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w:t>
      </w:r>
    </w:p>
    <w:p>
      <w:pPr>
        <w:spacing w:after="0" w:line="76" w:lineRule="exact"/>
        <w:rPr>
          <w:rFonts w:ascii="Times New Roman" w:cs="Times New Roman" w:eastAsia="Times New Roman" w:hAnsi="Times New Roman"/>
          <w:sz w:val="18"/>
          <w:szCs w:val="18"/>
          <w:color w:val="auto"/>
        </w:rPr>
      </w:pPr>
    </w:p>
    <w:p>
      <w:pPr>
        <w:ind w:left="-60" w:right="60" w:firstLine="990"/>
        <w:spacing w:after="0" w:line="251" w:lineRule="auto"/>
        <w:tabs>
          <w:tab w:leader="none" w:pos="11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VIH’s disclosure controls and procedures are designed to ensure that all information (both financial and non-financial) required to be disclosed by VIH in the reports that it files or furnishes under the Exchange Act is recorded, processed, summarized and reported within the time periods specified in the rules and forms of the SEC, and that all such information is accumulated and communicated to VIH’s management as appropriate to allow timely decisions regarding required disclosure and to make the certifications required pursuant to Sections 302 and 906 of the Sarbanes-Oxley Act. To the knowledge of VIH, (i) VIH has not identified or been made aware of any significant deficiencies or material weaknesses in the design or operation of its internal control over financial reporting that would adversely affect VIH’s ability to record, process, summarize and report financial information and (ii) VIH does not have knowledge of any fraud, whether or not material, that involves management or other employees who have a significant role in VIH’s internal control over financial reporting.</w:t>
      </w:r>
    </w:p>
    <w:p>
      <w:pPr>
        <w:spacing w:after="0" w:line="82" w:lineRule="exact"/>
        <w:rPr>
          <w:rFonts w:ascii="Times New Roman" w:cs="Times New Roman" w:eastAsia="Times New Roman" w:hAnsi="Times New Roman"/>
          <w:sz w:val="18"/>
          <w:szCs w:val="18"/>
          <w:color w:val="auto"/>
        </w:rPr>
      </w:pPr>
    </w:p>
    <w:p>
      <w:pPr>
        <w:ind w:left="-60" w:firstLine="990"/>
        <w:spacing w:after="0" w:line="258" w:lineRule="auto"/>
        <w:tabs>
          <w:tab w:leader="none" w:pos="11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reflected or reserved against in the VIH Financials, VIH has not incurred any Liabilities or obligations of the type required to be reflected on a balance sheet in accordance with GAAP that are not adequately reflected or reserved on or provided for in the VIH Financials, other than Liabilities of the type required to be reflected on a balance sheet in accordance with GAAP that have been incurred since VIH’s formation in the ordinary course of business.</w:t>
      </w:r>
    </w:p>
    <w:p>
      <w:pPr>
        <w:spacing w:after="0" w:line="72" w:lineRule="exact"/>
        <w:rPr>
          <w:rFonts w:ascii="Times New Roman" w:cs="Times New Roman" w:eastAsia="Times New Roman" w:hAnsi="Times New Roman"/>
          <w:sz w:val="18"/>
          <w:szCs w:val="18"/>
          <w:color w:val="auto"/>
        </w:rPr>
      </w:pPr>
    </w:p>
    <w:p>
      <w:pPr>
        <w:ind w:left="-60" w:right="180" w:firstLine="990"/>
        <w:spacing w:after="0" w:line="263" w:lineRule="auto"/>
        <w:tabs>
          <w:tab w:leader="none" w:pos="11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VIH to any executive officer (as defined in Rule 3b-7 under the Exchange Act) or director of VIH other than advancements of expenses in the ordinary course less than $50,000 individually or $100,000 in the aggregate. VIH has not taken any action prohibited by Section 402 of the Sarbanes-Oxley Act.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20"/>
          </w:cols>
          <w:pgMar w:left="540" w:top="268" w:right="539" w:bottom="1440" w:gutter="0" w:footer="0" w:header="0"/>
        </w:sectPr>
      </w:pPr>
    </w:p>
    <w:bookmarkStart w:id="54" w:name="page55"/>
    <w:bookmarkEnd w:id="54"/>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4.12 </w:t>
      </w:r>
      <w:r>
        <w:rPr>
          <w:rFonts w:ascii="Times New Roman" w:cs="Times New Roman" w:eastAsia="Times New Roman" w:hAnsi="Times New Roman"/>
          <w:sz w:val="18"/>
          <w:szCs w:val="18"/>
          <w:u w:val="single" w:color="auto"/>
          <w:color w:val="auto"/>
        </w:rPr>
        <w:t>National Stock Exchange</w:t>
      </w:r>
      <w:r>
        <w:rPr>
          <w:rFonts w:ascii="Times New Roman" w:cs="Times New Roman" w:eastAsia="Times New Roman" w:hAnsi="Times New Roman"/>
          <w:sz w:val="18"/>
          <w:szCs w:val="18"/>
          <w:color w:val="auto"/>
        </w:rPr>
        <w:t>. As of the date of this Agreement, the VIH Public Units, the VIH Class A Shares and the VIH Warrants that were included as part of the VIH Public Units (the “</w:t>
      </w:r>
      <w:r>
        <w:rPr>
          <w:rFonts w:ascii="Times New Roman" w:cs="Times New Roman" w:eastAsia="Times New Roman" w:hAnsi="Times New Roman"/>
          <w:sz w:val="18"/>
          <w:szCs w:val="18"/>
          <w:u w:val="single" w:color="auto"/>
          <w:color w:val="auto"/>
        </w:rPr>
        <w:t>VIH Public Warrants</w:t>
      </w:r>
      <w:r>
        <w:rPr>
          <w:rFonts w:ascii="Times New Roman" w:cs="Times New Roman" w:eastAsia="Times New Roman" w:hAnsi="Times New Roman"/>
          <w:sz w:val="18"/>
          <w:szCs w:val="18"/>
          <w:color w:val="auto"/>
        </w:rPr>
        <w:t>”) are listed on the National Stock Exchange under the symbols “VIHAU”, “VIH” and “VIHAW”, respectively. As of the date of this Agreement, VIH is in compliance in all material respects with the applicable corporate governance requirements of the National Stock Exchange for continued listing of VIH Public Units, VIH Class A Shares and VIH Public Warrants thereon and there is no action or proceeding pending or, to VIH’s knowledge, threatened against VIH by the National Stock Exchange or the Financial Industry Regulatory Authority to prohibit or terminate the listing of the VIH Public Units, VIH Class A Shares or VIH Public Warrants on the National Stock Exchange.</w:t>
      </w:r>
    </w:p>
    <w:p>
      <w:pPr>
        <w:spacing w:after="0" w:line="184"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Each of the VIH Board (including any required committee or subgroup of the VIH Board) and the managing member of Merger Sub has, as of the date of this Agreement, unanimously determined that (i) the consummation of the Transactions (including the Merger and the Domestication) is in the best interest of the stockholders of VIH and the equity holders of Merger Sub, (ii) the fair market value of Bakkt Opco is equal to at least eighty percent (80%) of the balance in the Trust Account and (iii) in the case of VIH, recommended that VIH Shareholders adopt and approve this Agreement and approve the other Voting Matters.</w:t>
      </w:r>
    </w:p>
    <w:p>
      <w:pPr>
        <w:spacing w:after="0" w:line="184" w:lineRule="exact"/>
        <w:rPr>
          <w:sz w:val="20"/>
          <w:szCs w:val="20"/>
          <w:color w:val="auto"/>
        </w:rPr>
      </w:pPr>
    </w:p>
    <w:p>
      <w:pPr>
        <w:ind w:right="100" w:firstLine="982"/>
        <w:spacing w:after="0" w:line="265" w:lineRule="auto"/>
        <w:rPr>
          <w:sz w:val="20"/>
          <w:szCs w:val="20"/>
          <w:color w:val="auto"/>
        </w:rPr>
      </w:pPr>
      <w:r>
        <w:rPr>
          <w:rFonts w:ascii="Times New Roman" w:cs="Times New Roman" w:eastAsia="Times New Roman" w:hAnsi="Times New Roman"/>
          <w:sz w:val="17"/>
          <w:szCs w:val="17"/>
          <w:color w:val="auto"/>
        </w:rPr>
        <w:t xml:space="preserve">Section 4.14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VIH has made available to Bakkt Opco a true, correct and complete copy of the fully executed Investment Management Trust Agreement (the “</w:t>
      </w:r>
      <w:r>
        <w:rPr>
          <w:rFonts w:ascii="Times New Roman" w:cs="Times New Roman" w:eastAsia="Times New Roman" w:hAnsi="Times New Roman"/>
          <w:sz w:val="17"/>
          <w:szCs w:val="17"/>
          <w:u w:val="single" w:color="auto"/>
          <w:color w:val="auto"/>
        </w:rPr>
        <w:t>Trust Agreement</w:t>
      </w:r>
      <w:r>
        <w:rPr>
          <w:rFonts w:ascii="Times New Roman" w:cs="Times New Roman" w:eastAsia="Times New Roman" w:hAnsi="Times New Roman"/>
          <w:sz w:val="17"/>
          <w:szCs w:val="17"/>
          <w:color w:val="auto"/>
        </w:rPr>
        <w:t>”), dated as of September 22, 2020, by and between VIH and Continental Stock Transfer &amp; Trust Company, a New York corporation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As of the date of this Agreement, VIH has at least $207,373,020 in the Trust Account, with such funds invested in government securities or money market funds meeting certain conditions pursuant to the Trust Agreement. The Trust Agreement is in full force and effect and is a legal, valid and binding obligation of VIH and, to VIH’s knowledge, the Trustee, enforceable in accordance with its terms, subject to the Enforcement Exceptions. The Trust Agreement has not been terminated, repudiated, rescinded, amended or supplemented or modified, in any respect, and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SEC Reports to be inaccurate or (ii) entitle any Person (other than (A) the underwriter of the IPO and</w:t>
      </w:r>
    </w:p>
    <w:p>
      <w:pPr>
        <w:spacing w:after="0" w:line="2" w:lineRule="exact"/>
        <w:rPr>
          <w:sz w:val="20"/>
          <w:szCs w:val="20"/>
          <w:color w:val="auto"/>
        </w:rPr>
      </w:pPr>
    </w:p>
    <w:p>
      <w:pPr>
        <w:ind w:right="20" w:firstLine="7"/>
        <w:spacing w:after="0" w:line="250" w:lineRule="auto"/>
        <w:tabs>
          <w:tab w:leader="none" w:pos="2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who have elected to redeem their VIH Class A Shares in accordance with the VIH Memorandum and Articles) to any portion of the proceeds in the Trust Account. Prior to the Closing, none of the funds held in the Trust Account may be released except to redeem VIH Class A Shares from Public Stockholders in accordance with the provisions of the VIH Memorandum and Articles and the IPO Prospectus (the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or as otherwise described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There is no Action pending, or to VIH’s knowledge, threatened with respect to the Trust Account.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for directors’ and officers’ liability insurance, VIH does not maintain any insurance policies.</w:t>
      </w:r>
    </w:p>
    <w:p>
      <w:pPr>
        <w:spacing w:after="0" w:line="221"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Neither VIH nor Merger Sub owns, licenses or otherwise has any right, title or interest in any Intellectual Property. To the knowledge of VIH, neither VIH nor Merger Sub infringes, misappropriates or violates any Intellectual Property of any other Person.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00"/>
          </w:cols>
          <w:pgMar w:left="480" w:top="268" w:right="519"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4.17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40" w:firstLine="990"/>
        <w:spacing w:after="0" w:line="254" w:lineRule="auto"/>
        <w:tabs>
          <w:tab w:leader="none" w:pos="12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confidentiality and non-disclosure agreements, this Agreement and the Transaction Documents (none of which shall constitute Material VIH Contracts for purposes of this Agreement), there are no Contracts, agreements, leases, mortgages, indentures, notes, bonds, Liens, licenses, Permits, franchises, purchase orders, sales orders or other understandings, commitments or obligations (including outstanding offers or proposals) of any kind, whether written or oral, to which VIH or Merger Sub is a party or by or to which any of the properties or assets of VIH or Merger Sub may be bound, subject or affected (“</w:t>
      </w:r>
      <w:r>
        <w:rPr>
          <w:rFonts w:ascii="Times New Roman" w:cs="Times New Roman" w:eastAsia="Times New Roman" w:hAnsi="Times New Roman"/>
          <w:sz w:val="18"/>
          <w:szCs w:val="18"/>
          <w:u w:val="single" w:color="auto"/>
          <w:color w:val="auto"/>
        </w:rPr>
        <w:t>Material VIH Contracts</w:t>
      </w:r>
      <w:r>
        <w:rPr>
          <w:rFonts w:ascii="Times New Roman" w:cs="Times New Roman" w:eastAsia="Times New Roman" w:hAnsi="Times New Roman"/>
          <w:sz w:val="18"/>
          <w:szCs w:val="18"/>
          <w:color w:val="auto"/>
        </w:rPr>
        <w:t>”). All Material VIH Contracts are listed in Section 4.17(a) of the VIH Disclosure Letter other than those that are exhibits to the SEC Reports filed at least one (1) Business Day prior to the date of this Agreement.</w:t>
      </w:r>
    </w:p>
    <w:p>
      <w:pPr>
        <w:spacing w:after="0" w:line="76"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VIH Contract was entered into at arm’s length and in the ordinary course, is in full force and effect and, to VIH’s knowledge, is valid and binding upon and enforceable against each of the parties thereto, subject to the Enforcement Exceptions. To VIH’s knowledge, no other party to a Material VIH Contract is the subject of a bankruptcy or insolvency proceeding. True, correct and complete copies of all Material VIH Contracts (or written summaries in the case of oral Material VIH Contracts) have been heretofore delivered to Bakkt Opco.</w:t>
      </w:r>
    </w:p>
    <w:p>
      <w:pPr>
        <w:spacing w:after="0" w:line="72" w:lineRule="exact"/>
        <w:rPr>
          <w:rFonts w:ascii="Times New Roman" w:cs="Times New Roman" w:eastAsia="Times New Roman" w:hAnsi="Times New Roman"/>
          <w:sz w:val="18"/>
          <w:szCs w:val="18"/>
          <w:color w:val="auto"/>
        </w:rPr>
      </w:pPr>
    </w:p>
    <w:p>
      <w:pPr>
        <w:ind w:right="60" w:firstLine="990"/>
        <w:spacing w:after="0" w:line="278" w:lineRule="auto"/>
        <w:tabs>
          <w:tab w:leader="none" w:pos="12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to the knowledge of VIH, any other party thereto is in breach of or in default under, and no event has occurred which with notice or lapse of time or both would become a breach of or default under, any Material VIH Contract.</w:t>
      </w:r>
    </w:p>
    <w:p>
      <w:pPr>
        <w:spacing w:after="0" w:line="162"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Neither VIH nor Merger Sub owns or leases any Real Property or personal property. There are no options or other Contracts under which VIH or Merger Sub has a right or obligation to acquire or lease any interest in Real Property or personal property.</w:t>
      </w:r>
    </w:p>
    <w:p>
      <w:pPr>
        <w:spacing w:after="0" w:line="162"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Other than any former officers or as described in VIH’s SEC Reports, VIH has never had any employees. Other than reimbursement of any out-of-pocket expenses incurred by VIH’s officers and directors in connection with activities on VIH’s behalf in an aggregate amount not in excess of the amount of cash held by VIH outside of the Trust Account, VIH does not have any unsatisfied liability with respect to any employee, officer or director. VIH does not maintain, sponsor or have any liability or potential liability with respect to any VIH Benefit Arrangement or VIH Benefit Plan.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or other compensation payable to any Person who is or has been an employee of or independent contractor to VIH (other than salaries, wages, or bonuses payable in the ordinary course of business) to increase or become due to any such Person or (ii) result in forgiveness of indebtedness with respect to any employee of VIH.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480" w:top="268" w:right="51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4.20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51" w:lineRule="auto"/>
        <w:tabs>
          <w:tab w:leader="none" w:pos="12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its Subsidiaries, nor to the knowledge of VIH has any of their respective Representatives acting on their behalf, in their capacity as such, has since their respective dates of formation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VIH, its Subsidiaries, nor any of their respective Representatives acting on their behalf, in their capacity as such, has promised, offered, authorized, given or agreed to give any unlawful gift, similar unlawful benefit or anything of value to any customer, supplier, governmental employee or other Person who is or may be in a position to help or hinder VIH or its Subsidiaries or assist in connection with any actual or proposed transaction, in violation of any provision of the FCPA or of any other applicable anti-bribery or anti-corruption law. To the knowledge of VIH, no Action with respect to any of the foregoing is pending or threatened against or that involves VIH or its Subsidiaries.</w:t>
      </w:r>
    </w:p>
    <w:p>
      <w:pPr>
        <w:spacing w:after="0" w:line="82" w:lineRule="exact"/>
        <w:rPr>
          <w:rFonts w:ascii="Times New Roman" w:cs="Times New Roman" w:eastAsia="Times New Roman" w:hAnsi="Times New Roman"/>
          <w:sz w:val="18"/>
          <w:szCs w:val="18"/>
          <w:color w:val="auto"/>
        </w:rPr>
      </w:pPr>
    </w:p>
    <w:p>
      <w:pPr>
        <w:ind w:right="220" w:firstLine="990"/>
        <w:spacing w:after="0" w:line="263" w:lineRule="auto"/>
        <w:tabs>
          <w:tab w:leader="none" w:pos="12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VIH and its Subsidiaries are and have since their respective dates of formation been conducted in compliance with anti-money laundering Laws, and no Action involving VIH or any of its Subsidiaries with respect to any of the foregoing is pending or, to the knowledge of the VIH, threatened in writing.</w:t>
      </w:r>
    </w:p>
    <w:p>
      <w:pPr>
        <w:spacing w:after="0" w:line="68" w:lineRule="exact"/>
        <w:rPr>
          <w:rFonts w:ascii="Times New Roman" w:cs="Times New Roman" w:eastAsia="Times New Roman" w:hAnsi="Times New Roman"/>
          <w:sz w:val="18"/>
          <w:szCs w:val="18"/>
          <w:color w:val="auto"/>
        </w:rPr>
      </w:pPr>
    </w:p>
    <w:p>
      <w:pPr>
        <w:ind w:firstLine="990"/>
        <w:spacing w:after="0" w:line="253" w:lineRule="auto"/>
        <w:tabs>
          <w:tab w:leader="none" w:pos="12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its Subsidiaries nor any of their respective directors or officers, or, to the knowledge of VIH, any other Representative acting on behalf of VIH or its Subsidiaries is currently identified on the SDN List or other sanctions-related list, or owned or controlled by such a person, or otherwise the target of Sanctions, or operating, organized, or resident in a country or territory that is the target of Sanctions (currently, Cuba, Iran, North Korea, Syria, and the Crimea region of Ukraine), and VIH has not since the date of its formation, directly or, to its knowledge indirectly, loaned, contributed or otherwise made available funds to any Subsidiary, joint venture partner or other Person, in connection with any sales or operations in any country or territory which is the target of Sanctions or for the purpose of financing the activities of any Person that is the target of Sanctions, or has otherwise been in violation of Sanctions.</w:t>
      </w:r>
    </w:p>
    <w:p>
      <w:pPr>
        <w:spacing w:after="0" w:line="184" w:lineRule="exact"/>
        <w:rPr>
          <w:sz w:val="20"/>
          <w:szCs w:val="20"/>
          <w:color w:val="auto"/>
        </w:rPr>
      </w:pPr>
    </w:p>
    <w:p>
      <w:pPr>
        <w:ind w:right="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VIH is not required to register as an “investment company” under (and within the meaning of) the Investment Company Act of 1940, as amended.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00" w:firstLine="990"/>
        <w:spacing w:after="0" w:line="252" w:lineRule="auto"/>
        <w:tabs>
          <w:tab w:leader="none" w:pos="12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has delivered to Bakkt Opco true, correct and complete copies of each of the PIPE Subscription Agreements entered into by VIH with the applicable PIPE Investors named therein, pursuant to which the PIPE Investors have committed to provide the PIPE Financing. To the knowledge of VIH, with respect to each PIPE Investor, the PIPE Subscription Agreement with such PIPE Investor is in full force and effect and has not been withdrawn or terminated, or otherwise amended, modified or waived, in any material respect (it being understood that a change of or to one or more entities or individuals with respect to an PIPE Investor shall not be deemed a violation of the foregoing), and no withdrawal, termination, amendment or modification is contemplated by VIH. Each PIPE Subscription Agreement is a legal, valid and binding obligation of VIH, each PIPE Investor, and neither the execution or delivery by any party thereto nor the performance of any party’s obligations under any such PIPE Subscription Agreement violates any Laws. There are no other agreements, side letters, or arrangements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480" w:top="268" w:right="499" w:bottom="1440" w:gutter="0" w:footer="0" w:header="0"/>
        </w:sectPr>
      </w:pPr>
    </w:p>
    <w:bookmarkStart w:id="57" w:name="page58"/>
    <w:bookmarkEnd w:id="5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between VIH and any PIPE Investor relating to any PIPE Subscription Agreement, that would affect the obligation of such PIPE Investors to contribute to Bakkt Opco the applicable portion of the PIPE Financing set forth in the PIPE Subscription Agreement of such PIPE Investor, and, as of the date hereof, VIH does not know of any facts or circumstances that would result in any of the conditions set forth in any PIPE Subscription Agreement not being satisfied, or the PIPE Financing not being available to VIH, on the Closing Date. No event has occurred that, with or without notice, lapse of time or both, would constitute a default or breach on the part of VIH under any material term or condition of any PIPE Subscription Agreement and, as of the date hereof, VIH has no reason to believe that it will be unable to satisfy in all material respects on a timely basis any term or condition of closing to be satisfied by it contained in any PIPE Subscription Agreement.</w:t>
      </w:r>
    </w:p>
    <w:p>
      <w:pPr>
        <w:spacing w:after="0" w:line="77" w:lineRule="exact"/>
        <w:rPr>
          <w:sz w:val="20"/>
          <w:szCs w:val="20"/>
          <w:color w:val="auto"/>
        </w:rPr>
      </w:pPr>
    </w:p>
    <w:p>
      <w:pPr>
        <w:ind w:right="120" w:firstLine="990"/>
        <w:spacing w:after="0" w:line="278" w:lineRule="auto"/>
        <w:tabs>
          <w:tab w:leader="none" w:pos="12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fees, consideration or other discounts are payable or have been agreed by VIH or any of its Subsidiaries (including, from and after the Closing, Bakkt Opco and its Subsidiaries) to any PIPE Investor in respect of its portion of the PIPE Financing.</w:t>
      </w:r>
    </w:p>
    <w:p>
      <w:pPr>
        <w:spacing w:after="0" w:line="162"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Due Diligence Investigation</w:t>
      </w:r>
      <w:r>
        <w:rPr>
          <w:rFonts w:ascii="Times New Roman" w:cs="Times New Roman" w:eastAsia="Times New Roman" w:hAnsi="Times New Roman"/>
          <w:sz w:val="18"/>
          <w:szCs w:val="18"/>
          <w:color w:val="auto"/>
        </w:rPr>
        <w:t>. VIH and Merger Sub acknowledge, covenant and agree, on behalf of themselves and their respective Representatives: (a) that they have made their own due diligence investigation, and based thereon, formed their own independent judgment with respect business, results of operations, prospects, condition (financial or otherwise) of assets of Bakkt Opco and its Subsidiaries and have been afforded satisfactory access to the books and records, facilities and personnel of Bakkt Opco and its Subsidiaries for the purpose of conducting such investigation and forming such judgement, (b) that in entering into this Agreement, they have relied solely upon their own investigation and analysis and the Bakkt Representations, (c) that (x) other than the Bakkt Representations, no representation or warranty has been or is being made by Bakkt Opco or any of its Representatives or any other Person as to the accuracy or completeness of any of the information provided or made available to VIH, Merger Sub or any of their respective Representatives (including any such information contained in the “data room”, in any confidential information memorandum, management presentation or similar materials, in answers to due diligence questions submitted by VIH, Merger Sub or any of their respective Representatives or in any other form (including meetings, calls and correspondence)) in expectation of the Transactions, and (y) there are uncertainties inherent in attempting to make estimates, projections, forecasts, plans, budgets and similar materials and information (including forward-looking statements), and VIH and Merger Sub are familiar with such uncertainties and (d) VIH and Merger Sub are taking full responsibility for making their own evaluation of the adequacy and accuracy of all estimates, projections, plans and budgets so furnished to them, including the reasonableness of the assumptions underlying such estimates, projections, plans and budgets. Without limiting the foregoing provisions of this paragraph, VIH and Merger Sub hereby acknowledge and agree (on behalf of themselves and their respective Representatives) that none of Bakkt Opco, its Affiliates, their respective Representatives or any other Person is making any representation or warranty with respect to such estimates, projections, plans or budgets, including the reasonableness of the assumptions underlying such estimates, projections, plans or budgets, and that VIH, Merger Sub and their Representatives have not relied on any such estimates, projections, plans or budgets.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0"/>
          </w:cols>
          <w:pgMar w:left="480" w:top="268" w:right="519" w:bottom="1440" w:gutter="0" w:footer="0" w:header="0"/>
        </w:sectPr>
      </w:pPr>
    </w:p>
    <w:bookmarkStart w:id="58" w:name="page59"/>
    <w:bookmarkEnd w:id="58"/>
    <w:p>
      <w:pPr>
        <w:ind w:firstLine="98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4.24 </w:t>
      </w:r>
      <w:r>
        <w:rPr>
          <w:rFonts w:ascii="Times New Roman" w:cs="Times New Roman" w:eastAsia="Times New Roman" w:hAnsi="Times New Roman"/>
          <w:sz w:val="18"/>
          <w:szCs w:val="18"/>
          <w:u w:val="single" w:color="auto"/>
          <w:color w:val="auto"/>
        </w:rPr>
        <w:t>No Other Bakkt Opco Representations or Warranties</w:t>
      </w:r>
      <w:r>
        <w:rPr>
          <w:rFonts w:ascii="Times New Roman" w:cs="Times New Roman" w:eastAsia="Times New Roman" w:hAnsi="Times New Roman"/>
          <w:sz w:val="18"/>
          <w:szCs w:val="18"/>
          <w:color w:val="auto"/>
        </w:rPr>
        <w:t xml:space="preserve">. VIH and Merger Sub acknowledge and agree that the specific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expressly qualified by the Bakkt Disclosure Letter) or expressly set forth in a Transaction Document (collectively, the “</w:t>
      </w:r>
      <w:r>
        <w:rPr>
          <w:rFonts w:ascii="Times New Roman" w:cs="Times New Roman" w:eastAsia="Times New Roman" w:hAnsi="Times New Roman"/>
          <w:sz w:val="18"/>
          <w:szCs w:val="18"/>
          <w:u w:val="single" w:color="auto"/>
          <w:color w:val="auto"/>
        </w:rPr>
        <w:t>Bakkt Representations</w:t>
      </w:r>
      <w:r>
        <w:rPr>
          <w:rFonts w:ascii="Times New Roman" w:cs="Times New Roman" w:eastAsia="Times New Roman" w:hAnsi="Times New Roman"/>
          <w:sz w:val="18"/>
          <w:szCs w:val="18"/>
          <w:color w:val="auto"/>
        </w:rPr>
        <w:t>”), (a) are and shall constitute the sole and exclusive representations and warranties made by Bakkt Opco and its Representatives in connection with this Agreement or the Transactions, (b) neither Bakkt Opco nor any of its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Bakkt Opco, or any of its businesses, financial projections, assets, liabilities or operations, or the Transactions, and (c) Bakkt Opco disclaims any other representations or warranties, whether made by Bakkt Opco or any of its Representatives. VIH and Merger Sub acknowledge and agree that except for the Bakkt Representations, VIH and Merger Sub (a) shall consummate the Transactions without any representation or warranty, except as otherwise expressly set forth in the Bakkt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Bakkt Representations and (c) expressly disclaims reliance upon any representations and warranties other than the Bakkt Representations, including any representation, warranty, projection, forecast, statement or information made, communicated or furnished (orally or in writing) to VIH, Merger Sub or any of their respective Representatives (including any opinion, information, projection or advice that may have been or may be provided to VIH, Merger Sub or any of their respective Representatives) by any Representative of Bakkt Opco or one of its Affiliates or any information, documents or materials made available to VIH, Merger Sub or any of their respective Representatives, whether orally or in writing, in certain “data rooms,” management presentations, functional “break-out” discussions, responses to questions submitted on behalf of VIH, Merger Sub or any of their respective Representatives or in any other form in connection with the transactions contemplated by this Agreement. Without limiting the foregoing, Bakkt Opco not make any representation or warranty of any kind whatsoever, express or implied, written or oral, at law or in equity, to VIH, Merger Sub or any of their respective Representatives regarding the success, profitability or value of Bakkt Opco.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PRE-CLOSING COVENANTS</w:t>
      </w:r>
    </w:p>
    <w:p>
      <w:pPr>
        <w:spacing w:after="0" w:line="225" w:lineRule="exact"/>
        <w:rPr>
          <w:sz w:val="20"/>
          <w:szCs w:val="20"/>
          <w:color w:val="auto"/>
        </w:rPr>
      </w:pPr>
    </w:p>
    <w:p>
      <w:pPr>
        <w:ind w:right="180"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 of Bakkt Opco</w:t>
      </w:r>
      <w:r>
        <w:rPr>
          <w:rFonts w:ascii="Times New Roman" w:cs="Times New Roman" w:eastAsia="Times New Roman" w:hAnsi="Times New Roman"/>
          <w:sz w:val="18"/>
          <w:szCs w:val="18"/>
          <w:color w:val="auto"/>
        </w:rPr>
        <w:t xml:space="preserve">. Except as set forth in Section 5.1 of the Bakkt Disclosure Letter, as otherwise contemplated by this Agreement, as required by applicable Law or a Governmental Authority, or as consented to by VIH (which consent, other than in respect of the sub-clauses listed in the last paragraph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not be unreasonably withheld, conditioned or delayed), between the date of this Agreement and the earlier of the Closing or the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Bakkt Opco shall, and shall cause its Subsidiaries to, (x) conduct their respective businesses in the ordinary course of business and in material compliance with applicable Law, and (y) in each case in all material respects, use their commercially reasonable efforts to maintain and preserve their respective businesses, assets and organizations intact, retain their respective present officers and employees and maintain and preserve their respective relationships with their officers and employees, suppliers, vendors, licensors, Governmental Authorities,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480" w:top="268" w:right="499" w:bottom="1440" w:gutter="0" w:footer="0" w:header="0"/>
        </w:sectPr>
      </w:pPr>
    </w:p>
    <w:bookmarkStart w:id="59" w:name="page60"/>
    <w:bookmarkEnd w:id="59"/>
    <w:p>
      <w:pPr>
        <w:ind w:right="2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creditors and others having business relations with such Person. Except as set forth in Section 5.1 of the Bakkt Disclosure Letter, as otherwise contemplated by this Agreement, as required by applicable Law or a Governmental Authority, or as consented to by VIH (which consent shall not be unreasonably withheld, conditioned or delayed), Bakkt Opco shall not and shall cause its Subsidiaries not to:</w:t>
      </w:r>
    </w:p>
    <w:p>
      <w:pPr>
        <w:spacing w:after="0" w:line="68" w:lineRule="exact"/>
        <w:rPr>
          <w:sz w:val="20"/>
          <w:szCs w:val="20"/>
          <w:color w:val="auto"/>
        </w:rPr>
      </w:pPr>
    </w:p>
    <w:p>
      <w:pPr>
        <w:ind w:left="1240" w:hanging="250"/>
        <w:spacing w:after="0"/>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any of the Organizational Documents of Bakkt Opco and its Subsidiaries, or authorize or propose the same;</w:t>
      </w:r>
    </w:p>
    <w:p>
      <w:pPr>
        <w:spacing w:after="0" w:line="113" w:lineRule="exact"/>
        <w:rPr>
          <w:rFonts w:ascii="Times New Roman" w:cs="Times New Roman" w:eastAsia="Times New Roman" w:hAnsi="Times New Roman"/>
          <w:sz w:val="18"/>
          <w:szCs w:val="18"/>
          <w:color w:val="auto"/>
        </w:rPr>
      </w:pPr>
    </w:p>
    <w:p>
      <w:pPr>
        <w:ind w:firstLine="990"/>
        <w:spacing w:after="0" w:line="274" w:lineRule="auto"/>
        <w:tabs>
          <w:tab w:leader="none" w:pos="1235"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its equity capitalization or capital structure, or enter into any agreement, understanding or arrangement with respect to the voting of equity securities of Bakkt Opco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exercises or conversions of currently outstanding rights shall not be prohibited), or grant any additional equity or equity-based compensation (including Bakkt Opco Incentive Units and Participation Units under the Bakkt Equity Incentive Plan);</w:t>
      </w:r>
    </w:p>
    <w:p>
      <w:pPr>
        <w:spacing w:after="0" w:line="61" w:lineRule="exact"/>
        <w:rPr>
          <w:rFonts w:ascii="Times New Roman" w:cs="Times New Roman" w:eastAsia="Times New Roman" w:hAnsi="Times New Roman"/>
          <w:sz w:val="17"/>
          <w:szCs w:val="17"/>
          <w:color w:val="auto"/>
        </w:rPr>
      </w:pPr>
    </w:p>
    <w:p>
      <w:pPr>
        <w:ind w:firstLine="990"/>
        <w:spacing w:after="0" w:line="258" w:lineRule="auto"/>
        <w:tabs>
          <w:tab w:leader="none" w:pos="12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distribution (other than ordinary and regular tax distributions or distributions made by wholly-owned Subsidiaries of Bakkt Opco to Bakkt Opco or any of its wholly-owned Subsidiaries) in respect of its limited liability company interests or authorize the issuance of any other securities in respect of, in lieu of or in substitution for any of its securities or purchase, redeem or otherwise acquire or retire for value any of its securities;</w:t>
      </w:r>
    </w:p>
    <w:p>
      <w:pPr>
        <w:spacing w:after="0" w:line="7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loan or advance to or investment in any third party;</w:t>
      </w:r>
    </w:p>
    <w:p>
      <w:pPr>
        <w:spacing w:after="0" w:line="113" w:lineRule="exact"/>
        <w:rPr>
          <w:rFonts w:ascii="Times New Roman" w:cs="Times New Roman" w:eastAsia="Times New Roman" w:hAnsi="Times New Roman"/>
          <w:sz w:val="18"/>
          <w:szCs w:val="18"/>
          <w:color w:val="auto"/>
        </w:rPr>
      </w:pPr>
    </w:p>
    <w:p>
      <w:pPr>
        <w:jc w:val="both"/>
        <w:ind w:right="360" w:firstLine="990"/>
        <w:spacing w:after="0" w:line="263" w:lineRule="auto"/>
        <w:tabs>
          <w:tab w:leader="none" w:pos="12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sublease, exclusively license, exclusively sublicense, pledge, fail to renew, or otherwise transfer or dispose of or grant any option or exclusive rights in, to or under, any material assets (including material Intellectual Property) of Bakkt Opco and its Subsidiaries (other than any such actions performed by Bakkt Opco or one of its Subsidiaries in the ordinary course of business);</w:t>
      </w:r>
    </w:p>
    <w:p>
      <w:pPr>
        <w:spacing w:after="0" w:line="68" w:lineRule="exact"/>
        <w:rPr>
          <w:rFonts w:ascii="Times New Roman" w:cs="Times New Roman" w:eastAsia="Times New Roman" w:hAnsi="Times New Roman"/>
          <w:sz w:val="18"/>
          <w:szCs w:val="18"/>
          <w:color w:val="auto"/>
        </w:rPr>
      </w:pPr>
    </w:p>
    <w:p>
      <w:pPr>
        <w:ind w:right="380" w:firstLine="990"/>
        <w:spacing w:after="0" w:line="263" w:lineRule="auto"/>
        <w:tabs>
          <w:tab w:leader="none" w:pos="120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material Trade Secrets, material Bakkt Software or material confidential Intellectual Property of Bakkt Opco and its Subsidiaries (including the source code for any proprietary software) to any Person who has not entered into a reasonably protective confidentiality agreement;</w:t>
      </w:r>
    </w:p>
    <w:p>
      <w:pPr>
        <w:spacing w:after="0" w:line="68" w:lineRule="exact"/>
        <w:rPr>
          <w:rFonts w:ascii="Times New Roman" w:cs="Times New Roman" w:eastAsia="Times New Roman" w:hAnsi="Times New Roman"/>
          <w:sz w:val="18"/>
          <w:szCs w:val="18"/>
          <w:color w:val="auto"/>
        </w:rPr>
      </w:pPr>
    </w:p>
    <w:p>
      <w:pPr>
        <w:ind w:right="200" w:firstLine="990"/>
        <w:spacing w:after="0" w:line="263" w:lineRule="auto"/>
        <w:tabs>
          <w:tab w:leader="none" w:pos="123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(whether by merger, consolidation, acquisition of stock or assets or any other form of business combination) any non-natural Person or business or initiate the start-up of any new business, non-wholly-owned Subsidiary or joint venture or otherwise acquire any securities or material assets;</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guarantee or otherwise become liable for any indebtedness (directly, contingently or otherwise) except for</w:t>
      </w:r>
    </w:p>
    <w:p>
      <w:pPr>
        <w:spacing w:after="0" w:line="25" w:lineRule="exact"/>
        <w:rPr>
          <w:rFonts w:ascii="Times New Roman" w:cs="Times New Roman" w:eastAsia="Times New Roman" w:hAnsi="Times New Roman"/>
          <w:sz w:val="18"/>
          <w:szCs w:val="18"/>
          <w:color w:val="auto"/>
        </w:rPr>
      </w:pPr>
    </w:p>
    <w:p>
      <w:pPr>
        <w:jc w:val="both"/>
        <w:ind w:right="40" w:firstLine="7"/>
        <w:spacing w:after="0" w:line="250" w:lineRule="auto"/>
        <w:tabs>
          <w:tab w:leader="none" w:pos="2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advances of any kind under any credit facilities or other debt instrument (including under any applicable credit line) of Bakkt Opco existing as of the date hereof not to exceed $1,000,000, (ii) any such indebtedness among Bakkt Opco and its wholly-owned Subsidiaries or among Bakkt Opco’s wholly-owned Subsidiaries, (iii) guarantees by Bakkt Opco of existing indebtedness of Subsidiaries of Bakkt Opco, and (iv) the accrual of interest on indebtedness outstanding as of the date of this Agreement or incurred in compliance with this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00"/>
          </w:cols>
          <w:pgMar w:left="480" w:top="268" w:right="519" w:bottom="1440" w:gutter="0" w:footer="0" w:header="0"/>
        </w:sectPr>
      </w:pPr>
    </w:p>
    <w:bookmarkStart w:id="60" w:name="page61"/>
    <w:bookmarkEnd w:id="60"/>
    <w:p>
      <w:pPr>
        <w:ind w:left="1193" w:hanging="210"/>
        <w:spacing w:after="0"/>
        <w:tabs>
          <w:tab w:leader="none" w:pos="119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withdraw any License Application except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7" w:right="140" w:firstLine="990"/>
        <w:spacing w:after="0" w:line="278" w:lineRule="auto"/>
        <w:tabs>
          <w:tab w:leader="none" w:pos="118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 or amend, modify, terminate or waive any material right under any Material Contract or any Material Permit (other than in the ordinary course of business);</w:t>
      </w:r>
    </w:p>
    <w:p>
      <w:pPr>
        <w:spacing w:after="0" w:line="55" w:lineRule="exact"/>
        <w:rPr>
          <w:rFonts w:ascii="Times New Roman" w:cs="Times New Roman" w:eastAsia="Times New Roman" w:hAnsi="Times New Roman"/>
          <w:sz w:val="18"/>
          <w:szCs w:val="18"/>
          <w:color w:val="auto"/>
        </w:rPr>
      </w:pPr>
    </w:p>
    <w:p>
      <w:pPr>
        <w:ind w:left="-7" w:right="20" w:firstLine="990"/>
        <w:spacing w:after="0" w:line="308" w:lineRule="auto"/>
        <w:tabs>
          <w:tab w:leader="none" w:pos="122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matters arising in the ordinary course of business or with a value of less than $250,000, commence a material lawsuit or settle, compromise, release or waive its rights under any claim or litigation, other than for routine collection and settlement matters of accounts payable;</w:t>
      </w:r>
    </w:p>
    <w:p>
      <w:pPr>
        <w:spacing w:after="0" w:line="33" w:lineRule="exact"/>
        <w:rPr>
          <w:rFonts w:ascii="Times New Roman" w:cs="Times New Roman" w:eastAsia="Times New Roman" w:hAnsi="Times New Roman"/>
          <w:sz w:val="17"/>
          <w:szCs w:val="17"/>
          <w:color w:val="auto"/>
        </w:rPr>
      </w:pPr>
    </w:p>
    <w:p>
      <w:pPr>
        <w:ind w:left="-7" w:right="280" w:firstLine="990"/>
        <w:spacing w:after="0" w:line="278" w:lineRule="auto"/>
        <w:tabs>
          <w:tab w:leader="none" w:pos="118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(other than terminations in accordance with their terms) any Contract or transaction with any Related Party, or waive any material right in connection therewith;</w:t>
      </w:r>
    </w:p>
    <w:p>
      <w:pPr>
        <w:spacing w:after="0" w:line="55" w:lineRule="exact"/>
        <w:rPr>
          <w:rFonts w:ascii="Times New Roman" w:cs="Times New Roman" w:eastAsia="Times New Roman" w:hAnsi="Times New Roman"/>
          <w:sz w:val="18"/>
          <w:szCs w:val="18"/>
          <w:color w:val="auto"/>
        </w:rPr>
      </w:pPr>
    </w:p>
    <w:p>
      <w:pPr>
        <w:ind w:left="-7" w:right="40" w:firstLine="990"/>
        <w:spacing w:after="0" w:line="255" w:lineRule="auto"/>
        <w:tabs>
          <w:tab w:leader="none" w:pos="12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implement or effect any reduction in force, mass lay off, early retirement program, severance program, or other program or effort concerning the termination of more than 10 employees, including, but not limited to, any reduction in force, mass lay off, early retirement program, severance program or other program or effort concerning the termination of employees, in each case which would trigger any liability or advance notice requirements under the Workers Adjustment Retraining and Notification Act of 1988, as amended, or any similar state, local or foreign law or regulation;</w:t>
      </w:r>
    </w:p>
    <w:p>
      <w:pPr>
        <w:spacing w:after="0" w:line="77" w:lineRule="exact"/>
        <w:rPr>
          <w:rFonts w:ascii="Times New Roman" w:cs="Times New Roman" w:eastAsia="Times New Roman" w:hAnsi="Times New Roman"/>
          <w:sz w:val="18"/>
          <w:szCs w:val="18"/>
          <w:color w:val="auto"/>
        </w:rPr>
      </w:pPr>
    </w:p>
    <w:p>
      <w:pPr>
        <w:ind w:left="-7" w:firstLine="990"/>
        <w:spacing w:after="0" w:line="274" w:lineRule="auto"/>
        <w:tabs>
          <w:tab w:leader="none" w:pos="122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existing Bakkt Benefit Plans or Bakkt Benefit Arrangements listed on Section 3.9(a) of the Bakkt Disclosure Letter or as would not be material to Bakkt Opco or its Subsidiaries taken as a whole, and only with respect to officers of Bakkt Opco,</w:t>
      </w:r>
    </w:p>
    <w:p>
      <w:pPr>
        <w:ind w:left="-7" w:firstLine="7"/>
        <w:spacing w:after="0" w:line="249" w:lineRule="auto"/>
        <w:tabs>
          <w:tab w:leader="none" w:pos="20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severance, retention, change in control or termination or similar pay, (ii) terminate, adopt, enter into or materially amend or grant any new awards under any Bakkt Benefit Plan or Bakkt Benefit Arrangement (including the Bakkt Equity Incentive Plan) or any plan, policy, practice, program, agreement or other arrangement that would be deemed a Bakkt Benefit Plan or Bakkt Benefit Arrangement as of the date hereof, (iii) materially increase the cash compensation or bonus opportunity, except in the ordinary course of business consistent with past practice, (iv) take any action to amend or waive any performance or vesting criteria or to accelerate the payment or vesting of any compensation or benefit payable by Bakkt Opco or any of its Subsidiaries, (v) hire or engage any new officer of Bakkt Opco, or (vi) terminate the employment or engagement, other than for cause, death or disability, of any officer of Bakkt Opco;</w:t>
      </w:r>
    </w:p>
    <w:p>
      <w:pPr>
        <w:spacing w:after="0" w:line="82" w:lineRule="exact"/>
        <w:rPr>
          <w:rFonts w:ascii="Times New Roman" w:cs="Times New Roman" w:eastAsia="Times New Roman" w:hAnsi="Times New Roman"/>
          <w:sz w:val="18"/>
          <w:szCs w:val="18"/>
          <w:color w:val="auto"/>
        </w:rPr>
      </w:pPr>
    </w:p>
    <w:p>
      <w:pPr>
        <w:ind w:left="-7" w:right="460" w:firstLine="990"/>
        <w:spacing w:after="0" w:line="263" w:lineRule="auto"/>
        <w:tabs>
          <w:tab w:leader="none" w:pos="12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extend any collective bargaining agreement or similar labor agreement, other than as required by applicable Law, or recognize any labor union, labor organization, or group of employees of Bakkt Opco or its Subsidiaries as the bargaining representative for any employees of Bakkt Opco or its Subsidiaries;</w:t>
      </w:r>
    </w:p>
    <w:p>
      <w:pPr>
        <w:spacing w:after="0" w:line="68" w:lineRule="exact"/>
        <w:rPr>
          <w:rFonts w:ascii="Times New Roman" w:cs="Times New Roman" w:eastAsia="Times New Roman" w:hAnsi="Times New Roman"/>
          <w:sz w:val="18"/>
          <w:szCs w:val="18"/>
          <w:color w:val="auto"/>
        </w:rPr>
      </w:pPr>
    </w:p>
    <w:p>
      <w:pPr>
        <w:ind w:left="-7" w:right="60" w:firstLine="990"/>
        <w:spacing w:after="0" w:line="263" w:lineRule="auto"/>
        <w:tabs>
          <w:tab w:leader="none" w:pos="12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revalue any of its material assets or make any change in accounting methods, principles or practices (including cash management practices), except to the extent required to comply with GAAP or to upgrade its practices to those suitable for a public company or as may be necessary in order to give effect to de-consolidation from the parent company of the Majority Bakkt Equity Holder’s GAAP financial statements;</w:t>
      </w:r>
    </w:p>
    <w:p>
      <w:pPr>
        <w:spacing w:after="0" w:line="10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73"/>
          </w:cols>
          <w:pgMar w:left="487" w:top="268" w:right="539" w:bottom="1440" w:gutter="0" w:footer="0" w:header="0"/>
        </w:sectPr>
      </w:pPr>
    </w:p>
    <w:bookmarkStart w:id="61" w:name="page62"/>
    <w:bookmarkEnd w:id="61"/>
    <w:p>
      <w:pPr>
        <w:ind w:firstLine="990"/>
        <w:spacing w:after="0" w:line="254" w:lineRule="auto"/>
        <w:tabs>
          <w:tab w:leader="none" w:pos="12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VIH),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w:t>
      </w:r>
    </w:p>
    <w:p>
      <w:pPr>
        <w:spacing w:after="0" w:line="76"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or adopt a plan of complete or partial liquidation, dissolution, merger, consolidation, restructuring, recapitalization or other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95"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in any material respect with a material Law applicable to its business;</w:t>
      </w:r>
    </w:p>
    <w:p>
      <w:pPr>
        <w:spacing w:after="0" w:line="113" w:lineRule="exact"/>
        <w:rPr>
          <w:rFonts w:ascii="Times New Roman" w:cs="Times New Roman" w:eastAsia="Times New Roman" w:hAnsi="Times New Roman"/>
          <w:sz w:val="18"/>
          <w:szCs w:val="18"/>
          <w:color w:val="auto"/>
        </w:rPr>
      </w:pPr>
    </w:p>
    <w:p>
      <w:pPr>
        <w:ind w:right="20" w:firstLine="990"/>
        <w:spacing w:after="0" w:line="278" w:lineRule="auto"/>
        <w:tabs>
          <w:tab w:leader="none" w:pos="11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other than in the ordinary course of business, consistent with past practice, the collection of any trade receivables or the payment of trade payables or any other liability or other material amounts;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or agree (in writing or otherwise) to take any of the actions described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color w:val="auto"/>
        </w:rPr>
        <w:t xml:space="preserve">Nothing contained in this Agreement is intended provide to VIH, directly or indirectly, the right to control or direct the ordinary course operations of Bakkt Opco or any of its Subsidiaries prior to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notwithstanding anything in this Agreement the contrary, and for the avoidance of doubt, the parties hereto acknowledge and agree that none of Bakkt Opco or any of its Subsidiaries shall take any action prohibited by any of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 xml:space="preserve"> (solely as subclause (u) pertains to the foregoing subclauses) without the prior written approval of VIH.</w:t>
      </w:r>
    </w:p>
    <w:p>
      <w:pPr>
        <w:spacing w:after="0" w:line="164" w:lineRule="exact"/>
        <w:rPr>
          <w:sz w:val="20"/>
          <w:szCs w:val="20"/>
          <w:color w:val="auto"/>
        </w:rPr>
      </w:pPr>
    </w:p>
    <w:p>
      <w:pPr>
        <w:ind w:right="360" w:firstLine="982"/>
        <w:spacing w:after="0" w:line="270"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Conduct of Business of VIH</w:t>
      </w:r>
      <w:r>
        <w:rPr>
          <w:rFonts w:ascii="Times New Roman" w:cs="Times New Roman" w:eastAsia="Times New Roman" w:hAnsi="Times New Roman"/>
          <w:sz w:val="17"/>
          <w:szCs w:val="17"/>
          <w:color w:val="auto"/>
        </w:rPr>
        <w:t>.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during the Interim Period, VIH shall, and shall cause Merger Sub to,</w:t>
      </w:r>
    </w:p>
    <w:p>
      <w:pPr>
        <w:spacing w:after="0" w:line="1" w:lineRule="exact"/>
        <w:rPr>
          <w:sz w:val="20"/>
          <w:szCs w:val="20"/>
          <w:color w:val="auto"/>
        </w:rPr>
      </w:pPr>
    </w:p>
    <w:p>
      <w:pPr>
        <w:ind w:right="40" w:firstLine="7"/>
        <w:spacing w:after="0" w:line="249" w:lineRule="auto"/>
        <w:tabs>
          <w:tab w:leader="none" w:pos="2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their respective businesses in the ordinary course of business, (y) conduct their respective businesses in material compliance with applicable Law, and (z) in each case in all material respects, use their commercially reasonable efforts to maintain and preserve their respective businesses and organizations intact, retain their respective present officers and employees and maintain and preserve their relationships with their officers and employees, suppliers, vendors, licensors, Governmental Authorities, creditors and others having business relations with such Person.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VIH shall not and shall cause Merger Sub not to:</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00"/>
          </w:cols>
          <w:pgMar w:left="480" w:top="268" w:right="51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change or amend any of the Organizational Documents of VIH or Merger Sub, or authorize or propose the same, except pursuant to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5" w:lineRule="exact"/>
        <w:rPr>
          <w:sz w:val="20"/>
          <w:szCs w:val="20"/>
          <w:color w:val="auto"/>
        </w:rPr>
      </w:pPr>
    </w:p>
    <w:p>
      <w:pPr>
        <w:ind w:right="100" w:firstLine="990"/>
        <w:spacing w:after="0" w:line="258"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the PIPE Financing, 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the equity capitalization or capital structure of VIH or Merger Sub, or enter into any agreement, understanding or arrangement with respect to the voting of equity securities of VIH;</w:t>
      </w:r>
    </w:p>
    <w:p>
      <w:pPr>
        <w:spacing w:after="0" w:line="72" w:lineRule="exact"/>
        <w:rPr>
          <w:rFonts w:ascii="Times New Roman" w:cs="Times New Roman" w:eastAsia="Times New Roman" w:hAnsi="Times New Roman"/>
          <w:sz w:val="18"/>
          <w:szCs w:val="18"/>
          <w:color w:val="auto"/>
        </w:rPr>
      </w:pPr>
    </w:p>
    <w:p>
      <w:pPr>
        <w:jc w:val="both"/>
        <w:ind w:right="60" w:firstLine="990"/>
        <w:spacing w:after="0" w:line="263" w:lineRule="auto"/>
        <w:tabs>
          <w:tab w:leader="none" w:pos="1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distribution in respect of the Equity Interests of VIH or Merger Sub or authorize the issuance of any other securities in respect of, in lieu of or in substitution for any of the securities of VIH or Merger Sub or purchase, redeem or otherwise acquire or retire for value any of the securities of VIH or Merger Sub;</w:t>
      </w:r>
    </w:p>
    <w:p>
      <w:pPr>
        <w:spacing w:after="0" w:line="68"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create, assume, guarantee or otherwise become liable for any indebtedness for borrowed money or guarantee any indebtedness of another Person (directly, contingently or otherwise), other than (x) as contemplated by the PIPE Financing, or (y) working capital loans made by VIH Sponsor necessary to finance VIH’s ordinary course administrative costs and expenses and expenses incurred in connection with the consummation of the Merger and the other Transactions (including any filings required under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loan or advance to or investment in any third party;</w:t>
      </w:r>
    </w:p>
    <w:p>
      <w:pPr>
        <w:spacing w:after="0" w:line="113"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capital expenditures;</w:t>
      </w:r>
    </w:p>
    <w:p>
      <w:pPr>
        <w:spacing w:after="0" w:line="113" w:lineRule="exact"/>
        <w:rPr>
          <w:rFonts w:ascii="Times New Roman" w:cs="Times New Roman" w:eastAsia="Times New Roman" w:hAnsi="Times New Roman"/>
          <w:sz w:val="18"/>
          <w:szCs w:val="18"/>
          <w:color w:val="auto"/>
        </w:rPr>
      </w:pPr>
    </w:p>
    <w:p>
      <w:pPr>
        <w:ind w:right="160" w:firstLine="990"/>
        <w:spacing w:after="0" w:line="278"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sublease, exclusively license, exclusively sublicense, pledge or otherwise transfer or dispose of or grant any option or exclusive rights in, to or under, any material assets of VIH or Merger Sub;</w:t>
      </w:r>
    </w:p>
    <w:p>
      <w:pPr>
        <w:spacing w:after="0" w:line="55" w:lineRule="exact"/>
        <w:rPr>
          <w:rFonts w:ascii="Times New Roman" w:cs="Times New Roman" w:eastAsia="Times New Roman" w:hAnsi="Times New Roman"/>
          <w:sz w:val="18"/>
          <w:szCs w:val="18"/>
          <w:color w:val="auto"/>
        </w:rPr>
      </w:pPr>
    </w:p>
    <w:p>
      <w:pPr>
        <w:ind w:right="200" w:firstLine="990"/>
        <w:spacing w:after="0" w:line="263"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(whether by merger, consolidation, acquisition of stock or assets or any other form of business combination) any non-natural Person or business or initiate the start-up of any new business, non-wholly owned Subsidiary or joint venture or otherwise acquire any securities or material assets;</w:t>
      </w:r>
    </w:p>
    <w:p>
      <w:pPr>
        <w:spacing w:after="0" w:line="68" w:lineRule="exact"/>
        <w:rPr>
          <w:rFonts w:ascii="Times New Roman" w:cs="Times New Roman" w:eastAsia="Times New Roman" w:hAnsi="Times New Roman"/>
          <w:sz w:val="18"/>
          <w:szCs w:val="18"/>
          <w:color w:val="auto"/>
        </w:rPr>
      </w:pPr>
    </w:p>
    <w:p>
      <w:pPr>
        <w:ind w:right="160" w:firstLine="990"/>
        <w:spacing w:after="0" w:line="278" w:lineRule="auto"/>
        <w:tabs>
          <w:tab w:leader="none" w:pos="11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or terminate (other than terminations in accordance with their terms) any Contract with any Related Party, or waive any material right in connection therewith (other than working capital loans made by VIH Sponsor in accordance with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or adopt or enter into any Benefit Plan;</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00"/>
          </w:cols>
          <w:pgMar w:left="480" w:top="268" w:right="519"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 make any change in accounting methods, principles or practices, except to the extent required by changes in Law or to comply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95" w:lineRule="exact"/>
        <w:rPr>
          <w:sz w:val="20"/>
          <w:szCs w:val="20"/>
          <w:color w:val="auto"/>
        </w:rPr>
      </w:pPr>
    </w:p>
    <w:p>
      <w:pPr>
        <w:ind w:firstLine="990"/>
        <w:spacing w:after="0" w:line="254" w:lineRule="auto"/>
        <w:tabs>
          <w:tab w:leader="none" w:pos="12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Bakkt Opco),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w:t>
      </w:r>
    </w:p>
    <w:p>
      <w:pPr>
        <w:spacing w:after="0" w:line="76"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the Trust Agreement in any manner materially adverse to VIH; or</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or agree (in writing or otherwise) to take any of the actions described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Access to Information; Confidential Information.</w:t>
      </w:r>
    </w:p>
    <w:p>
      <w:pPr>
        <w:spacing w:after="0" w:line="114" w:lineRule="exact"/>
        <w:rPr>
          <w:sz w:val="20"/>
          <w:szCs w:val="20"/>
          <w:color w:val="auto"/>
        </w:rPr>
      </w:pPr>
    </w:p>
    <w:p>
      <w:pPr>
        <w:ind w:firstLine="990"/>
        <w:spacing w:after="0" w:line="250" w:lineRule="auto"/>
        <w:tabs>
          <w:tab w:leader="none" w:pos="122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Bakkt Opco shall and shall cause its Subsidiaries to, upon reasonable notice and during regular business hours and at VIH’s sole expense, for any purpose reasonably related to the Transactions or to VIH’s prospective interest in Bakkt Opco or its Subsidiaries, afford to the authorized Representatives of VIH reasonable access to (i) the financial books and records of Bakkt Opco and its Subsidiaries and (ii) such additional financial and operating data and other information relating to the business and properties of Bakkt Opco and its Subsidiaries as VIH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not materially disrupt or burden the operations of Bakkt Opco and its Subsidiaries and VIH and its authorized Representatives shall use their respective commercially reasonable efforts to minimize any such disruption;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all such access shall be done in compliance with applicable Law and the social distancing requirements applicable to Bakkt Opco personnel. Notwithstanding anything to the contrary contained in this Agreement, neither Bakkt Opco nor any of its Subsidiaries shall be required pursuant to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to provide (i) any information or access that Bakkt Opco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buyers of Bakkt Opco and its Subsidiaries prior to the date of this Agreement or the negotiation of this Agreement and the Transaction Documents and the Transactions. VIH shall not contact or communicate with any of Bakkt Opco’s or any Subsidiaries’ customers, suppliers or employees (other than contact with employees to the extent permitted by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without Bakkt Opco’s prior written consent.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00"/>
          </w:cols>
          <w:pgMar w:left="480" w:top="268" w:right="519" w:bottom="1440" w:gutter="0" w:footer="0" w:header="0"/>
        </w:sectPr>
      </w:pPr>
    </w:p>
    <w:bookmarkStart w:id="64" w:name="page65"/>
    <w:bookmarkEnd w:id="64"/>
    <w:p>
      <w:pPr>
        <w:ind w:right="60" w:firstLine="990"/>
        <w:spacing w:after="0" w:line="251" w:lineRule="auto"/>
        <w:tabs>
          <w:tab w:leader="none" w:pos="12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During the Interim Period, VIH shall and shall cause Merger Sub to, upon reasonable notice and during regular business hours and at Bakkt Opco’s sole expense, afford to the authorized Representatives of Bakkt Opco reasonable access to (i) the financial books and records of VIH and Merger Sub and (ii) such additional financial and operating data and other information relating to the business and properties of VIH and Merger Sub as Bakkt Opco may reasonably request;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all such access shall be done in compliance with applicable Law. Notwithstanding anything to the contrary contained in this Agreement, neither VIH nor Merger Sub shall be required pursuant to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to provide (i) any information or access that VIH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targets of VIH or Merger Sub or the negotiation of this Agreement and the Transaction Documents and the Transactions.</w:t>
      </w:r>
    </w:p>
    <w:p>
      <w:pPr>
        <w:spacing w:after="0" w:line="82" w:lineRule="exact"/>
        <w:rPr>
          <w:rFonts w:ascii="Times New Roman" w:cs="Times New Roman" w:eastAsia="Times New Roman" w:hAnsi="Times New Roman"/>
          <w:sz w:val="18"/>
          <w:szCs w:val="18"/>
          <w:color w:val="auto"/>
        </w:rPr>
      </w:pPr>
    </w:p>
    <w:p>
      <w:pPr>
        <w:ind w:right="100" w:firstLine="990"/>
        <w:spacing w:after="0" w:line="255" w:lineRule="auto"/>
        <w:tabs>
          <w:tab w:leader="none" w:pos="122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VIH acknowledges and agrees that the Confidentiality Agreement, except as modified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hereof, remains in full force and effect and that information provided by Bakkt Opco or any of its Subsidiaries, any Bakkt Equity Holder or any Bakkt Equity Holder’s Affiliates to VIH pursuant to this Agreement prior to the Closing shall be treated in accordance with the Confidentiality Agreement. If this Agreement is terminated prior to the Closing, the Confidentiality Agreement, except as modified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hereof, shall remain in full force and effect in accordance with its terms. If the Closing occurs, the Confidentiality Agreement shall terminate effective as of the Closing.</w:t>
      </w:r>
    </w:p>
    <w:p>
      <w:pPr>
        <w:spacing w:after="0" w:line="77" w:lineRule="exact"/>
        <w:rPr>
          <w:rFonts w:ascii="Times New Roman" w:cs="Times New Roman" w:eastAsia="Times New Roman" w:hAnsi="Times New Roman"/>
          <w:sz w:val="18"/>
          <w:szCs w:val="18"/>
          <w:color w:val="auto"/>
        </w:rPr>
      </w:pPr>
    </w:p>
    <w:p>
      <w:pPr>
        <w:ind w:firstLine="990"/>
        <w:spacing w:after="0" w:line="251" w:lineRule="auto"/>
        <w:tabs>
          <w:tab w:leader="none" w:pos="12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each is aware, and each of their respective controlled Affiliates is aware (or upon receipt of any material nonpublic information of the other Party, will be advised), of the restrictions imposed by the United States federal securities Laws and other applicable foreign and domestic Laws on Persons possessing material nonpublic information about a public company. Each Party hereby agrees, that during the Interim Period, except in connection with or support of the transactions contemplated by this Agreement (including any communications with potential PIPE Investors),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VIH or the Majority Bakkt Equity Holder, communicate such information to any other Person or cause or encourage any Person to do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VIH, the foregoing shall only be deemed to apply to VIH and its controlled Affiliates, agents, professional advisors, employees and officers.</w:t>
      </w:r>
    </w:p>
    <w:p>
      <w:pPr>
        <w:spacing w:after="0" w:line="192" w:lineRule="exact"/>
        <w:rPr>
          <w:sz w:val="20"/>
          <w:szCs w:val="20"/>
          <w:color w:val="auto"/>
        </w:rPr>
      </w:pPr>
    </w:p>
    <w:p>
      <w:pPr>
        <w:ind w:right="80" w:firstLine="982"/>
        <w:spacing w:after="0" w:line="271"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Notification of Certain Matters</w:t>
      </w:r>
      <w:r>
        <w:rPr>
          <w:rFonts w:ascii="Times New Roman" w:cs="Times New Roman" w:eastAsia="Times New Roman" w:hAnsi="Times New Roman"/>
          <w:sz w:val="17"/>
          <w:szCs w:val="17"/>
          <w:color w:val="auto"/>
        </w:rPr>
        <w:t xml:space="preserve">. During the Interim Period, each Party shall give prompt notice (and, in any event, within five (5) Business Days) to the other Parties of any event which would reasonably be expected to cause any of the conditions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not to be fulfilled or the fulfillment of those conditions being materially delayed. The delivery of any notice pursuant to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shall in no circumstance be deemed to (i) modify the representations, warranties, covenants or agreements hereunder of the Party delivering such notice; (ii) modify any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(iii) cure or prevent any misrepresentation, inaccuracy, untruth or breach of any representation, warranty, covenant or agreement set forth in this Agreement or any Transaction Document or failure to satisfy any condition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480" w:top="268" w:right="499" w:bottom="1440" w:gutter="0" w:footer="0" w:header="0"/>
        </w:sectPr>
      </w:pPr>
    </w:p>
    <w:bookmarkStart w:id="65" w:name="page66"/>
    <w:bookmarkEnd w:id="65"/>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5.5 </w:t>
      </w:r>
      <w:r>
        <w:rPr>
          <w:rFonts w:ascii="Times New Roman" w:cs="Times New Roman" w:eastAsia="Times New Roman" w:hAnsi="Times New Roman"/>
          <w:sz w:val="18"/>
          <w:szCs w:val="18"/>
          <w:u w:val="single" w:color="auto"/>
          <w:color w:val="auto"/>
        </w:rPr>
        <w:t>Cause Conditions to be Satisfied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 Bakkt Opco shall, and Bakkt Opco shall cause its Subsidiaries to use reasonable best efforts to cause each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satisfied at or prior to the Closing (including, without limitation,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and (b) VIH and Merger Sub shall use reasonable best efforts to cause each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be satisfied at or prior to the Closing.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Prior to the earlier of the Closing and the termination of this Agreement in accordance with its terms:</w:t>
      </w:r>
    </w:p>
    <w:p>
      <w:pPr>
        <w:spacing w:after="0" w:line="114" w:lineRule="exact"/>
        <w:rPr>
          <w:sz w:val="20"/>
          <w:szCs w:val="20"/>
          <w:color w:val="auto"/>
        </w:rPr>
      </w:pPr>
    </w:p>
    <w:p>
      <w:pPr>
        <w:ind w:left="1240" w:hanging="250"/>
        <w:spacing w:after="0"/>
        <w:tabs>
          <w:tab w:leader="none" w:pos="12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shall cause the appropriate officers and employees thereof, to use reasonable best efforts to cooperate in connection with</w:t>
      </w:r>
    </w:p>
    <w:p>
      <w:pPr>
        <w:spacing w:after="0" w:line="25" w:lineRule="exact"/>
        <w:rPr>
          <w:rFonts w:ascii="Times New Roman" w:cs="Times New Roman" w:eastAsia="Times New Roman" w:hAnsi="Times New Roman"/>
          <w:sz w:val="18"/>
          <w:szCs w:val="18"/>
          <w:color w:val="auto"/>
        </w:rPr>
      </w:pPr>
    </w:p>
    <w:p>
      <w:pPr>
        <w:ind w:right="660" w:firstLine="7"/>
        <w:spacing w:after="0" w:line="262" w:lineRule="auto"/>
        <w:tabs>
          <w:tab w:leader="none" w:pos="25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of the PIPE Financing and (y) the marketing of the transactions contemplated by this Agreement and the other Transaction Documents in the public markets and/or with existing VIH Shareholders, in each case as may be reasonably requesting by VIH, including by</w:t>
      </w:r>
    </w:p>
    <w:p>
      <w:pPr>
        <w:spacing w:after="0" w:line="1" w:lineRule="exact"/>
        <w:rPr>
          <w:rFonts w:ascii="Times New Roman" w:cs="Times New Roman" w:eastAsia="Times New Roman" w:hAnsi="Times New Roman"/>
          <w:sz w:val="17"/>
          <w:szCs w:val="17"/>
          <w:color w:val="auto"/>
        </w:rPr>
      </w:pPr>
    </w:p>
    <w:p>
      <w:pPr>
        <w:ind w:right="80" w:firstLine="7"/>
        <w:spacing w:after="0" w:line="262" w:lineRule="auto"/>
        <w:tabs>
          <w:tab w:leader="none" w:pos="21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participating in meetings, presentations, calls, due diligence sessions, drafting sessions and sessions with actual or potential PIPE Investors at mutually agreeable times and locations and upon reasonable advance notice (including the participation in any relevant “roadshow”); (ii) assisting with the preparation of customary materials for actual or potential PIPE Investors, offering documents, private placement memoranda, prospectuses and similar documents required in connection with the PIPE Financing (which shall not include pro forma financial information); (iii) providing financial statements and such other financial information regarding Bakkt Opco and its Subsidiaries, that is readily available or within its possession; and</w:t>
      </w:r>
    </w:p>
    <w:p>
      <w:pPr>
        <w:spacing w:after="0" w:line="2"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reasonably cooperating with VIH’s efforts (including VIH’s reasonable requests) to consummate the PIPE Financing.</w:t>
      </w:r>
    </w:p>
    <w:p>
      <w:pPr>
        <w:spacing w:after="0" w:line="95" w:lineRule="exact"/>
        <w:rPr>
          <w:rFonts w:ascii="Times New Roman" w:cs="Times New Roman" w:eastAsia="Times New Roman" w:hAnsi="Times New Roman"/>
          <w:sz w:val="18"/>
          <w:szCs w:val="18"/>
          <w:color w:val="auto"/>
        </w:rPr>
      </w:pPr>
    </w:p>
    <w:p>
      <w:pPr>
        <w:ind w:firstLine="990"/>
        <w:spacing w:after="0" w:line="269" w:lineRule="auto"/>
        <w:tabs>
          <w:tab w:leader="none" w:pos="1235"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approved in writing by Bakkt Opco (which approval may be given or withheld by Bakkt Opco in its sole discretion), VIH shall not permit any amendment or modification to be made to, any waiver (in whole or in part) of, or provide consent to modify, the applicable purchase price per share or provide the applicable PIPE Investor any material post-Closing right in respect of the Surviving Company under any PIPE Subscription Agreement, in each case other than by termination of such PIPE Subscription Agreement (and a withdrawal of the applicable PIPE Investor) or a reduction in the PIPE Investor’s commitment under such PIPE Subscription Agreement (in which case, VIH shall provide Bakkt Opco prompt written notice of any such termination or reduction). In the event VIH determines to permit any other amendment or modification to be made to, any other waiver (in whole or in part) of, or provide any other consent to modify, any other material provision of any PIPE Subscription Agreement, VIH shall provide Bakkt Opco prompt written notice of any such amendment, modification, waiver or consent to modify.</w:t>
      </w:r>
    </w:p>
    <w:p>
      <w:pPr>
        <w:spacing w:after="0" w:line="173" w:lineRule="exact"/>
        <w:rPr>
          <w:sz w:val="20"/>
          <w:szCs w:val="20"/>
          <w:color w:val="auto"/>
        </w:rPr>
      </w:pPr>
    </w:p>
    <w:p>
      <w:pPr>
        <w:ind w:right="10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Governmental Consents and Filing of Notices</w:t>
      </w:r>
      <w:r>
        <w:rPr>
          <w:rFonts w:ascii="Times New Roman" w:cs="Times New Roman" w:eastAsia="Times New Roman" w:hAnsi="Times New Roman"/>
          <w:sz w:val="18"/>
          <w:szCs w:val="18"/>
          <w:color w:val="auto"/>
        </w:rPr>
        <w:t>. Each Party hereto shall, as promptly as reasonably practicable,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Transaction Documents (the “</w:t>
      </w:r>
      <w:r>
        <w:rPr>
          <w:rFonts w:ascii="Times New Roman" w:cs="Times New Roman" w:eastAsia="Times New Roman" w:hAnsi="Times New Roman"/>
          <w:sz w:val="18"/>
          <w:szCs w:val="18"/>
          <w:u w:val="single" w:color="auto"/>
          <w:color w:val="auto"/>
        </w:rPr>
        <w:t>Regulatory</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60"/>
          </w:cols>
          <w:pgMar w:left="480" w:top="268" w:right="559" w:bottom="1440" w:gutter="0" w:footer="0" w:header="0"/>
        </w:sectPr>
      </w:pPr>
    </w:p>
    <w:bookmarkStart w:id="66" w:name="page67"/>
    <w:bookmarkEnd w:id="66"/>
    <w:p>
      <w:pPr>
        <w:ind w:right="40"/>
        <w:spacing w:after="0" w:line="266"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Filings</w:t>
      </w:r>
      <w:r>
        <w:rPr>
          <w:rFonts w:ascii="Times New Roman" w:cs="Times New Roman" w:eastAsia="Times New Roman" w:hAnsi="Times New Roman"/>
          <w:sz w:val="17"/>
          <w:szCs w:val="17"/>
          <w:color w:val="auto"/>
        </w:rPr>
        <w:t>”), and to amend as necessary in connection with the Transactions any License Applications. Each Party shall use reasonable best efforts to cooperate fully with the other party and its Affiliates in promptly seeking to obtain all such consents, authorizations, orders and approvals and effect any such filing, withdrawal or amendment. With respect to the Regulatory Filings, each of Bakkt Opco and VIH agrees to use its reasonable best efforts and cooperate with the other parties (i) in timely making inquiries with Governmental Authorities regarding the Regulatory Filings, (ii) in determining if any Regulatory Filings are required by Governmental Authorities, and (iii) in timely making all Regulatory Filings (except with respect to such jurisdictions where the parties agree that a Regulatory Filing is not required). If VIH and Bakkt Opco determine that it is required for VIH to make any Regulatory Filing or otherwise provide information with respect to VIH or any VIH personnel to a Governmental Authority in connection with any License or License Application, then Bakkt Opco will, except as prohibited by applicable Law (in which case Bakkt Opco and/or its Subsidiaries, as applicable, will use commercially reasonable efforts to obtain any required permission to allow disclosure), timely provide, upon VIH’s reasonable request, relevant portions of all past filings and correspondence with Governmental Authorities with respect to any Licenses or License Applications related to such Regulatory Filing or information provision requirement that VIH and Bakkt Opco reasonably determine to be necessary to make a complete, accurate and timely Regulatory Filing or provision of information. The Parties hereto shall not willfully take any action that will have the effect of delaying, impairing or impeding in any material respect the receipt of any Regulatory Filings or any other required consents, authorizations, orders and approvals that, if not received, would have a material adverse impact on the business of the Bakkt Opco and its Subsidiaries, taken as a whole.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Registration Statement; VIH Shareholder Meeting; Information Statement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0" w:lineRule="auto"/>
        <w:tabs>
          <w:tab w:leader="none" w:pos="12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of this Agreement, VIH shall, with the assistance, cooperation and reasonable best efforts of Bakkt Opco, prepare and file a Registration Statement on Form S-4 with the SEC (as such filing is amended or supplemented, and including the Proxy Statement contained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with all other applicable regulatory bodies, for the purpose of registering the Bakkt Pubco Class A Shares and Bakkt Pubco Public Warrants to be issued or issuable in the Domestication, including the Bakkt Pubco Class A Shares issuable upon exercise of the Bakkt Pubco Public Warrants in accordance with their terms, which Registration Statement shall also contain a proxy statement (as amended,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for the purpose of (i) providing the VIH Shareholders with the opportunity to redeem their VIH Class A Shares as contemplated by the VIH Memorandum and Articles, the SEC Reports and the Trust Agreement and (ii) soliciting proxies from the VIH Shareholders to vote, at an extraordinary general meeting of the VIH Shareholders to be called and held for such purpose (the “</w:t>
      </w:r>
      <w:r>
        <w:rPr>
          <w:rFonts w:ascii="Times New Roman" w:cs="Times New Roman" w:eastAsia="Times New Roman" w:hAnsi="Times New Roman"/>
          <w:sz w:val="18"/>
          <w:szCs w:val="18"/>
          <w:u w:val="single" w:color="auto"/>
          <w:color w:val="auto"/>
        </w:rPr>
        <w:t>VIH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in favor of (A) the Domestication (including the adoption of the Bakkt Pubco Charter), (B) the adoption and approval of this Agreement and the Merger, (C) the adoption and approval of the Advisory Charter Proposals, (D) the adoption and approval of the Bakkt Pubco Equity Incentive Plan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(E) election of the members of the Post-Closing Bakkt Pubco Board in accordance with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(F) the approval of the issuance of Bakkt Pubco Class A Shares issuable pursuant to the PIPE Financing and approval of the issuance of Bakkt Pubco Class A Shares and Bakkt Pubco Class V Shares issuable to Bakkt Equity Holders pursuant this Agreement, if required under rules and regulations of the National Stock Exchange, (G) any other matters necessary or advisable to effect the consummation of the Transactions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Voting Matters</w:t>
      </w:r>
      <w:r>
        <w:rPr>
          <w:rFonts w:ascii="Times New Roman" w:cs="Times New Roman" w:eastAsia="Times New Roman" w:hAnsi="Times New Roman"/>
          <w:sz w:val="18"/>
          <w:szCs w:val="18"/>
          <w:color w:val="auto"/>
        </w:rPr>
        <w:t xml:space="preserve">”), and (H) the adjournment of the VIH Shareholder Meeting in accordance with </w:t>
      </w:r>
      <w:r>
        <w:rPr>
          <w:rFonts w:ascii="Times New Roman" w:cs="Times New Roman" w:eastAsia="Times New Roman" w:hAnsi="Times New Roman"/>
          <w:sz w:val="18"/>
          <w:szCs w:val="18"/>
          <w:u w:val="single" w:color="auto"/>
          <w:color w:val="auto"/>
        </w:rPr>
        <w:t>Section 5.8(f)</w:t>
      </w:r>
      <w:r>
        <w:rPr>
          <w:rFonts w:ascii="Times New Roman" w:cs="Times New Roman" w:eastAsia="Times New Roman" w:hAnsi="Times New Roman"/>
          <w:sz w:val="18"/>
          <w:szCs w:val="18"/>
          <w:color w:val="auto"/>
        </w:rPr>
        <w:t>, if necessary.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20"/>
          </w:cols>
          <w:pgMar w:left="480" w:top="268" w:right="499" w:bottom="1440" w:gutter="0" w:footer="0" w:header="0"/>
        </w:sectPr>
      </w:pPr>
    </w:p>
    <w:bookmarkStart w:id="67" w:name="page68"/>
    <w:bookmarkEnd w:id="67"/>
    <w:p>
      <w:pPr>
        <w:ind w:left="-100" w:firstLine="990"/>
        <w:spacing w:after="0" w:line="253" w:lineRule="auto"/>
        <w:tabs>
          <w:tab w:leader="none" w:pos="11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VIH shall comply in all material respects with all applicable Laws, any applicable rules and regulations of the National Stock Exchange, VIH Memorandum and Articles and this Agreement in the preparation, filing and distribution of the Registration Statement, any solicitation of proxies thereunder, the holding of the VIH Shareholder Meeting and the Redemption. Whenever any event occurs which would reasonably be expected to result in the Registration Statement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cooperate in filing with the SEC or its staff or any other government officials, and/or mailing to the VIH Shareholders, an amendment or supplement to the Registration Statement.</w:t>
      </w:r>
    </w:p>
    <w:p>
      <w:pPr>
        <w:spacing w:after="0" w:line="77" w:lineRule="exact"/>
        <w:rPr>
          <w:rFonts w:ascii="Times New Roman" w:cs="Times New Roman" w:eastAsia="Times New Roman" w:hAnsi="Times New Roman"/>
          <w:sz w:val="18"/>
          <w:szCs w:val="18"/>
          <w:color w:val="auto"/>
        </w:rPr>
      </w:pPr>
    </w:p>
    <w:p>
      <w:pPr>
        <w:ind w:left="-100" w:right="20" w:firstLine="990"/>
        <w:spacing w:after="0" w:line="250" w:lineRule="auto"/>
        <w:tabs>
          <w:tab w:leader="none" w:pos="11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(i) shall permit Bakkt Opco and its counsel to review and comment on the Registration Statement and any exhibits, amendments or supplements thereto (or other related documents), (ii) shall consider any such comments in good faith and shall accept all reasonable additions, deletions or changes suggested by Bakkt Opco and its counsel in connection therewith and (iii) shall not file the Registration Statement or any exhibit, amendment or supplement thereto without the prior written consent of Bakkt Opco, not to be unreasonably withheld, conditioned or delayed. As promptly as practicable after receipt thereof, VIH shall provide to Bakkt Opco and its counsel notice and a copy of all correspondence (or, to the extent such correspondence is oral, a complete summary thereof), including any comments from the SEC or its staff, between VIH or any of its Representatives, on the one hand, and the SEC, or its staff or other government officials, on the other hand, with respect to the Registration Statement, and, in each case, shall consult with Bakkt Opco and its counsel concerning any such correspondence. VIH shall not file any response letters to any comments from the SEC without the prior written consent of Bakkt Opco, such consent not to be unreasonably withheld, conditioned or delayed. VIH will advise Bakkt Opco, promptly after it receives notice thereof, of the time when the Registration Statement or any amendment or supplement thereto has been filed with the SEC, and the time when the Registration Statement is declared effective or any stop order relating to the Registration Statement is issued.</w:t>
      </w:r>
    </w:p>
    <w:p>
      <w:pPr>
        <w:spacing w:after="0" w:line="87" w:lineRule="exact"/>
        <w:rPr>
          <w:rFonts w:ascii="Times New Roman" w:cs="Times New Roman" w:eastAsia="Times New Roman" w:hAnsi="Times New Roman"/>
          <w:sz w:val="18"/>
          <w:szCs w:val="18"/>
          <w:color w:val="auto"/>
        </w:rPr>
      </w:pPr>
    </w:p>
    <w:p>
      <w:pPr>
        <w:ind w:left="-100" w:right="40" w:firstLine="990"/>
        <w:spacing w:after="0" w:line="251" w:lineRule="auto"/>
        <w:tabs>
          <w:tab w:leader="none" w:pos="11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with the assistance of Bakkt Opco, shall use its reasonable best efforts to cause the Registration Statement to comply with the rules and regulations promulgated by the SEC, to “clear” comments from the SEC and become effective as promptly as reasonably practicable. VIH, with the assistance of Bakkt Opco, also agrees to use its reasonable best efforts to obtain all necessary state securities law or “Blue Sky” permits and approvals required to carry out the transactions contemplated hereby, and Bakkt Opco shall furnish all information concerning Bakkt Opco, its Subsidiaries and any of its members or stockholders as may be reasonably requested in connection with any such action. As soon as reasonably practicable following the declaration of effectiveness of the Registration Statement, VIH shall distribute the Proxy Statement and other proxy materials included in the Registration Statement to the VIH Shareholders, and pursuant thereto, shall (i) call the VIH Shareholder Meeting in accordance with applicable Law and the VIH Memorandum and Articles on a date as soon as reasonably practicable following the effectiveness of the Registration Statement, and (ii) use its reasonable best efforts to solicit proxies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580" w:top="268" w:right="599" w:bottom="1440" w:gutter="0" w:footer="0" w:header="0"/>
        </w:sectPr>
      </w:pPr>
    </w:p>
    <w:bookmarkStart w:id="68" w:name="page69"/>
    <w:bookmarkEnd w:id="68"/>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from the VIH Shareholders to vote in favor of adoption and approval of this Agreement and the other Voting Matters (including by enforcing the VIH Sponsor Letter). VIH shall appoint an inspector of elections in connection with the VIH Shareholder Meeting, and cause such inspector of elections to deliver or caused to be delivered an affidavit or certificate verifying the vote of such VIH Shareholder Meeting to the Trustee in accordance with the terms of the Trust Agreement.</w:t>
      </w:r>
    </w:p>
    <w:p>
      <w:pPr>
        <w:spacing w:after="0" w:line="73" w:lineRule="exact"/>
        <w:rPr>
          <w:sz w:val="20"/>
          <w:szCs w:val="20"/>
          <w:color w:val="auto"/>
        </w:rPr>
      </w:pPr>
    </w:p>
    <w:p>
      <w:pPr>
        <w:ind w:firstLine="990"/>
        <w:spacing w:after="0" w:line="255" w:lineRule="auto"/>
        <w:tabs>
          <w:tab w:leader="none" w:pos="122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acting through the VIH Board, shall include in the Proxy Statement the recommendation of the VIH Board that the VIH Shareholders vote in favor of adoption and approval of this Agreement and the other Voting Matters and shall otherwise use its reasonable best efforts to obtain the VIH Shareholders’ Approval. Neither the VIH Board nor any committee or agent or Representative thereof shall withdraw (or modify in a manner adverse to Bakkt Opco), or propose to withdraw (or modify in a manner adverse to Bakkt Opco), the VIH Board’s recommendation that the VIH Shareholders vote in favor of adoption and approval of this Agreement and the other Voting Matters.</w:t>
      </w:r>
    </w:p>
    <w:p>
      <w:pPr>
        <w:spacing w:after="0" w:line="77" w:lineRule="exact"/>
        <w:rPr>
          <w:rFonts w:ascii="Times New Roman" w:cs="Times New Roman" w:eastAsia="Times New Roman" w:hAnsi="Times New Roman"/>
          <w:sz w:val="18"/>
          <w:szCs w:val="18"/>
          <w:color w:val="auto"/>
        </w:rPr>
      </w:pPr>
    </w:p>
    <w:p>
      <w:pPr>
        <w:ind w:right="140" w:firstLine="990"/>
        <w:spacing w:after="0" w:line="267" w:lineRule="auto"/>
        <w:tabs>
          <w:tab w:leader="none" w:pos="120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VIH shall be entitled to postpone or adjourn the VIH Shareholder Meeting (i) to ensure that any supplement or amendment to the Registration Statement that the VIH Board has determined in good faith is required by applicable Law is disclosed to the Public Stockholders and for such supplement or amendment to be promptly disseminated to the Public Stockholders prior to the VIH Shareholder Meeting, (ii) if, as of the time for which the VIH Shareholder Meeting is originally scheduled (as set forth in the Registration Statement), there are insufficient VIH Ordinary Shares represented (either in person or by proxy) to constitute a quorum necessary to conduct the business to be conducted at the VIH Shareholder Meeting or</w:t>
      </w:r>
    </w:p>
    <w:p>
      <w:pPr>
        <w:spacing w:after="0" w:line="1" w:lineRule="exact"/>
        <w:rPr>
          <w:rFonts w:ascii="Times New Roman" w:cs="Times New Roman" w:eastAsia="Times New Roman" w:hAnsi="Times New Roman"/>
          <w:sz w:val="17"/>
          <w:szCs w:val="17"/>
          <w:color w:val="auto"/>
        </w:rPr>
      </w:pPr>
    </w:p>
    <w:p>
      <w:pPr>
        <w:ind w:right="40" w:firstLine="7"/>
        <w:spacing w:after="0" w:line="270" w:lineRule="auto"/>
        <w:tabs>
          <w:tab w:leader="none" w:pos="31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no more than three (3) occasions, as reasonably determined to be necessary or desirable by VIH;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no event shall VIH postpone or adjourn the VIH Shareholder Meeting beyond the date that is ten (10) Business Days prior to the Termination Date without the prior written consent of Bakkt Opco;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the event of a postponement or adjournment pursuant to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(ii) above, the VIH Shareholder Meeting shall be reconvened as promptly as practicable following such time as the matters described in such clauses have been resolved.</w:t>
      </w:r>
    </w:p>
    <w:p>
      <w:pPr>
        <w:spacing w:after="0" w:line="64" w:lineRule="exact"/>
        <w:rPr>
          <w:rFonts w:ascii="Times New Roman" w:cs="Times New Roman" w:eastAsia="Times New Roman" w:hAnsi="Times New Roman"/>
          <w:sz w:val="17"/>
          <w:szCs w:val="17"/>
          <w:color w:val="auto"/>
        </w:rPr>
      </w:pPr>
    </w:p>
    <w:p>
      <w:pPr>
        <w:ind w:right="100" w:firstLine="990"/>
        <w:spacing w:after="0" w:line="267" w:lineRule="auto"/>
        <w:tabs>
          <w:tab w:leader="none" w:pos="123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but in any event within (i) twenty-four (24) hours after the execution hereof, in connection with the delivery of the Initial Bakkt Equity Holder Support Agreement, the Majority Bakkt Equity Holder shall have delivered, in the form of a written consent (“</w:t>
      </w:r>
      <w:r>
        <w:rPr>
          <w:rFonts w:ascii="Times New Roman" w:cs="Times New Roman" w:eastAsia="Times New Roman" w:hAnsi="Times New Roman"/>
          <w:sz w:val="17"/>
          <w:szCs w:val="17"/>
          <w:u w:val="single" w:color="auto"/>
          <w:color w:val="auto"/>
        </w:rPr>
        <w:t>Written Consent</w:t>
      </w:r>
      <w:r>
        <w:rPr>
          <w:rFonts w:ascii="Times New Roman" w:cs="Times New Roman" w:eastAsia="Times New Roman" w:hAnsi="Times New Roman"/>
          <w:sz w:val="17"/>
          <w:szCs w:val="17"/>
          <w:color w:val="auto"/>
        </w:rPr>
        <w:t>”) pursuant to Section 18-302 of the DLLCA and Section 9.5 of the Bakkt Opco LLC Agreement (in the form attached to the Initial Bakkt Equity Holder Support Agreement) and (ii) within seven (7) days after the execution hereof, the Bakkt Equity Holders holding, together with persons delivering the Initial Bakkt Equity Holders Support Agreement, sufficient Bakkt Interests to obtain the Bakkt Equity Holders Approval shall, in connection with the delivery of the Support Agreements, deliver a written consent pursuant to Section 18-302 of the DLLCA and Section 9.5 of the Bakkt Opco LLC Agreement (in the form attached to the Support Agreements) constituting the Bakkt Equity Holders Approval to VIH. On or prior to the seventh (7th) Business Day following the date hereof, Bakkt Opco will deliver an information statement (the “</w:t>
      </w:r>
      <w:r>
        <w:rPr>
          <w:rFonts w:ascii="Times New Roman" w:cs="Times New Roman" w:eastAsia="Times New Roman" w:hAnsi="Times New Roman"/>
          <w:sz w:val="17"/>
          <w:szCs w:val="17"/>
          <w:u w:val="single" w:color="auto"/>
          <w:color w:val="auto"/>
        </w:rPr>
        <w:t>Information Statement</w:t>
      </w:r>
      <w:r>
        <w:rPr>
          <w:rFonts w:ascii="Times New Roman" w:cs="Times New Roman" w:eastAsia="Times New Roman" w:hAnsi="Times New Roman"/>
          <w:sz w:val="17"/>
          <w:szCs w:val="17"/>
          <w:color w:val="auto"/>
        </w:rPr>
        <w:t>”), in a form reasonably acceptable to Bakkt Opco or VIH, to each Bakkt Equity Holder who has not executed a Written Consent pursuant to Section 18-302 of the DLLCA and Section 9.5 of the Bakkt Opco LLC Agreement in connection with the solicitation of their signatures to a Written Consent. VIH will as promptly as practicable provide information regarding VIH and Merger Sub reasonably requested by Bakkt Opco for inclusion in the Information Statement,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-1736090</wp:posOffset>
            </wp:positionV>
            <wp:extent cx="1663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00"/>
          </w:cols>
          <w:pgMar w:left="480" w:top="268" w:right="51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information shall be subject to the Confidentiality Agreement and shall be true and correct in all material respects. Bakkt Opco, acting through the Board of Managers of Bakkt Opco, shall include in the Information Statement and the Written Consent the recommendation of the Board of Managers of Bakkt Opco that the Bakkt Equity Holders vote (by executing a Written Consent) in favor of adoption and approval of this Agreement, the other Transaction Documents, the Merger and the other Transactions and shall otherwise use its commercially reasonable efforts to obtain the Bakkt Equity Holder Approval. Neither the Board of Managers of Bakkt Opco nor any committee or agent or Representative thereof shall withdraw (or modify in a manner adverse to VIH), or propose to withdraw (or modify in a manner adverse to VIH), Bakkt Opco’s Board of Managers’ recommendation that the Bakkt Equity Holders vote (by executing a Written Consent) in favor of adoption and approval of this Agreement, the other Transaction Documents, the Merger and the other Transactions.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Disclosure Information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66" w:lineRule="auto"/>
        <w:tabs>
          <w:tab w:leader="none" w:pos="122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or as required by applicable Law, none of the Parties shall make any disclosure or permit any of their respective Affiliates to make any public disclosure (whether or not in response to an inquiry) of the subject matter of this Agreement unless previously approved by VIH and Bakkt Opco in writing, which approval shall not be unreasonably conditioned, withheld or delayed. VIH and Bakkt Opco shall mutually agree upon and, as promptly as practicable after the execution of this Agreement, issue a press release announcing the execution of this Agreement (the “</w:t>
      </w:r>
      <w:r>
        <w:rPr>
          <w:rFonts w:ascii="Times New Roman" w:cs="Times New Roman" w:eastAsia="Times New Roman" w:hAnsi="Times New Roman"/>
          <w:sz w:val="17"/>
          <w:szCs w:val="17"/>
          <w:u w:val="single" w:color="auto"/>
          <w:color w:val="auto"/>
        </w:rPr>
        <w:t>Signing Press Release</w:t>
      </w:r>
      <w:r>
        <w:rPr>
          <w:rFonts w:ascii="Times New Roman" w:cs="Times New Roman" w:eastAsia="Times New Roman" w:hAnsi="Times New Roman"/>
          <w:sz w:val="17"/>
          <w:szCs w:val="17"/>
          <w:color w:val="auto"/>
        </w:rPr>
        <w:t>”). VIH, Bakkt Opco and Bakkt Opco shall cooperate in good faith with respect to the prompt preparation of, and, as promptly as practicable after the execution of this Agreement (but in any event within four (4) Business Days thereafter), VIH shall file with the SEC, a Current Report on Form 8-K pursuant to the Exchange Act to report the execution of this Agreement (the “</w:t>
      </w:r>
      <w:r>
        <w:rPr>
          <w:rFonts w:ascii="Times New Roman" w:cs="Times New Roman" w:eastAsia="Times New Roman" w:hAnsi="Times New Roman"/>
          <w:sz w:val="17"/>
          <w:szCs w:val="17"/>
          <w:u w:val="single" w:color="auto"/>
          <w:color w:val="auto"/>
        </w:rPr>
        <w:t>Announcement 8-K</w:t>
      </w:r>
      <w:r>
        <w:rPr>
          <w:rFonts w:ascii="Times New Roman" w:cs="Times New Roman" w:eastAsia="Times New Roman" w:hAnsi="Times New Roman"/>
          <w:sz w:val="17"/>
          <w:szCs w:val="17"/>
          <w:color w:val="auto"/>
        </w:rPr>
        <w:t>”). Prior to Closing, VIH and Bakkt Opco shall mutually agree upon and prepare the press release announcing the consummation of the Transactions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Press Release</w:t>
      </w:r>
      <w:r>
        <w:rPr>
          <w:rFonts w:ascii="Times New Roman" w:cs="Times New Roman" w:eastAsia="Times New Roman" w:hAnsi="Times New Roman"/>
          <w:sz w:val="17"/>
          <w:szCs w:val="17"/>
          <w:color w:val="auto"/>
        </w:rPr>
        <w:t>”). Concurrently with or promptly after the Closing, VIH shall issue the Closing Press Release. VIH and Bakkt Opco shall cooperate in good faith with respect to the preparation of, and, at least five (5) days prior to the Closing, VIH shall prepare a draft Form 8-K announcing the Closing, together with, or incorporating by reference, the required pro forma financial statements and the historical financial statements prepared by Bakkt Opco and its accountant and the other “Form 10” information required to be included therein (the “</w:t>
      </w:r>
      <w:r>
        <w:rPr>
          <w:rFonts w:ascii="Times New Roman" w:cs="Times New Roman" w:eastAsia="Times New Roman" w:hAnsi="Times New Roman"/>
          <w:sz w:val="17"/>
          <w:szCs w:val="17"/>
          <w:u w:val="single" w:color="auto"/>
          <w:color w:val="auto"/>
        </w:rPr>
        <w:t>Completion 8-K</w:t>
      </w:r>
      <w:r>
        <w:rPr>
          <w:rFonts w:ascii="Times New Roman" w:cs="Times New Roman" w:eastAsia="Times New Roman" w:hAnsi="Times New Roman"/>
          <w:sz w:val="17"/>
          <w:szCs w:val="17"/>
          <w:color w:val="auto"/>
        </w:rPr>
        <w:t>”). Concurrently with the Closing, or as soon as practicable (but in any event within four (4) Business Days) thereafter, Bakkt Pubco shall file the Completion 8-K with the SEC.</w:t>
      </w:r>
    </w:p>
    <w:p>
      <w:pPr>
        <w:spacing w:after="0" w:line="72" w:lineRule="exact"/>
        <w:rPr>
          <w:rFonts w:ascii="Times New Roman" w:cs="Times New Roman" w:eastAsia="Times New Roman" w:hAnsi="Times New Roman"/>
          <w:sz w:val="17"/>
          <w:szCs w:val="17"/>
          <w:color w:val="auto"/>
        </w:rPr>
      </w:pPr>
    </w:p>
    <w:p>
      <w:pPr>
        <w:ind w:right="160" w:firstLine="990"/>
        <w:spacing w:after="0" w:line="253" w:lineRule="auto"/>
        <w:tabs>
          <w:tab w:leader="none" w:pos="12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shall provide VIH as promptly as reasonably practicable prior to the filing of the Registration Statement (or the Completion 8-K, as applicable) with the SEC, (i) an audited consolidated balance sheet of Bakkt Opco as of December 31, 2019, and as soon as reasonably practicable after the filing of the Registration Statement, an audited consolidated balance sheet of Bakkt Opco as of December 31, 2020, in each case together with related audited consolidated statements of operations, members’ equity and cash flows for the fiscal year ended on such dates, together with all related notes and schedules thereto, accompanied by the reports thereon of Bakkt Opco’s independent auditors (which reports shall be unqualified), prepared in accordance with GAAP, applied on a consistent basis throughout the covered periods, and Regulation S-X of the SEC and in each case, audited in accordance with the standards of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480" w:top="268" w:right="499" w:bottom="1440" w:gutter="0" w:footer="0" w:header="0"/>
        </w:sectPr>
      </w:pPr>
    </w:p>
    <w:bookmarkStart w:id="70" w:name="page71"/>
    <w:bookmarkEnd w:id="70"/>
    <w:p>
      <w:pPr>
        <w:ind w:right="3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PCAOB (the “</w:t>
      </w:r>
      <w:r>
        <w:rPr>
          <w:rFonts w:ascii="Times New Roman" w:cs="Times New Roman" w:eastAsia="Times New Roman" w:hAnsi="Times New Roman"/>
          <w:sz w:val="17"/>
          <w:szCs w:val="17"/>
          <w:u w:val="single" w:color="auto"/>
          <w:color w:val="auto"/>
        </w:rPr>
        <w:t>PCAOB Financial Statements</w:t>
      </w:r>
      <w:r>
        <w:rPr>
          <w:rFonts w:ascii="Times New Roman" w:cs="Times New Roman" w:eastAsia="Times New Roman" w:hAnsi="Times New Roman"/>
          <w:sz w:val="17"/>
          <w:szCs w:val="17"/>
          <w:color w:val="auto"/>
        </w:rPr>
        <w:t>”), (ii) all other audited and unaudited financial statements of Bakkt Opco and any company or business units acquired by it, as applicable, required under the applicable rules and regulations and guidance of the SEC to be included in the Registration Statement, including the Proxy Statement, and/or the Completion 8-K (including pro forma financial information), (iii) all selected financial data of Bakkt Opco required by Item 301 of Regulation S-K, as necessary for inclusion in the Registration Statement and Completion 8-K and</w:t>
      </w:r>
    </w:p>
    <w:p>
      <w:pPr>
        <w:spacing w:after="0" w:line="2" w:lineRule="exact"/>
        <w:rPr>
          <w:sz w:val="20"/>
          <w:szCs w:val="20"/>
          <w:color w:val="auto"/>
        </w:rPr>
      </w:pPr>
    </w:p>
    <w:p>
      <w:pPr>
        <w:ind w:right="80" w:firstLine="7"/>
        <w:spacing w:after="0" w:line="252" w:lineRule="auto"/>
        <w:tabs>
          <w:tab w:leader="none" w:pos="30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prepared in accordance with Item 303 of Regulation S-K of the SEC with respect to the periods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above, as necessary for inclusion in the Registration Statement and Completion 8-K (including pro forma financial information).</w:t>
      </w:r>
    </w:p>
    <w:p>
      <w:pPr>
        <w:spacing w:after="0" w:line="78" w:lineRule="exact"/>
        <w:rPr>
          <w:rFonts w:ascii="Times New Roman" w:cs="Times New Roman" w:eastAsia="Times New Roman" w:hAnsi="Times New Roman"/>
          <w:sz w:val="18"/>
          <w:szCs w:val="18"/>
          <w:color w:val="auto"/>
        </w:rPr>
      </w:pPr>
    </w:p>
    <w:p>
      <w:pPr>
        <w:ind w:firstLine="990"/>
        <w:spacing w:after="0" w:line="251" w:lineRule="auto"/>
        <w:tabs>
          <w:tab w:leader="none" w:pos="122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in connection with the preparation of the Registration Statement, Announcement 8-K, the Completion 8-K, the Signing Press Release, the Closing Press Release or any other statement, filing, notice or application (including any amendments or supplements thereto) made by or on behalf of VIH, Merger Sub or Bakkt Opco to any Governmental Authority in connection with the Transactions (each, a “</w:t>
      </w:r>
      <w:r>
        <w:rPr>
          <w:rFonts w:ascii="Times New Roman" w:cs="Times New Roman" w:eastAsia="Times New Roman" w:hAnsi="Times New Roman"/>
          <w:sz w:val="18"/>
          <w:szCs w:val="18"/>
          <w:u w:val="single" w:color="auto"/>
          <w:color w:val="auto"/>
        </w:rPr>
        <w:t>Reviewable Document</w:t>
      </w:r>
      <w:r>
        <w:rPr>
          <w:rFonts w:ascii="Times New Roman" w:cs="Times New Roman" w:eastAsia="Times New Roman" w:hAnsi="Times New Roman"/>
          <w:sz w:val="18"/>
          <w:szCs w:val="18"/>
          <w:color w:val="auto"/>
        </w:rPr>
        <w:t xml:space="preserve">”), VIH and Bakkt Opco shall, upon request by the other, furnish the other with all information concerning themselves, their respective directors, managers, officers and shareholders (including the directors to be elected to the Post-Closing Bakkt Pubco Board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hereof), assets, Liabilities, condition (financial or otherwise), business, operations and such other matters as may be reasonably necessary or advisable in connection with the preparation of such materials, which information provided shall not contain any untrue statement of a material fact or omit to state a material fact necessary in order to make the statements made, in light of the circumstances under which they were made, not materially misleading.</w:t>
      </w:r>
    </w:p>
    <w:p>
      <w:pPr>
        <w:spacing w:after="0" w:line="84" w:lineRule="exact"/>
        <w:rPr>
          <w:rFonts w:ascii="Times New Roman" w:cs="Times New Roman" w:eastAsia="Times New Roman" w:hAnsi="Times New Roman"/>
          <w:sz w:val="18"/>
          <w:szCs w:val="18"/>
          <w:color w:val="auto"/>
        </w:rPr>
      </w:pPr>
    </w:p>
    <w:p>
      <w:pPr>
        <w:ind w:right="20" w:firstLine="990"/>
        <w:spacing w:after="0" w:line="255" w:lineRule="auto"/>
        <w:tabs>
          <w:tab w:leader="none" w:pos="123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event occurs which would reasonably be expected to result in any Reviewable Document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shall furnish to the other party any information reasonably related to such event and any information reasonably necessary or advisable in order to prepare an amendment or supplement to such Reviewable Document in order to correct such untruth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-2205990</wp:posOffset>
            </wp:positionV>
            <wp:extent cx="166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164" w:lineRule="exact"/>
        <w:rPr>
          <w:sz w:val="20"/>
          <w:szCs w:val="20"/>
          <w:color w:val="auto"/>
        </w:rPr>
      </w:pPr>
    </w:p>
    <w:p>
      <w:pPr>
        <w:ind w:right="30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Securities Listing</w:t>
      </w:r>
      <w:r>
        <w:rPr>
          <w:rFonts w:ascii="Times New Roman" w:cs="Times New Roman" w:eastAsia="Times New Roman" w:hAnsi="Times New Roman"/>
          <w:sz w:val="18"/>
          <w:szCs w:val="18"/>
          <w:color w:val="auto"/>
        </w:rPr>
        <w:t>. VIH shall use its reasonable best efforts to cause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to be approved for listing on the National Stock Exchange as of the Closing.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380" w:firstLine="990"/>
        <w:spacing w:after="0" w:line="263" w:lineRule="auto"/>
        <w:tabs>
          <w:tab w:leader="none" w:pos="122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 an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inquiry, proposal or offer, or any indication of interest in making an offer or proposal, written or oral, from any Person or group (other than, with respect to Bakkt Opco, VIH and the VIH Sponsor (or their respective Representatives, acting in their capacity as such) or, with respect to VIH, Bakkt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480" w:top="268" w:right="499" w:bottom="1440" w:gutter="0" w:footer="0" w:header="0"/>
        </w:sectPr>
      </w:pPr>
    </w:p>
    <w:bookmarkStart w:id="71" w:name="page72"/>
    <w:bookmarkEnd w:id="71"/>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Opco) at any time relating to an Alternative Transaction, and (ii) an “</w:t>
      </w:r>
      <w:r>
        <w:rPr>
          <w:rFonts w:ascii="Times New Roman" w:cs="Times New Roman" w:eastAsia="Times New Roman" w:hAnsi="Times New Roman"/>
          <w:sz w:val="17"/>
          <w:szCs w:val="17"/>
          <w:u w:val="single" w:color="auto"/>
          <w:color w:val="auto"/>
        </w:rPr>
        <w:t>Alternative Transaction</w:t>
      </w:r>
      <w:r>
        <w:rPr>
          <w:rFonts w:ascii="Times New Roman" w:cs="Times New Roman" w:eastAsia="Times New Roman" w:hAnsi="Times New Roman"/>
          <w:sz w:val="17"/>
          <w:szCs w:val="17"/>
          <w:color w:val="auto"/>
        </w:rPr>
        <w:t xml:space="preserve">” means (A) any issuance, sale, pledge, disposal of, grant, transfer or encumbrance of any of the Bakkt Opco’s or any of its Subsidiaries’ Equity Interests or any merger, sale of substantial assets, liquidation, dissolution, reorganization, financing, refinancing, recapitalization, or similar transaction involving Bakkt Opco and/or any of its Subsidiaries, or any other transaction that would impede, delay, interfere with or prevent the consummation of the transactions contemplated by this Agreement and the other Transaction Documents, other than issuances of Equity Interests not prohibited by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and assets sold in the ordinary course of business and</w:t>
      </w:r>
    </w:p>
    <w:p>
      <w:pPr>
        <w:spacing w:after="0" w:line="1" w:lineRule="exact"/>
        <w:rPr>
          <w:sz w:val="20"/>
          <w:szCs w:val="20"/>
          <w:color w:val="auto"/>
        </w:rPr>
      </w:pPr>
    </w:p>
    <w:p>
      <w:pPr>
        <w:ind w:left="280" w:hanging="273"/>
        <w:spacing w:after="0"/>
        <w:tabs>
          <w:tab w:leader="none" w:pos="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VIH, a transaction (other than the Transactions) concerning a Business Combination.</w:t>
      </w:r>
    </w:p>
    <w:p>
      <w:pPr>
        <w:spacing w:after="0" w:line="95" w:lineRule="exact"/>
        <w:rPr>
          <w:rFonts w:ascii="Times New Roman" w:cs="Times New Roman" w:eastAsia="Times New Roman" w:hAnsi="Times New Roman"/>
          <w:sz w:val="18"/>
          <w:szCs w:val="18"/>
          <w:color w:val="auto"/>
        </w:rPr>
      </w:pPr>
    </w:p>
    <w:p>
      <w:pPr>
        <w:ind w:right="320" w:firstLine="990"/>
        <w:spacing w:after="0" w:line="274" w:lineRule="auto"/>
        <w:tabs>
          <w:tab w:leader="none" w:pos="123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Interim Period, in order to induce the other Parties to continue to commit to expend management time and financial resources in furtherance of the Transactions, neither Bakkt Opco nor VIH shall, and each shall cause its Representatives to not, directly or indirectly,</w:t>
      </w:r>
    </w:p>
    <w:p>
      <w:pPr>
        <w:ind w:right="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take any action to solicit, assist, initiate or facilitate the making, submission or announcement of, or encourage, any Acquisition Proposal or Alternative Transaction, (ii) furnish, or afford access to, (including through any virtual data room) any information regarding such Party or its Affiliates or their respective businesses, operations, assets, Liabilities, financial condition, books and records, prospects or employees to any Person or group (other than a Party to this Agreement or their respective Representatives (other than the Majority Bakkt Equity Holder)) in all cases for the purpose of assisting with or facilitating, or that would otherwise reasonably be expected to lead to, an Acquisition Proposal or Alternative Transaction, (iii) enter into, continue, engage or participate in discussions or negotiations with any Person or group with respect to, or that would reasonably be expected to lead to, an Acquisition Proposal or Alternative Transaction, (iv) approve, endorse or recommend, or publicly propose to approve, endorse or recommend, any Acquisition Proposal or Alternative Transaction, (v) enter into an Alternative Transaction or negotiate or enter into any agreement, arrangement or understanding (including any letter of intent or term sheet) relating to an Alternative Transaction or publicly announce an intention to do so, or (vi) release any third Person from, or waive any provision of, any confidentiality agreement to which such Party is a party.</w:t>
      </w:r>
    </w:p>
    <w:p>
      <w:pPr>
        <w:spacing w:after="0" w:line="80" w:lineRule="exact"/>
        <w:rPr>
          <w:rFonts w:ascii="Times New Roman" w:cs="Times New Roman" w:eastAsia="Times New Roman" w:hAnsi="Times New Roman"/>
          <w:sz w:val="17"/>
          <w:szCs w:val="17"/>
          <w:color w:val="auto"/>
        </w:rPr>
      </w:pPr>
    </w:p>
    <w:p>
      <w:pPr>
        <w:ind w:right="20" w:firstLine="990"/>
        <w:spacing w:after="0" w:line="268" w:lineRule="auto"/>
        <w:tabs>
          <w:tab w:leader="none" w:pos="122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shall notify the others as reasonably promptly as practicable (and in any event within forty-eight (48) hours) in writing of the receipt by such Party or any of its Representatives of (i) any inquiries, proposals or offers, requests for information or requests for discussions or negotiations regarding or constituting any Acquisition Proposal or any inquiries, proposals or offers, requests for information or requests for discussions or negotiations that could reasonably be expected to result in an Acquisition Proposal, and (ii) any request for information relating to such Party or its Affiliates, specifying in each case, the material terms and conditions thereof (including a copy thereof if in writing or a written summary thereof if oral) and the identity of the party making such inquiry, proposal, offer or request for information. Each Party shall keep the others promptly informed of the status of any such inquiries, proposals, offers or requests for information. During the Interim Period, each Party shall, and shall cause its Representatives to, immediately cease and cause to be terminated any solicitations, discussions or negotiations with any Person with respect to any Acquisition Proposal. For purposes of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the term “Affiliates” shall exclude any special purpose acquisition companies that are Affiliates of VIH.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480" w:top="268" w:right="499" w:bottom="1440" w:gutter="0" w:footer="0" w:header="0"/>
        </w:sectPr>
      </w:pPr>
    </w:p>
    <w:bookmarkStart w:id="72" w:name="page73"/>
    <w:bookmarkEnd w:id="7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5.12 </w:t>
      </w:r>
      <w:r>
        <w:rPr>
          <w:rFonts w:ascii="Times New Roman" w:cs="Times New Roman" w:eastAsia="Times New Roman" w:hAnsi="Times New Roman"/>
          <w:sz w:val="18"/>
          <w:szCs w:val="18"/>
          <w:u w:val="single" w:color="auto"/>
          <w:color w:val="auto"/>
        </w:rPr>
        <w:t>Post-Closing Board of Directors and Executive Officers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990"/>
        <w:spacing w:after="0" w:line="251" w:lineRule="auto"/>
        <w:tabs>
          <w:tab w:leader="none" w:pos="120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necessary action, including causing the directors of VIH to resign, so that effective as of the Closing, the board of directors of Bakkt Pubco (the “</w:t>
      </w:r>
      <w:r>
        <w:rPr>
          <w:rFonts w:ascii="Times New Roman" w:cs="Times New Roman" w:eastAsia="Times New Roman" w:hAnsi="Times New Roman"/>
          <w:sz w:val="18"/>
          <w:szCs w:val="18"/>
          <w:u w:val="single" w:color="auto"/>
          <w:color w:val="auto"/>
        </w:rPr>
        <w:t>Post-Closing Bakkt Pubco Board</w:t>
      </w:r>
      <w:r>
        <w:rPr>
          <w:rFonts w:ascii="Times New Roman" w:cs="Times New Roman" w:eastAsia="Times New Roman" w:hAnsi="Times New Roman"/>
          <w:sz w:val="18"/>
          <w:szCs w:val="18"/>
          <w:color w:val="auto"/>
        </w:rPr>
        <w:t>”) will consist of five to seven (5 to 7) members, with one (1) designated by Bakkt Opco, one (1) designated by the VIH Sponsor, and the remaining members to appointed jointly by Bakkt Opco and the VIH Sponsor (collectively, the “</w:t>
      </w:r>
      <w:r>
        <w:rPr>
          <w:rFonts w:ascii="Times New Roman" w:cs="Times New Roman" w:eastAsia="Times New Roman" w:hAnsi="Times New Roman"/>
          <w:sz w:val="18"/>
          <w:szCs w:val="18"/>
          <w:u w:val="single" w:color="auto"/>
          <w:color w:val="auto"/>
        </w:rPr>
        <w:t>Post-Closing Directors</w:t>
      </w:r>
      <w:r>
        <w:rPr>
          <w:rFonts w:ascii="Times New Roman" w:cs="Times New Roman" w:eastAsia="Times New Roman" w:hAnsi="Times New Roman"/>
          <w:sz w:val="18"/>
          <w:szCs w:val="18"/>
          <w:color w:val="auto"/>
        </w:rPr>
        <w:t>”). The directors to be designated jointly by Bakkt Opco and the VIH Sponsor shall include (i) a majority of “independent” directors for purposes of the listing rules of the exchange on which the Bakkt Pubco Class A Shares are traded and (ii) at least three qualified members of the audit committee of the Post-Closing Bakkt Pubco Board (with one (1) of such persons being an audit committee financial expert). Bakkt Pubco will not avail itself of any grace periods or “controlled company” exemptions provided by the listing rules of the exchange on which the Bakkt Pubco Class A Shares are traded applicable to the initial Post-Closing Bakkt Pubco Board. At the Closing, Bakkt Pubco will execute and deliver to each Post-Closing Director a customary director indemnification agreement, in form and substance reasonably acceptable to Bakkt Opco and VIH. In accordance with the Organizational Documents of Bakkt Pubco as in effect as of the Closing, the Parties acknowledge and agree that the Post-Closing Bakkt Pubco Board will be a classified board with three classes of directors, with:</w:t>
      </w:r>
    </w:p>
    <w:p>
      <w:pPr>
        <w:spacing w:after="0" w:line="79" w:lineRule="exact"/>
        <w:rPr>
          <w:rFonts w:ascii="Times New Roman" w:cs="Times New Roman" w:eastAsia="Times New Roman" w:hAnsi="Times New Roman"/>
          <w:sz w:val="18"/>
          <w:szCs w:val="18"/>
          <w:color w:val="auto"/>
        </w:rPr>
      </w:pPr>
    </w:p>
    <w:p>
      <w:pPr>
        <w:ind w:left="420" w:right="20" w:firstLine="947"/>
        <w:spacing w:after="0" w:line="255" w:lineRule="auto"/>
        <w:tabs>
          <w:tab w:leader="none" w:pos="157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class of directors (the “</w:t>
      </w:r>
      <w:r>
        <w:rPr>
          <w:rFonts w:ascii="Times New Roman" w:cs="Times New Roman" w:eastAsia="Times New Roman" w:hAnsi="Times New Roman"/>
          <w:sz w:val="18"/>
          <w:szCs w:val="18"/>
          <w:u w:val="single" w:color="auto"/>
          <w:color w:val="auto"/>
        </w:rPr>
        <w:t>Class I Directors</w:t>
      </w:r>
      <w:r>
        <w:rPr>
          <w:rFonts w:ascii="Times New Roman" w:cs="Times New Roman" w:eastAsia="Times New Roman" w:hAnsi="Times New Roman"/>
          <w:sz w:val="18"/>
          <w:szCs w:val="18"/>
          <w:color w:val="auto"/>
        </w:rPr>
        <w:t>”), initially serving a term effective from the Closing until the first annual meeting of the stockholders of Bakkt Pubco held after the Closing (but any subsequent Class I Directors serving a three (3)-year term), with the Class 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w:t>
      </w:r>
    </w:p>
    <w:p>
      <w:pPr>
        <w:spacing w:after="0" w:line="77" w:lineRule="exact"/>
        <w:rPr>
          <w:rFonts w:ascii="Times New Roman" w:cs="Times New Roman" w:eastAsia="Times New Roman" w:hAnsi="Times New Roman"/>
          <w:sz w:val="18"/>
          <w:szCs w:val="18"/>
          <w:color w:val="auto"/>
        </w:rPr>
      </w:pPr>
    </w:p>
    <w:p>
      <w:pPr>
        <w:ind w:left="420" w:right="60" w:firstLine="947"/>
        <w:spacing w:after="0" w:line="263" w:lineRule="auto"/>
        <w:tabs>
          <w:tab w:leader="none" w:pos="162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class of directors (the “</w:t>
      </w:r>
      <w:r>
        <w:rPr>
          <w:rFonts w:ascii="Times New Roman" w:cs="Times New Roman" w:eastAsia="Times New Roman" w:hAnsi="Times New Roman"/>
          <w:sz w:val="18"/>
          <w:szCs w:val="18"/>
          <w:u w:val="single" w:color="auto"/>
          <w:color w:val="auto"/>
        </w:rPr>
        <w:t>Class II Directors</w:t>
      </w:r>
      <w:r>
        <w:rPr>
          <w:rFonts w:ascii="Times New Roman" w:cs="Times New Roman" w:eastAsia="Times New Roman" w:hAnsi="Times New Roman"/>
          <w:sz w:val="18"/>
          <w:szCs w:val="18"/>
          <w:color w:val="auto"/>
        </w:rPr>
        <w:t>”), initially serving a term effective from the Closing until the second annual meeting of the stockholders of Bakkt Pubco held following the Closing (but any subsequent Class II Directors serving a three (3)-year term), with the two individuals designated by Bakkt Opco and the VIH Sponsor, respectively, to serve as Class II Directors; and</w:t>
      </w:r>
    </w:p>
    <w:p>
      <w:pPr>
        <w:spacing w:after="0" w:line="68" w:lineRule="exact"/>
        <w:rPr>
          <w:rFonts w:ascii="Times New Roman" w:cs="Times New Roman" w:eastAsia="Times New Roman" w:hAnsi="Times New Roman"/>
          <w:sz w:val="18"/>
          <w:szCs w:val="18"/>
          <w:color w:val="auto"/>
        </w:rPr>
      </w:pPr>
    </w:p>
    <w:p>
      <w:pPr>
        <w:ind w:left="420" w:right="220" w:firstLine="947"/>
        <w:spacing w:after="0" w:line="255" w:lineRule="auto"/>
        <w:tabs>
          <w:tab w:leader="none" w:pos="167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class of directors (the “</w:t>
      </w:r>
      <w:r>
        <w:rPr>
          <w:rFonts w:ascii="Times New Roman" w:cs="Times New Roman" w:eastAsia="Times New Roman" w:hAnsi="Times New Roman"/>
          <w:sz w:val="18"/>
          <w:szCs w:val="18"/>
          <w:u w:val="single" w:color="auto"/>
          <w:color w:val="auto"/>
        </w:rPr>
        <w:t>Class III Directors</w:t>
      </w:r>
      <w:r>
        <w:rPr>
          <w:rFonts w:ascii="Times New Roman" w:cs="Times New Roman" w:eastAsia="Times New Roman" w:hAnsi="Times New Roman"/>
          <w:sz w:val="18"/>
          <w:szCs w:val="18"/>
          <w:color w:val="auto"/>
        </w:rPr>
        <w:t>”), serving a term effective from the Closing until the third annual meeting of the stockholders of Bakkt Pubco held following the Closing (but any subsequent Class III Directors serving a three (3)-year term), with the Class III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w:t>
      </w:r>
    </w:p>
    <w:p>
      <w:pPr>
        <w:spacing w:after="0" w:line="77" w:lineRule="exact"/>
        <w:rPr>
          <w:rFonts w:ascii="Times New Roman" w:cs="Times New Roman" w:eastAsia="Times New Roman" w:hAnsi="Times New Roman"/>
          <w:sz w:val="18"/>
          <w:szCs w:val="18"/>
          <w:color w:val="auto"/>
        </w:rPr>
      </w:pPr>
    </w:p>
    <w:p>
      <w:pPr>
        <w:jc w:val="both"/>
        <w:ind w:left="-20" w:right="140" w:firstLine="990"/>
        <w:spacing w:after="0" w:line="258" w:lineRule="auto"/>
        <w:tabs>
          <w:tab w:leader="none" w:pos="12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 necessary, including causing the executive officers of VIH to resign, so that the individuals serving as executive officers of Bakkt Pubco immediately after the Closing (other than the Chief Executive Officer or as otherwise approved by VIH) will be the persons who were serving as officers of Bakkt Opco immediately prior to Closing. The Chief Executive Officer of Bakkt Pubco and the Surviving Company following the Closing shall be the individual appointed by the Post-Closing Bakkt Pubco Board.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80"/>
          </w:cols>
          <w:pgMar w:left="500" w:top="268" w:right="519" w:bottom="1440" w:gutter="0" w:footer="0" w:header="0"/>
        </w:sectPr>
      </w:pPr>
    </w:p>
    <w:bookmarkStart w:id="73" w:name="page74"/>
    <w:bookmarkEnd w:id="73"/>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5.13 </w:t>
      </w:r>
      <w:r>
        <w:rPr>
          <w:rFonts w:ascii="Times New Roman" w:cs="Times New Roman" w:eastAsia="Times New Roman" w:hAnsi="Times New Roman"/>
          <w:sz w:val="18"/>
          <w:szCs w:val="18"/>
          <w:u w:val="single" w:color="auto"/>
          <w:color w:val="auto"/>
        </w:rPr>
        <w:t>Trust Account Disbursement</w:t>
      </w:r>
      <w:r>
        <w:rPr>
          <w:rFonts w:ascii="Times New Roman" w:cs="Times New Roman" w:eastAsia="Times New Roman" w:hAnsi="Times New Roman"/>
          <w:sz w:val="18"/>
          <w:szCs w:val="18"/>
          <w:color w:val="auto"/>
        </w:rPr>
        <w:t xml:space="preserve">. VIH shall cause the Trust Account to be disbursed to VIH (or to such Persons as designated by VIH to pay any amounts contemplated by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any amounts owed by VIH for its unpaid expenses or other liabilities as of the Closing) concurrently with the Closing upon the terms set forth in the Trust Agreement.</w:t>
      </w:r>
    </w:p>
    <w:p>
      <w:pPr>
        <w:spacing w:after="0" w:line="175"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Prior to the Closing, the VIH Board, or an appropriate committee of “non-employee directors” (as defined in Rule 16b-3 of the Exchange Act) thereof, shall adopt a resolution consistent with the interpretive guidance of the SEC so that the acquisition of VIH and/or Bakkt Pubco equity securities, as applicable, in each case, pursuant to this Agreement and the Transaction Documents, by any person owning securities of Bakkt Opco and its Subsidiaries who is expected to become a director or officer (as defined under Rule 16a-1(f) under the Exchange Act) of Bakkt Pubco shall be an exempt transaction for purposes of Section 16(b) of the Exchange Act pursuant to Rule 16b-3 thereunder.</w:t>
      </w:r>
    </w:p>
    <w:p>
      <w:pPr>
        <w:spacing w:after="0" w:line="184" w:lineRule="exact"/>
        <w:rPr>
          <w:sz w:val="20"/>
          <w:szCs w:val="20"/>
          <w:color w:val="auto"/>
        </w:rPr>
      </w:pPr>
    </w:p>
    <w:p>
      <w:pPr>
        <w:ind w:right="30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5.15 </w:t>
      </w:r>
      <w:r>
        <w:rPr>
          <w:rFonts w:ascii="Times New Roman" w:cs="Times New Roman" w:eastAsia="Times New Roman" w:hAnsi="Times New Roman"/>
          <w:sz w:val="17"/>
          <w:szCs w:val="17"/>
          <w:u w:val="single" w:color="auto"/>
          <w:color w:val="auto"/>
        </w:rPr>
        <w:t>Third-Party Consents</w:t>
      </w:r>
      <w:r>
        <w:rPr>
          <w:rFonts w:ascii="Times New Roman" w:cs="Times New Roman" w:eastAsia="Times New Roman" w:hAnsi="Times New Roman"/>
          <w:sz w:val="17"/>
          <w:szCs w:val="17"/>
          <w:color w:val="auto"/>
        </w:rPr>
        <w:t>. Upon the terms and subject to the conditions set forth in this Agreement, during the Interim Period, Bakkt Opco shall use commercially reasonable efforts to obtain any consents that are listed on Section 3.2(b) of the Bakkt Disclosure Letter.</w:t>
      </w:r>
    </w:p>
    <w:p>
      <w:pPr>
        <w:spacing w:after="0" w:line="140" w:lineRule="exact"/>
        <w:rPr>
          <w:sz w:val="20"/>
          <w:szCs w:val="20"/>
          <w:color w:val="auto"/>
        </w:rPr>
      </w:pPr>
    </w:p>
    <w:p>
      <w:pPr>
        <w:ind w:right="38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5.16 </w:t>
      </w:r>
      <w:r>
        <w:rPr>
          <w:rFonts w:ascii="Times New Roman" w:cs="Times New Roman" w:eastAsia="Times New Roman" w:hAnsi="Times New Roman"/>
          <w:sz w:val="17"/>
          <w:szCs w:val="17"/>
          <w:u w:val="single" w:color="auto"/>
          <w:color w:val="auto"/>
        </w:rPr>
        <w:t>Unpaid Expenses</w:t>
      </w:r>
      <w:r>
        <w:rPr>
          <w:rFonts w:ascii="Times New Roman" w:cs="Times New Roman" w:eastAsia="Times New Roman" w:hAnsi="Times New Roman"/>
          <w:sz w:val="17"/>
          <w:szCs w:val="17"/>
          <w:color w:val="auto"/>
        </w:rPr>
        <w:t>. Concurrently with the preparation of the Closing Statement, each Party shall submit invoices and wire payment instructions with respect to each Person to whom Bakkt Transaction Expenses or VIH Transaction Expenses are to be paid at Closing.</w:t>
      </w:r>
    </w:p>
    <w:p>
      <w:pPr>
        <w:spacing w:after="0" w:line="140" w:lineRule="exact"/>
        <w:rPr>
          <w:sz w:val="20"/>
          <w:szCs w:val="20"/>
          <w:color w:val="auto"/>
        </w:rPr>
      </w:pPr>
    </w:p>
    <w:p>
      <w:pPr>
        <w:ind w:right="1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No Trading</w:t>
      </w:r>
      <w:r>
        <w:rPr>
          <w:rFonts w:ascii="Times New Roman" w:cs="Times New Roman" w:eastAsia="Times New Roman" w:hAnsi="Times New Roman"/>
          <w:sz w:val="18"/>
          <w:szCs w:val="18"/>
          <w:color w:val="auto"/>
        </w:rPr>
        <w:t>. During the Interim Period, except as otherwise expressly contemplated by this Agreement, (a) Bakkt Opco shall not, and shall cause its Representatives and Subsidiaries not to, engage in any transactions involving the Equity Interests of VIH (including, without limitation, the VIH Class A Shares) without the prior written consent of VIH and (b) VIH shall not, and shall cause its controlled Affiliates, agents, professional advisors, employees and officers not to, engage in any transactions involving the Equity Interests of the parent company of the Majority Bakkt Equity Holder without the prior written consent of the parent company of the Majority Bakkt Equity Holder.</w:t>
      </w:r>
    </w:p>
    <w:p>
      <w:pPr>
        <w:spacing w:after="0" w:line="184"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Advice of Changes</w:t>
      </w:r>
      <w:r>
        <w:rPr>
          <w:rFonts w:ascii="Times New Roman" w:cs="Times New Roman" w:eastAsia="Times New Roman" w:hAnsi="Times New Roman"/>
          <w:sz w:val="18"/>
          <w:szCs w:val="18"/>
          <w:color w:val="auto"/>
        </w:rPr>
        <w:t xml:space="preserve">. Bakkt Opco will from time to time advise VIH in writing of any event occurring subsequent to the date hereof that would render any representation or warranty of Bakkt Opco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untrue or inaccurate in any material respect such that the applicable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would not be satisfied. Such disclosures (which shall make specific reference to the schedule to which such disclosure relates) shall amend and supplement the appropriate schedules of the Bakkt Opco Disclosure Letter delivered on the date hereof but, unless waived (or deemed to have been waived pursuant to the last sentence of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by VIH, will not cure any breach of any representation or warranty made in respect of the matters that are the subject of any such disclosure to the extent that they would cause the failure of the condition to the Closing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Notwithstanding the foregoing, if the matter or matters giving rise to such supplement or amendment to the Bakkt Opco Disclosure Letter would result in a failure of such condition to the Closing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(following disclosure thereof by Bakkt Opco to VIH pursuant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VIH elects to proceed with the Closing, such modifications shall be deemed to have been accepted and the condition waived and VIH shall not be entitled to exercise its rights of termination. For the avoidance of doubt,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shall not be applicable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480" w:top="268" w:right="499" w:bottom="1440" w:gutter="0" w:footer="0" w:header="0"/>
        </w:sectPr>
      </w:pPr>
    </w:p>
    <w:bookmarkStart w:id="74" w:name="page75"/>
    <w:bookmarkEnd w:id="74"/>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5.19 </w:t>
      </w:r>
      <w:r>
        <w:rPr>
          <w:rFonts w:ascii="Times New Roman" w:cs="Times New Roman" w:eastAsia="Times New Roman" w:hAnsi="Times New Roman"/>
          <w:sz w:val="18"/>
          <w:szCs w:val="18"/>
          <w:u w:val="single" w:color="auto"/>
          <w:color w:val="auto"/>
        </w:rPr>
        <w:t>Cooperation Agreement</w:t>
      </w:r>
      <w:r>
        <w:rPr>
          <w:rFonts w:ascii="Times New Roman" w:cs="Times New Roman" w:eastAsia="Times New Roman" w:hAnsi="Times New Roman"/>
          <w:sz w:val="18"/>
          <w:szCs w:val="18"/>
          <w:color w:val="auto"/>
        </w:rPr>
        <w:t>. Promptly following the execution of this Agreement, VIH, in consultation with Bakkt Opco, will work in good faith with the parent company of the Majority Bakkt Equity Holder to memorialize a cooperation agreement between Bakkt Pubco and the parent company of the Majority Bakkt Equity Holder, to be effective as of the Closing and in a form reasonably acceptable to VIH and the parent company of the Majority Bakkt Equity Holder, which agreement will contain customary cooperation, information sharing and related provisions intended to facilitate compliance by the Majority Bakkt Equity Holder and its Affiliates following the Closing with its accounting, financial reporting, public disclosure and similar requirements insofar as they relate to the Majority Bakkt Equity Holder’s ownership interest in Bakkt Pubco and Bakkt Opco.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90"/>
        <w:spacing w:after="0" w:line="270" w:lineRule="auto"/>
        <w:tabs>
          <w:tab w:leader="none" w:pos="122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xml:space="preserve">. The Parties intend that (i) the conversion contemplated by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is treated as a reorganization within the meaning of Section 368(a)(1)(E) of the Code, the Domestication is treated as a reorganization within the meaning of Section 368(a)(1)(F) of the Code, and that this Agreement shall be adopted as a “plan of reorganization,” within the meaning of Section 1.368-2(g) of the Treasury Regulations</w:t>
      </w:r>
    </w:p>
    <w:p>
      <w:pPr>
        <w:spacing w:after="0" w:line="1" w:lineRule="exact"/>
        <w:rPr>
          <w:rFonts w:ascii="Times New Roman" w:cs="Times New Roman" w:eastAsia="Times New Roman" w:hAnsi="Times New Roman"/>
          <w:sz w:val="17"/>
          <w:szCs w:val="17"/>
          <w:color w:val="auto"/>
        </w:rPr>
      </w:pPr>
    </w:p>
    <w:p>
      <w:pPr>
        <w:ind w:firstLine="7"/>
        <w:spacing w:after="0" w:line="249" w:lineRule="auto"/>
        <w:tabs>
          <w:tab w:leader="none" w:pos="2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Surviving Company is a continuation of Bakkt Opco for U.S. federal income tax purposes, (iii) the Available Cash to be paid to Bakkt Opco at Closing pursuant to </w:t>
      </w:r>
      <w:r>
        <w:rPr>
          <w:rFonts w:ascii="Times New Roman" w:cs="Times New Roman" w:eastAsia="Times New Roman" w:hAnsi="Times New Roman"/>
          <w:sz w:val="18"/>
          <w:szCs w:val="18"/>
          <w:u w:val="single" w:color="auto"/>
          <w:color w:val="auto"/>
        </w:rPr>
        <w:t>Section 2.3(a)(iii)</w:t>
      </w:r>
      <w:r>
        <w:rPr>
          <w:rFonts w:ascii="Times New Roman" w:cs="Times New Roman" w:eastAsia="Times New Roman" w:hAnsi="Times New Roman"/>
          <w:sz w:val="18"/>
          <w:szCs w:val="18"/>
          <w:color w:val="auto"/>
        </w:rPr>
        <w:t xml:space="preserve">, together with the amount of Bakkt Transaction Expenses paid at Closing pursuant to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or reimbursed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is treated as a contribution by Bakkt Pubco to Surviving Company in exchange for Surviving Company Common Units under Section 721 of the Code, and (iv) for U.S. federal income tax purposes, no Bakkt Equity Holder is treated as transferring an interest in Bakkt Opco or any other property or value to Bakkt Pubco in exchange for the Bakkt Pubco Class V Shares or any other property as a result of the Merger (collectively,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Parties shall report consistently with the Intended Tax Treatment on all Tax Returns, and no Party shall take any position in any Tax Return or with any Governmental Authority that is inconsistent with the Intended Tax Treatment unless required to do so by a “determination” as defined in Section 1313 of the Code.</w:t>
      </w:r>
    </w:p>
    <w:p>
      <w:pPr>
        <w:spacing w:after="0" w:line="8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Company shall have in effect an election under Section 754 of the Code for the taxable period which includes the</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w:t>
      </w:r>
    </w:p>
    <w:p>
      <w:pPr>
        <w:spacing w:after="0" w:line="95" w:lineRule="exact"/>
        <w:rPr>
          <w:rFonts w:ascii="Times New Roman" w:cs="Times New Roman" w:eastAsia="Times New Roman" w:hAnsi="Times New Roman"/>
          <w:sz w:val="18"/>
          <w:szCs w:val="18"/>
          <w:color w:val="auto"/>
        </w:rPr>
      </w:pPr>
    </w:p>
    <w:p>
      <w:pPr>
        <w:ind w:left="440" w:firstLine="947"/>
        <w:spacing w:after="0" w:line="258" w:lineRule="auto"/>
        <w:tabs>
          <w:tab w:leader="none" w:pos="1645"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 and the Bakkt Equity Holders agree that in connection with the preparation and filing of Tax Returns of or with respect to Bakkt Opco and its Subsidiaries, to the extent permitted by applicable Law, deductions and/or losses of, attributable to or with respect to indebtedness of Bakkt Opco and its Subsidiaries, Employee Payments and Bakkt Transaction Expenses shall be claimed in taxable periods, or portions thereof, ending on or before the Closing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00"/>
          </w:cols>
          <w:pgMar w:left="480" w:top="268" w:right="519" w:bottom="1440" w:gutter="0" w:footer="0" w:header="0"/>
        </w:sectPr>
      </w:pPr>
    </w:p>
    <w:bookmarkStart w:id="75" w:name="page76"/>
    <w:bookmarkEnd w:id="75"/>
    <w:p>
      <w:pPr>
        <w:ind w:right="20" w:firstLine="990"/>
        <w:spacing w:after="0" w:line="255" w:lineRule="auto"/>
        <w:tabs>
          <w:tab w:leader="none" w:pos="12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Transfer Taxes</w:t>
      </w:r>
      <w:r>
        <w:rPr>
          <w:rFonts w:ascii="Times New Roman" w:cs="Times New Roman" w:eastAsia="Times New Roman" w:hAnsi="Times New Roman"/>
          <w:sz w:val="18"/>
          <w:szCs w:val="18"/>
          <w:color w:val="auto"/>
        </w:rPr>
        <w:t>. Notwithstanding any other provision in this Agreement or the Transaction Documents, all transfer, documentary, sales, use, stamp, registration and other such Taxes and fees (including any penalties and interest) incurred in connection with this Agreement or the Transaction Documents (including any transfer or similar tax imposed by states or subdivisions)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by Bakkt Pubco, and paid when due. Bakkt Pubco shall, at its own expense, timely file all necessary Tax Returns and other documentation with respect to all such Taxes, and, if required by applicable Law, the Bakkt Equity Holders will join in the execution of any such Tax Returns and other documentation.</w:t>
      </w:r>
    </w:p>
    <w:p>
      <w:pPr>
        <w:spacing w:after="0" w:line="77" w:lineRule="exact"/>
        <w:rPr>
          <w:rFonts w:ascii="Times New Roman" w:cs="Times New Roman" w:eastAsia="Times New Roman" w:hAnsi="Times New Roman"/>
          <w:sz w:val="18"/>
          <w:szCs w:val="18"/>
          <w:color w:val="auto"/>
        </w:rPr>
      </w:pPr>
    </w:p>
    <w:p>
      <w:pPr>
        <w:ind w:right="60" w:firstLine="990"/>
        <w:spacing w:after="0" w:line="253" w:lineRule="auto"/>
        <w:tabs>
          <w:tab w:leader="none" w:pos="123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Cooperation</w:t>
      </w:r>
      <w:r>
        <w:rPr>
          <w:rFonts w:ascii="Times New Roman" w:cs="Times New Roman" w:eastAsia="Times New Roman" w:hAnsi="Times New Roman"/>
          <w:sz w:val="18"/>
          <w:szCs w:val="18"/>
          <w:color w:val="auto"/>
        </w:rPr>
        <w:t>. After the Closing, the Bakkt Equity Holders and Bakkt Pubco shall reasonably cooperate in connection with the filing of Tax Returns of Bakkt Opco and its Subsidiaries and any Tax Proceeding of Bakkt Opco or one of its Subsidiaries that, in each case, relates to a taxable period beginning on or prior to the Closing Date. Such cooperation shall include the provisions of records and information that are reasonably relevant to any such Tax Return or Tax Proceeding and making employees available on a mutually convenient basis to provide additional information and explanation of any material provided hereunder. Following the Closing, Bakkt Pubco and Bakkt Opco and its Subsidiaries shall retain all books and records with respect to Tax matters pertinent to Bakkt Opco and its Subsidiaries for any taxable period beginning on or prior to the Closing Date until the seven (7)-year anniversary of the Closing Date.</w:t>
      </w:r>
    </w:p>
    <w:p>
      <w:pPr>
        <w:spacing w:after="0" w:line="77" w:lineRule="exact"/>
        <w:rPr>
          <w:rFonts w:ascii="Times New Roman" w:cs="Times New Roman" w:eastAsia="Times New Roman" w:hAnsi="Times New Roman"/>
          <w:sz w:val="18"/>
          <w:szCs w:val="18"/>
          <w:color w:val="auto"/>
        </w:rPr>
      </w:pPr>
    </w:p>
    <w:p>
      <w:pPr>
        <w:ind w:firstLine="990"/>
        <w:spacing w:after="0" w:line="255" w:lineRule="auto"/>
        <w:tabs>
          <w:tab w:leader="none" w:pos="12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Each Bakkt Equity Holder shall terminate or cause to be terminated any and all of the Tax Sharing Agreements (excluding, for the avoidance of doubt, the Bakkt Opco LLC Agreement) on the Closing Date as between such Bakkt Equity Holder or any predecessor or Affiliate thereof, on the one hand, and Bakkt Opco (or Surviving Company) or any of its Subsidiaries, on the other hand, for all Taxes, regardless of the period in which such Taxes are imposed, and there shall be no continuing obligation to make any payments under any such Tax Sharing Agreements.</w:t>
      </w:r>
    </w:p>
    <w:p>
      <w:pPr>
        <w:spacing w:after="0" w:line="77" w:lineRule="exact"/>
        <w:rPr>
          <w:rFonts w:ascii="Times New Roman" w:cs="Times New Roman" w:eastAsia="Times New Roman" w:hAnsi="Times New Roman"/>
          <w:sz w:val="18"/>
          <w:szCs w:val="18"/>
          <w:color w:val="auto"/>
        </w:rPr>
      </w:pPr>
    </w:p>
    <w:p>
      <w:pPr>
        <w:ind w:right="20" w:firstLine="990"/>
        <w:spacing w:after="0" w:line="253" w:lineRule="auto"/>
        <w:tabs>
          <w:tab w:leader="none" w:pos="12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Audit Regime</w:t>
      </w:r>
      <w:r>
        <w:rPr>
          <w:rFonts w:ascii="Times New Roman" w:cs="Times New Roman" w:eastAsia="Times New Roman" w:hAnsi="Times New Roman"/>
          <w:sz w:val="18"/>
          <w:szCs w:val="18"/>
          <w:color w:val="auto"/>
        </w:rPr>
        <w:t>. Without the prior written consent of VIH (or Bakkt Pubco), the Bakkt Equity Holders and Bakkt Opco (or Surviving Company) shall not, and shall cause their respective Affiliates not to, make or cause to be made any election under Treasury Regulations Section 301.9100-22 (or any similar provision of state, local, or non-U.S. Laws) with respect to Bakkt Opco (or Surviving Company) or its Subsidiaries. To the extent permitted by applicable Law, a “push out” election pursuant to Section 6226 of the Code (or any state or local equivalent thereof) with respect to Bakkt Opco (or Surviving Company) or any of its Subsidiaries that is or previously has been, as of the Closing Date, treated as a partnership for U.S. federal income tax purposes, shall be made, or caused to be made, in connection with any imputed underpayment of Taxes for any taxable period ending on or before the Closing Date.</w:t>
      </w:r>
    </w:p>
    <w:p>
      <w:pPr>
        <w:spacing w:after="0" w:line="77" w:lineRule="exact"/>
        <w:rPr>
          <w:sz w:val="20"/>
          <w:szCs w:val="20"/>
          <w:color w:val="auto"/>
        </w:rPr>
      </w:pPr>
    </w:p>
    <w:p>
      <w:pPr>
        <w:jc w:val="both"/>
        <w:ind w:right="1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after the Closing Date, upon reasonable request of any Party, each Party shall execute, acknowledge and deliver all such other instruments and documents, and shall take all such other actions, as may be required to carry out the provisions of this Agreement and consummate and make effective the Transactions.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00"/>
          </w:cols>
          <w:pgMar w:left="480" w:top="268" w:right="519" w:bottom="1440" w:gutter="0" w:footer="0" w:header="0"/>
        </w:sectPr>
      </w:pPr>
    </w:p>
    <w:bookmarkStart w:id="76" w:name="page77"/>
    <w:bookmarkEnd w:id="7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Indemnification, Exculpation and Insurance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20" w:firstLine="990"/>
        <w:spacing w:after="0" w:line="252" w:lineRule="auto"/>
        <w:tabs>
          <w:tab w:leader="none" w:pos="12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 from and after the Closing Date through the sixth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Closing Date, shall cause the Organizational Documents of Bakkt Pubco, Surviving Company and their respective Subsidiaries to contain provisions no less favorable to the current or former directors, managers, officers or employees of such companies (collectively, “</w:t>
      </w:r>
      <w:r>
        <w:rPr>
          <w:rFonts w:ascii="Times New Roman" w:cs="Times New Roman" w:eastAsia="Times New Roman" w:hAnsi="Times New Roman"/>
          <w:sz w:val="18"/>
          <w:szCs w:val="18"/>
          <w:u w:val="single" w:color="auto"/>
          <w:color w:val="auto"/>
        </w:rPr>
        <w:t>D&amp;O Indemnitees</w:t>
      </w:r>
      <w:r>
        <w:rPr>
          <w:rFonts w:ascii="Times New Roman" w:cs="Times New Roman" w:eastAsia="Times New Roman" w:hAnsi="Times New Roman"/>
          <w:sz w:val="18"/>
          <w:szCs w:val="18"/>
          <w:color w:val="auto"/>
        </w:rPr>
        <w:t>”) with respect to limitation of certain liabilities, advancement of expenses and indemnification than are set forth as of the date of this Agreement in the Organizational Documents of such companies (which for Bakkt Pubco shall be the Bakkt Pubco Charter, the Bakkt Pubco Bylaws and an indemnification agreement with each director of Bakkt Pubco, and for Surviving Company shall be the Surviving Company LLC Agreement), which provisions are no less favorable than those in existence as of the date hereof and in each case shall not be amended, repealed or otherwise modified in a manner that would adversely affect the rights thereunder of the D&amp;O Indemnitees with respect to any acts or omissions occurring at or prior to the Closing.</w:t>
      </w:r>
    </w:p>
    <w:p>
      <w:pPr>
        <w:spacing w:after="0" w:line="80" w:lineRule="exact"/>
        <w:rPr>
          <w:rFonts w:ascii="Times New Roman" w:cs="Times New Roman" w:eastAsia="Times New Roman" w:hAnsi="Times New Roman"/>
          <w:sz w:val="18"/>
          <w:szCs w:val="18"/>
          <w:color w:val="auto"/>
        </w:rPr>
      </w:pPr>
    </w:p>
    <w:p>
      <w:pPr>
        <w:ind w:left="-20" w:right="40" w:firstLine="990"/>
        <w:spacing w:after="0" w:line="268" w:lineRule="auto"/>
        <w:tabs>
          <w:tab w:leader="none" w:pos="121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Bakkt Pubco, Bakkt Opco shall obtain “tail” coverage, for a period of at least six (6) years from and after Closing, with respect to Bakkt Opco’s and its Subsidiaries’ directors’ and officers’ liability insurance policies with coverage amounts, terms and conditions substantially similar to those of Bakkt Opco’s and its Subsidiaries’ directors’ and officers’ liability insurance policies in effect as of the date hereof and covering each D&amp;O Indemnitee covered by Bakkt Opco’s and its Subsidiaries’ directors’ and officers’ liability insurance policies in effect as of the date hereof. Prior to the Closing, VIH shall obtain “tail” coverage, for a period of at least six (6) years, with respect to VIH’s or Merger Sub’s directors’ and officers’ liability insurance policies with coverage amounts, terms and conditions substantially similar to those of VIH’s or Merger Sub’s directors’ and officers’ liability insurance policies in effect as of the date hereof and covering each D&amp;O Indemnitee covered by VIH’s or Merger Sub’s directors’ and officers’ liability insurance policies in effect as of the date hereof. Bakkt Pubco shall and shall cause Surviving Company to maintain each such “tail” policy and not take any action to adversely modify or terminate any such “tail” policy during the applicable tail period thereof.</w:t>
      </w:r>
    </w:p>
    <w:p>
      <w:pPr>
        <w:spacing w:after="0" w:line="68" w:lineRule="exact"/>
        <w:rPr>
          <w:rFonts w:ascii="Times New Roman" w:cs="Times New Roman" w:eastAsia="Times New Roman" w:hAnsi="Times New Roman"/>
          <w:sz w:val="17"/>
          <w:szCs w:val="17"/>
          <w:color w:val="auto"/>
        </w:rPr>
      </w:pPr>
    </w:p>
    <w:p>
      <w:pPr>
        <w:ind w:left="-20" w:right="40" w:firstLine="990"/>
        <w:spacing w:after="0" w:line="253" w:lineRule="auto"/>
        <w:tabs>
          <w:tab w:leader="none" w:pos="12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 are intended to be for the benefit of, and shall be enforceable by, each D&amp;O Indemnitee, who is an intended third-party beneficiary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are in addition to any rights such D&amp;O Indemnitees may have under the Organizational Documents of Bakkt Pubco, Bakkt Opco or their respective Subsidiaries, as the case may be, or under any applicable Contracts or Laws and not intended to, nor shall be construed or shall release or impair any rights to directors’ and officers’ insurance claims under any policy that is or has been in existence with respect to the Bakkt Pubco, Bakkt Opco or their respective Subsidiaries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not prior to or in substitution of any such claims under such policies).</w:t>
      </w:r>
    </w:p>
    <w:p>
      <w:pPr>
        <w:spacing w:after="0" w:line="77" w:lineRule="exact"/>
        <w:rPr>
          <w:rFonts w:ascii="Times New Roman" w:cs="Times New Roman" w:eastAsia="Times New Roman" w:hAnsi="Times New Roman"/>
          <w:sz w:val="18"/>
          <w:szCs w:val="18"/>
          <w:color w:val="auto"/>
        </w:rPr>
      </w:pPr>
    </w:p>
    <w:p>
      <w:pPr>
        <w:ind w:left="-20" w:firstLine="990"/>
        <w:spacing w:after="0" w:line="255" w:lineRule="auto"/>
        <w:tabs>
          <w:tab w:leader="none" w:pos="12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Bakkt Pubco, Bakkt Opco, Surviving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provisions shall be made so that the successors and assigns of Bakkt Pubco, Bakkt Opco or Surviving Company (as applicable) shall assume, at and as of the closing of the applicable transaction referred to in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all of the obligations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00"/>
          </w:cols>
          <w:pgMar w:left="500" w:top="268" w:right="499" w:bottom="1440" w:gutter="0" w:footer="0" w:header="0"/>
        </w:sectPr>
      </w:pPr>
    </w:p>
    <w:bookmarkStart w:id="77" w:name="page78"/>
    <w:bookmarkEnd w:id="77"/>
    <w:p>
      <w:pPr>
        <w:ind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6.4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Prior to the Closing Date, VIH Shareholders shall approve the Equity Incentive Plan (with such changes as may be mutually agreed in writing by VIH and Bakkt Opco). Within two (2) Business Days following the expiration of the sixty (60)-day period following the date Bakkt Pubco has filed current Form 10 information with the SEC reflecting its status as an entity that is not a shell company, Bakkt Pubco shall file an effective registration statement on Form S-8 (or other applicable form, including Form S-3) with respect to the equity awards issuable under the Equity Incentive Plan, and Bakkt Pubco shall use reasonable best efforts to maintain the effectiveness of such registration statement(s) (and maintain the current status of the prospectus or prospectus contained therein) for so long as awards granted pursuant to the Equity Incentive Plan remain outstanding.</w:t>
      </w:r>
    </w:p>
    <w:p>
      <w:pPr>
        <w:spacing w:after="0" w:line="184" w:lineRule="exact"/>
        <w:rPr>
          <w:sz w:val="20"/>
          <w:szCs w:val="20"/>
          <w:color w:val="auto"/>
        </w:rPr>
      </w:pPr>
    </w:p>
    <w:p>
      <w:pPr>
        <w:ind w:right="8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Shareholder Litigation</w:t>
      </w:r>
      <w:r>
        <w:rPr>
          <w:rFonts w:ascii="Times New Roman" w:cs="Times New Roman" w:eastAsia="Times New Roman" w:hAnsi="Times New Roman"/>
          <w:sz w:val="18"/>
          <w:szCs w:val="18"/>
          <w:color w:val="auto"/>
        </w:rPr>
        <w:t xml:space="preserve">. VIH shall promptly notify Bakkt Opco of, and give Bakkt Opco the opportunity to participate in (but not control) (subject to a customary joint defense agreement), the defense or settlement of any shareholder litigation against VIH or its directors or officers relating to the Transactions or any other transaction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settlement shall be agreed to without Bakkt Opco’s consent (not to be unreasonably withheld, conditioned or delayed).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right="1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Precedent to Obligations of VIH, Merger Sub and Bakkt Opco</w:t>
      </w:r>
      <w:r>
        <w:rPr>
          <w:rFonts w:ascii="Times New Roman" w:cs="Times New Roman" w:eastAsia="Times New Roman" w:hAnsi="Times New Roman"/>
          <w:sz w:val="18"/>
          <w:szCs w:val="18"/>
          <w:color w:val="auto"/>
        </w:rPr>
        <w:t>. The obligations of VIH, Merger Sub and Bakkt Opco to effect the Closing are subject to the satisfaction or waiver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conditions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may only be waived jointly by Bakkt Opco and VIH), at or before the Closing, of the following conditions: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Law shall be in effect that prohibits, makes illegal, enjoins or prevents the consummation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5" w:lineRule="exact"/>
        <w:rPr>
          <w:sz w:val="20"/>
          <w:szCs w:val="20"/>
          <w:color w:val="auto"/>
        </w:rPr>
      </w:pPr>
    </w:p>
    <w:p>
      <w:pPr>
        <w:ind w:left="1240" w:hanging="250"/>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VIH Shareholders’ Approval</w:t>
      </w:r>
      <w:r>
        <w:rPr>
          <w:rFonts w:ascii="Times New Roman" w:cs="Times New Roman" w:eastAsia="Times New Roman" w:hAnsi="Times New Roman"/>
          <w:sz w:val="18"/>
          <w:szCs w:val="18"/>
          <w:color w:val="auto"/>
        </w:rPr>
        <w:t>. The VIH Shareholders’ Approval shall have been obtained.</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Bakkt Equity Holders Approval</w:t>
      </w:r>
      <w:r>
        <w:rPr>
          <w:rFonts w:ascii="Times New Roman" w:cs="Times New Roman" w:eastAsia="Times New Roman" w:hAnsi="Times New Roman"/>
          <w:sz w:val="18"/>
          <w:szCs w:val="18"/>
          <w:color w:val="auto"/>
        </w:rPr>
        <w:t>. The Bakkt Equity Holders Approval shall have been obtained.</w:t>
      </w:r>
    </w:p>
    <w:p>
      <w:pPr>
        <w:spacing w:after="0" w:line="113" w:lineRule="exact"/>
        <w:rPr>
          <w:rFonts w:ascii="Times New Roman" w:cs="Times New Roman" w:eastAsia="Times New Roman" w:hAnsi="Times New Roman"/>
          <w:sz w:val="18"/>
          <w:szCs w:val="18"/>
          <w:color w:val="auto"/>
        </w:rPr>
      </w:pPr>
    </w:p>
    <w:p>
      <w:pPr>
        <w:ind w:right="40" w:firstLine="990"/>
        <w:spacing w:after="0" w:line="308" w:lineRule="auto"/>
        <w:tabs>
          <w:tab w:leader="none" w:pos="123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Approvals</w:t>
      </w:r>
      <w:r>
        <w:rPr>
          <w:rFonts w:ascii="Times New Roman" w:cs="Times New Roman" w:eastAsia="Times New Roman" w:hAnsi="Times New Roman"/>
          <w:sz w:val="17"/>
          <w:szCs w:val="17"/>
          <w:color w:val="auto"/>
        </w:rPr>
        <w:t>. The authorizations, consents, orders, approvals, non-objections, declarations, filings or waiting periods set forth on Section 7.1(d) of the Bakkt Disclosure Letter, including all required Regulatory Filings, shall have been made, received or expired, as applicable.</w:t>
      </w:r>
    </w:p>
    <w:p>
      <w:pPr>
        <w:spacing w:after="0" w:line="33" w:lineRule="exact"/>
        <w:rPr>
          <w:rFonts w:ascii="Times New Roman" w:cs="Times New Roman" w:eastAsia="Times New Roman" w:hAnsi="Times New Roman"/>
          <w:sz w:val="17"/>
          <w:szCs w:val="17"/>
          <w:color w:val="auto"/>
        </w:rPr>
      </w:pPr>
    </w:p>
    <w:p>
      <w:pPr>
        <w:ind w:right="420" w:firstLine="990"/>
        <w:spacing w:after="0" w:line="263" w:lineRule="auto"/>
        <w:tabs>
          <w:tab w:leader="none" w:pos="12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Effectiveness</w:t>
      </w:r>
      <w:r>
        <w:rPr>
          <w:rFonts w:ascii="Times New Roman" w:cs="Times New Roman" w:eastAsia="Times New Roman" w:hAnsi="Times New Roman"/>
          <w:sz w:val="18"/>
          <w:szCs w:val="18"/>
          <w:color w:val="auto"/>
        </w:rPr>
        <w:t>. The Registration Statement shall have been declared effective by the SEC and no stop order suspending the effectiveness of the Registration Statement shall have been issued and no proceedings for that purpose shall have been initiated or threatened by the SEC or any other Governmental Authority.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480" w:top="268" w:right="499" w:bottom="1440" w:gutter="0" w:footer="0" w:header="0"/>
        </w:sectPr>
      </w:pPr>
    </w:p>
    <w:bookmarkStart w:id="78" w:name="page79"/>
    <w:bookmarkEnd w:id="78"/>
    <w:p>
      <w:pPr>
        <w:ind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Conditions Precedent to Obligations of VIH and Merger Sub</w:t>
      </w:r>
      <w:r>
        <w:rPr>
          <w:rFonts w:ascii="Times New Roman" w:cs="Times New Roman" w:eastAsia="Times New Roman" w:hAnsi="Times New Roman"/>
          <w:sz w:val="18"/>
          <w:szCs w:val="18"/>
          <w:color w:val="auto"/>
        </w:rPr>
        <w:t>. The obligations of VIH and Merger Sub to effect the Closing are subject to the satisfaction or waiver, at or before the Closing, of the following conditions:</w:t>
      </w:r>
    </w:p>
    <w:p>
      <w:pPr>
        <w:spacing w:after="0" w:line="55" w:lineRule="exact"/>
        <w:rPr>
          <w:sz w:val="20"/>
          <w:szCs w:val="20"/>
          <w:color w:val="auto"/>
        </w:rPr>
      </w:pPr>
    </w:p>
    <w:p>
      <w:pPr>
        <w:ind w:left="1240" w:hanging="250"/>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440" w:right="80" w:firstLine="947"/>
        <w:spacing w:after="0" w:line="258" w:lineRule="auto"/>
        <w:tabs>
          <w:tab w:leader="none" w:pos="159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Bakkt Fundamental Representations shall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the date of this Agreement and as of the Closing as if made as of the Closing (except for representations and warranties made as of a specific date, which shall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such date);</w:t>
      </w:r>
    </w:p>
    <w:p>
      <w:pPr>
        <w:spacing w:after="0" w:line="72" w:lineRule="exact"/>
        <w:rPr>
          <w:rFonts w:ascii="Times New Roman" w:cs="Times New Roman" w:eastAsia="Times New Roman" w:hAnsi="Times New Roman"/>
          <w:sz w:val="18"/>
          <w:szCs w:val="18"/>
          <w:color w:val="auto"/>
        </w:rPr>
      </w:pPr>
    </w:p>
    <w:p>
      <w:pPr>
        <w:ind w:left="440" w:right="20" w:firstLine="947"/>
        <w:spacing w:after="0" w:line="254" w:lineRule="auto"/>
        <w:tabs>
          <w:tab w:leader="none" w:pos="164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Bakkt Opco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as if made as of the Closing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representations and warranties qualified by Material Adverse Effect or other materiality qualifications shall be true and correct in all respects as of the date of this Agreement and as of the Closing as if made as of the Closing; and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w:t>
      </w:r>
    </w:p>
    <w:p>
      <w:pPr>
        <w:spacing w:after="0" w:line="76" w:lineRule="exact"/>
        <w:rPr>
          <w:rFonts w:ascii="Times New Roman" w:cs="Times New Roman" w:eastAsia="Times New Roman" w:hAnsi="Times New Roman"/>
          <w:sz w:val="18"/>
          <w:szCs w:val="18"/>
          <w:color w:val="auto"/>
        </w:rPr>
      </w:pPr>
    </w:p>
    <w:p>
      <w:pPr>
        <w:ind w:left="440" w:right="20" w:firstLine="947"/>
        <w:spacing w:after="0" w:line="255" w:lineRule="auto"/>
        <w:tabs>
          <w:tab w:leader="none" w:pos="16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(other than the representations and warranties set forth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made by Bakkt Opco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Material Adverse Effect.</w:t>
      </w:r>
    </w:p>
    <w:p>
      <w:pPr>
        <w:spacing w:after="0" w:line="77" w:lineRule="exact"/>
        <w:rPr>
          <w:rFonts w:ascii="Times New Roman" w:cs="Times New Roman" w:eastAsia="Times New Roman" w:hAnsi="Times New Roman"/>
          <w:sz w:val="18"/>
          <w:szCs w:val="18"/>
          <w:color w:val="auto"/>
        </w:rPr>
      </w:pPr>
    </w:p>
    <w:p>
      <w:pPr>
        <w:ind w:right="240" w:firstLine="990"/>
        <w:spacing w:after="0" w:line="278" w:lineRule="auto"/>
        <w:tabs>
          <w:tab w:leader="none" w:pos="12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Covenants</w:t>
      </w:r>
      <w:r>
        <w:rPr>
          <w:rFonts w:ascii="Times New Roman" w:cs="Times New Roman" w:eastAsia="Times New Roman" w:hAnsi="Times New Roman"/>
          <w:sz w:val="18"/>
          <w:szCs w:val="18"/>
          <w:color w:val="auto"/>
        </w:rPr>
        <w:t>. Bakkt Opco shall have performed or complied in all material respects with all obligations, agreements and covenants contained in this Agreement to be performed or complied with by Bakkt Opco prior to the Closing.</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there shall not have occurred a Material Adverse Effect.</w:t>
      </w:r>
    </w:p>
    <w:p>
      <w:pPr>
        <w:spacing w:after="0" w:line="113" w:lineRule="exact"/>
        <w:rPr>
          <w:rFonts w:ascii="Times New Roman" w:cs="Times New Roman" w:eastAsia="Times New Roman" w:hAnsi="Times New Roman"/>
          <w:sz w:val="18"/>
          <w:szCs w:val="18"/>
          <w:color w:val="auto"/>
        </w:rPr>
      </w:pPr>
    </w:p>
    <w:p>
      <w:pPr>
        <w:ind w:right="420" w:firstLine="990"/>
        <w:spacing w:after="0" w:line="278" w:lineRule="auto"/>
        <w:tabs>
          <w:tab w:leader="none" w:pos="12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Bakkt Opco Deliverables</w:t>
      </w:r>
      <w:r>
        <w:rPr>
          <w:rFonts w:ascii="Times New Roman" w:cs="Times New Roman" w:eastAsia="Times New Roman" w:hAnsi="Times New Roman"/>
          <w:sz w:val="18"/>
          <w:szCs w:val="18"/>
          <w:color w:val="auto"/>
        </w:rPr>
        <w:t xml:space="preserve">. Bakkt Pubco shall have received the deliverables set forth in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 xml:space="preserve"> required to be delivered by Bakkt Opco upon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6550025</wp:posOffset>
            </wp:positionH>
            <wp:positionV relativeFrom="paragraph">
              <wp:posOffset>-1472565</wp:posOffset>
            </wp:positionV>
            <wp:extent cx="1663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80"/>
          </w:cols>
          <w:pgMar w:left="480" w:top="268" w:right="539" w:bottom="1440" w:gutter="0" w:footer="0" w:header="0"/>
        </w:sectPr>
      </w:pPr>
    </w:p>
    <w:bookmarkStart w:id="79" w:name="page80"/>
    <w:bookmarkEnd w:id="79"/>
    <w:p>
      <w:pPr>
        <w:ind w:right="50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7.3 </w:t>
      </w:r>
      <w:r>
        <w:rPr>
          <w:rFonts w:ascii="Times New Roman" w:cs="Times New Roman" w:eastAsia="Times New Roman" w:hAnsi="Times New Roman"/>
          <w:sz w:val="18"/>
          <w:szCs w:val="18"/>
          <w:u w:val="single" w:color="auto"/>
          <w:color w:val="auto"/>
        </w:rPr>
        <w:t>Conditions Precedent to Obligations of Bakkt Opco</w:t>
      </w:r>
      <w:r>
        <w:rPr>
          <w:rFonts w:ascii="Times New Roman" w:cs="Times New Roman" w:eastAsia="Times New Roman" w:hAnsi="Times New Roman"/>
          <w:sz w:val="18"/>
          <w:szCs w:val="18"/>
          <w:color w:val="auto"/>
        </w:rPr>
        <w:t>. The obligation of Bakkt Opco to effect the Closing is subject to the satisfaction or waiver, at or before the Closing, of the following conditions:</w:t>
      </w:r>
    </w:p>
    <w:p>
      <w:pPr>
        <w:spacing w:after="0" w:line="55" w:lineRule="exact"/>
        <w:rPr>
          <w:sz w:val="20"/>
          <w:szCs w:val="20"/>
          <w:color w:val="auto"/>
        </w:rPr>
      </w:pPr>
    </w:p>
    <w:p>
      <w:pPr>
        <w:ind w:left="1240" w:hanging="250"/>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20" w:firstLine="947"/>
        <w:spacing w:after="0" w:line="258" w:lineRule="auto"/>
        <w:tabs>
          <w:tab w:leader="none" w:pos="159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VIH Fundamental Representations shall (except for representations and warranties made as of a specific date, which shall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such date)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the date of this Agreement and as of the Closing as if made as of the Closing;</w:t>
      </w:r>
    </w:p>
    <w:p>
      <w:pPr>
        <w:spacing w:after="0" w:line="72" w:lineRule="exact"/>
        <w:rPr>
          <w:rFonts w:ascii="Times New Roman" w:cs="Times New Roman" w:eastAsia="Times New Roman" w:hAnsi="Times New Roman"/>
          <w:sz w:val="18"/>
          <w:szCs w:val="18"/>
          <w:color w:val="auto"/>
        </w:rPr>
      </w:pPr>
    </w:p>
    <w:p>
      <w:pPr>
        <w:ind w:left="440" w:firstLine="947"/>
        <w:spacing w:after="0" w:line="254" w:lineRule="auto"/>
        <w:tabs>
          <w:tab w:leader="none" w:pos="164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VIH and Merger Sub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as if made as of the Closing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representations and warranties qualified by Material Adverse Effect or other materiality qualifications shall be true and correct in all respects as of the date of this Agreement and as of the Closing as if made as of the Closing; and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w:t>
      </w:r>
    </w:p>
    <w:p>
      <w:pPr>
        <w:spacing w:after="0" w:line="76" w:lineRule="exact"/>
        <w:rPr>
          <w:rFonts w:ascii="Times New Roman" w:cs="Times New Roman" w:eastAsia="Times New Roman" w:hAnsi="Times New Roman"/>
          <w:sz w:val="18"/>
          <w:szCs w:val="18"/>
          <w:color w:val="auto"/>
        </w:rPr>
      </w:pPr>
    </w:p>
    <w:p>
      <w:pPr>
        <w:jc w:val="both"/>
        <w:ind w:left="440" w:right="260" w:firstLine="947"/>
        <w:spacing w:after="0" w:line="274" w:lineRule="auto"/>
        <w:tabs>
          <w:tab w:leader="none" w:pos="169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(other than the representations and warranties set forth in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(ii)) made by VIH and Merger Sub in Article IV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VIH Material Adverse Effect.</w:t>
      </w:r>
    </w:p>
    <w:p>
      <w:pPr>
        <w:spacing w:after="0" w:line="61" w:lineRule="exact"/>
        <w:rPr>
          <w:rFonts w:ascii="Times New Roman" w:cs="Times New Roman" w:eastAsia="Times New Roman" w:hAnsi="Times New Roman"/>
          <w:sz w:val="17"/>
          <w:szCs w:val="17"/>
          <w:color w:val="auto"/>
        </w:rPr>
      </w:pPr>
    </w:p>
    <w:p>
      <w:pPr>
        <w:ind w:right="480" w:firstLine="990"/>
        <w:spacing w:after="0" w:line="278" w:lineRule="auto"/>
        <w:tabs>
          <w:tab w:leader="none" w:pos="12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Covenants</w:t>
      </w:r>
      <w:r>
        <w:rPr>
          <w:rFonts w:ascii="Times New Roman" w:cs="Times New Roman" w:eastAsia="Times New Roman" w:hAnsi="Times New Roman"/>
          <w:sz w:val="18"/>
          <w:szCs w:val="18"/>
          <w:color w:val="auto"/>
        </w:rPr>
        <w:t>. VIH and Merger Sub shall have performed or complied in all material respects with all obligations, agreements and covenants contained in this Agreement to be performed or complied with by such Party prior to the Closing.</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VIH Material Adverse Effect</w:t>
      </w:r>
      <w:r>
        <w:rPr>
          <w:rFonts w:ascii="Times New Roman" w:cs="Times New Roman" w:eastAsia="Times New Roman" w:hAnsi="Times New Roman"/>
          <w:sz w:val="18"/>
          <w:szCs w:val="18"/>
          <w:color w:val="auto"/>
        </w:rPr>
        <w:t>. Since the date of this Agreement, there shall not have occurred a VIH Material Adverse Effect.</w:t>
      </w:r>
    </w:p>
    <w:p>
      <w:pPr>
        <w:spacing w:after="0" w:line="113" w:lineRule="exact"/>
        <w:rPr>
          <w:rFonts w:ascii="Times New Roman" w:cs="Times New Roman" w:eastAsia="Times New Roman" w:hAnsi="Times New Roman"/>
          <w:sz w:val="18"/>
          <w:szCs w:val="18"/>
          <w:color w:val="auto"/>
        </w:rPr>
      </w:pPr>
    </w:p>
    <w:p>
      <w:pPr>
        <w:ind w:right="60" w:firstLine="990"/>
        <w:spacing w:after="0" w:line="255" w:lineRule="auto"/>
        <w:tabs>
          <w:tab w:leader="none" w:pos="12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National Stock Exchange Listing Requirements</w:t>
      </w:r>
      <w:r>
        <w:rPr>
          <w:rFonts w:ascii="Times New Roman" w:cs="Times New Roman" w:eastAsia="Times New Roman" w:hAnsi="Times New Roman"/>
          <w:sz w:val="18"/>
          <w:szCs w:val="18"/>
          <w:color w:val="auto"/>
        </w:rPr>
        <w:t>.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shall have been listed on a National Stock Exchange and shall be eligible for continued listing on a National Stock Exchange immediately following the Closing and after giving effect to the Redemption (as if it were a new initial listing by an issuer that had never been listed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6550025</wp:posOffset>
            </wp:positionH>
            <wp:positionV relativeFrom="paragraph">
              <wp:posOffset>-1866265</wp:posOffset>
            </wp:positionV>
            <wp:extent cx="1663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00"/>
          </w:cols>
          <w:pgMar w:left="480" w:top="268" w:right="519" w:bottom="1440" w:gutter="0" w:footer="0" w:header="0"/>
        </w:sectPr>
      </w:pPr>
    </w:p>
    <w:bookmarkStart w:id="80" w:name="page81"/>
    <w:bookmarkEnd w:id="80"/>
    <w:p>
      <w:pPr>
        <w:jc w:val="both"/>
        <w:ind w:firstLine="990"/>
        <w:spacing w:after="0" w:line="263" w:lineRule="auto"/>
        <w:tabs>
          <w:tab w:leader="none" w:pos="12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Appointment to the Board</w:t>
      </w:r>
      <w:r>
        <w:rPr>
          <w:rFonts w:ascii="Times New Roman" w:cs="Times New Roman" w:eastAsia="Times New Roman" w:hAnsi="Times New Roman"/>
          <w:sz w:val="18"/>
          <w:szCs w:val="18"/>
          <w:color w:val="auto"/>
        </w:rPr>
        <w:t xml:space="preserve">. The existing directors of VIH shall have resigned effective as of the Closing, and the Post-Closing Directors designated pursuant to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shall have been appointed in accordance with the DGCL and the Bakkt Pubco Organizational Documents to serve on the Post-Closing Bakkt Pubco Board effective as of the Closing.</w:t>
      </w:r>
    </w:p>
    <w:p>
      <w:pPr>
        <w:spacing w:after="0" w:line="68" w:lineRule="exact"/>
        <w:rPr>
          <w:rFonts w:ascii="Times New Roman" w:cs="Times New Roman" w:eastAsia="Times New Roman" w:hAnsi="Times New Roman"/>
          <w:sz w:val="18"/>
          <w:szCs w:val="18"/>
          <w:color w:val="auto"/>
        </w:rPr>
      </w:pPr>
    </w:p>
    <w:p>
      <w:pPr>
        <w:ind w:right="280" w:firstLine="990"/>
        <w:spacing w:after="0" w:line="263" w:lineRule="auto"/>
        <w:tabs>
          <w:tab w:leader="none" w:pos="120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 xml:space="preserve">. The existing officers of VIH shall have resigned effective as of the Closing, and the post-Closing officers shall have been appointed in accordance with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 the DGCL and the Bakkt Pubco Organizational Documents to serve effective as of the Closing.</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Domestication shall be consummated immediately prior to the Merger.</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xml:space="preserve">. The PIPE Financing shall have been consummated (subject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Available Cash shall be at least equal to the Minimum Available Cash.</w:t>
      </w:r>
    </w:p>
    <w:p>
      <w:pPr>
        <w:spacing w:after="0" w:line="113" w:lineRule="exact"/>
        <w:rPr>
          <w:rFonts w:ascii="Times New Roman" w:cs="Times New Roman" w:eastAsia="Times New Roman" w:hAnsi="Times New Roman"/>
          <w:sz w:val="18"/>
          <w:szCs w:val="18"/>
          <w:color w:val="auto"/>
        </w:rPr>
      </w:pPr>
    </w:p>
    <w:p>
      <w:pPr>
        <w:ind w:right="20" w:firstLine="990"/>
        <w:spacing w:after="0" w:line="278" w:lineRule="auto"/>
        <w:tabs>
          <w:tab w:leader="none" w:pos="11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Bakkt Pubco Deliverables</w:t>
      </w:r>
      <w:r>
        <w:rPr>
          <w:rFonts w:ascii="Times New Roman" w:cs="Times New Roman" w:eastAsia="Times New Roman" w:hAnsi="Times New Roman"/>
          <w:sz w:val="18"/>
          <w:szCs w:val="18"/>
          <w:color w:val="auto"/>
        </w:rPr>
        <w:t xml:space="preserve">. Bakkt Opco shall have received the deliverables set forth in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required to be delivered by Bakkt Pubco upon the Closing.</w:t>
      </w:r>
    </w:p>
    <w:p>
      <w:pPr>
        <w:spacing w:after="0" w:line="162" w:lineRule="exact"/>
        <w:rPr>
          <w:sz w:val="20"/>
          <w:szCs w:val="20"/>
          <w:color w:val="auto"/>
        </w:rPr>
      </w:pPr>
    </w:p>
    <w:p>
      <w:pPr>
        <w:ind w:right="2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Frustration of Closing Conditions</w:t>
      </w:r>
      <w:r>
        <w:rPr>
          <w:rFonts w:ascii="Times New Roman" w:cs="Times New Roman" w:eastAsia="Times New Roman" w:hAnsi="Times New Roman"/>
          <w:sz w:val="17"/>
          <w:szCs w:val="17"/>
          <w:color w:val="auto"/>
        </w:rPr>
        <w:t xml:space="preserve">. No Party may rely on the failure of any condition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as the case may be, to be satisfied if such failure was due to the failure of such Party to perform any of its obligations under this Agreement.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Closing solely:</w:t>
      </w:r>
    </w:p>
    <w:p>
      <w:pPr>
        <w:spacing w:after="0" w:line="114" w:lineRule="exact"/>
        <w:rPr>
          <w:sz w:val="20"/>
          <w:szCs w:val="20"/>
          <w:color w:val="auto"/>
        </w:rPr>
      </w:pPr>
    </w:p>
    <w:p>
      <w:pPr>
        <w:ind w:left="1240" w:hanging="250"/>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VIH and Bakkt Opco;</w:t>
      </w:r>
    </w:p>
    <w:p>
      <w:pPr>
        <w:spacing w:after="0" w:line="113" w:lineRule="exact"/>
        <w:rPr>
          <w:rFonts w:ascii="Times New Roman" w:cs="Times New Roman" w:eastAsia="Times New Roman" w:hAnsi="Times New Roman"/>
          <w:sz w:val="18"/>
          <w:szCs w:val="18"/>
          <w:color w:val="auto"/>
        </w:rPr>
      </w:pPr>
    </w:p>
    <w:p>
      <w:pPr>
        <w:ind w:right="40" w:firstLine="990"/>
        <w:spacing w:after="0" w:line="258" w:lineRule="auto"/>
        <w:tabs>
          <w:tab w:leader="none" w:pos="12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VIH or Bakkt Opco if the Closing shall not have occurred by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failure (or with respect to VIH, Merger Sub’s failure) to materially fulfill any representation, warranty, covenant or obligation under this Agreement or other action has been the actual or proximate cause of the failure of the Closing to occur on or before the Termination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00"/>
          </w:cols>
          <w:pgMar w:left="480" w:top="268" w:right="519" w:bottom="1440" w:gutter="0" w:footer="0" w:header="0"/>
        </w:sectPr>
      </w:pPr>
    </w:p>
    <w:bookmarkStart w:id="81" w:name="page82"/>
    <w:bookmarkEnd w:id="81"/>
    <w:p>
      <w:pPr>
        <w:ind w:right="20" w:firstLine="990"/>
        <w:spacing w:after="0" w:line="255" w:lineRule="auto"/>
        <w:tabs>
          <w:tab w:leader="none" w:pos="122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by either VIH or Bakkt Opco, if any Governmental Authority having competent jurisdiction shall have issued a final, non-appealable order, decree or ruling, or there shall exist any Law, in each case that permanently prohibits, makes illegal, enjoins or prevents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failure (or with respect to VIH, Merger Sub’s failure) to materially fulfill any representation, warranty, covenant or obligation under this Agreement or other material action has been the actual or proximate cause of such order, decree, ruling or Law;</w:t>
      </w:r>
    </w:p>
    <w:p>
      <w:pPr>
        <w:spacing w:after="0" w:line="77" w:lineRule="exact"/>
        <w:rPr>
          <w:rFonts w:ascii="Times New Roman" w:cs="Times New Roman" w:eastAsia="Times New Roman" w:hAnsi="Times New Roman"/>
          <w:sz w:val="18"/>
          <w:szCs w:val="18"/>
          <w:color w:val="auto"/>
        </w:rPr>
      </w:pPr>
    </w:p>
    <w:p>
      <w:pPr>
        <w:ind w:right="400" w:firstLine="990"/>
        <w:spacing w:after="0" w:line="308" w:lineRule="auto"/>
        <w:tabs>
          <w:tab w:leader="none" w:pos="12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either VIH or Bakkt Opco, if the VIH Shareholder Meeting has been held (including any adjournment or postponement thereof permitted by </w:t>
      </w:r>
      <w:r>
        <w:rPr>
          <w:rFonts w:ascii="Times New Roman" w:cs="Times New Roman" w:eastAsia="Times New Roman" w:hAnsi="Times New Roman"/>
          <w:sz w:val="17"/>
          <w:szCs w:val="17"/>
          <w:u w:val="single" w:color="auto"/>
          <w:color w:val="auto"/>
        </w:rPr>
        <w:t>Section 5.8(f)</w:t>
      </w:r>
      <w:r>
        <w:rPr>
          <w:rFonts w:ascii="Times New Roman" w:cs="Times New Roman" w:eastAsia="Times New Roman" w:hAnsi="Times New Roman"/>
          <w:sz w:val="17"/>
          <w:szCs w:val="17"/>
          <w:color w:val="auto"/>
        </w:rPr>
        <w:t>), has concluded, VIH’s Shareholders have duly voted, and the VIH Shareholders’ Approval has not been obtained;</w:t>
      </w:r>
    </w:p>
    <w:p>
      <w:pPr>
        <w:spacing w:after="0" w:line="33" w:lineRule="exact"/>
        <w:rPr>
          <w:rFonts w:ascii="Times New Roman" w:cs="Times New Roman" w:eastAsia="Times New Roman" w:hAnsi="Times New Roman"/>
          <w:sz w:val="17"/>
          <w:szCs w:val="17"/>
          <w:color w:val="auto"/>
        </w:rPr>
      </w:pPr>
    </w:p>
    <w:p>
      <w:pPr>
        <w:ind w:right="280" w:firstLine="990"/>
        <w:spacing w:after="0" w:line="255" w:lineRule="auto"/>
        <w:tabs>
          <w:tab w:leader="none" w:pos="122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VIH (if neither it nor Merger Sub is in material breach of their respective representations, warranties, covenants and obligations under this Agreement) if there has been a breach of, or inaccuracy in, any representation, warranty, covenant or agreement of Bakkt Opco set forth in this Agreement, which breach or inaccuracy would cause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not to be satisfied if it remained uncured as of the Termination Date (and such breach or inaccuracy has not been cured or such condition has not been satisfied within twenty (20) Business Days after the receipt by Bakkt Opco of written notice thereof from VIH);</w:t>
      </w:r>
    </w:p>
    <w:p>
      <w:pPr>
        <w:spacing w:after="0" w:line="77" w:lineRule="exact"/>
        <w:rPr>
          <w:rFonts w:ascii="Times New Roman" w:cs="Times New Roman" w:eastAsia="Times New Roman" w:hAnsi="Times New Roman"/>
          <w:sz w:val="18"/>
          <w:szCs w:val="18"/>
          <w:color w:val="auto"/>
        </w:rPr>
      </w:pPr>
    </w:p>
    <w:p>
      <w:pPr>
        <w:ind w:firstLine="990"/>
        <w:spacing w:after="0" w:line="255" w:lineRule="auto"/>
        <w:tabs>
          <w:tab w:leader="none" w:pos="120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Bakkt Opco (if it is not in material breach of its representations, warranties, covenants and obligations under this Agreement) if there has been a breach of, or inaccuracy in, any representation, warranty, covenant or agreement of VIH or Merger Sub set forth in this Agreement, which breach or inaccuracy would cause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not to be satisfied if it remained uncured as of the Termination Date (and such breach or inaccuracy has not been cured or such condition has not been satisfied within twenty (20) Business Days after the receipt by VIH of written notice thereof from Bakkt Opco);</w:t>
      </w:r>
    </w:p>
    <w:p>
      <w:pPr>
        <w:spacing w:after="0" w:line="77" w:lineRule="exact"/>
        <w:rPr>
          <w:rFonts w:ascii="Times New Roman" w:cs="Times New Roman" w:eastAsia="Times New Roman" w:hAnsi="Times New Roman"/>
          <w:sz w:val="18"/>
          <w:szCs w:val="18"/>
          <w:color w:val="auto"/>
        </w:rPr>
      </w:pPr>
    </w:p>
    <w:p>
      <w:pPr>
        <w:ind w:right="180" w:firstLine="990"/>
        <w:spacing w:after="0" w:line="266" w:lineRule="auto"/>
        <w:tabs>
          <w:tab w:leader="none" w:pos="12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Bakkt Opco if (i) all of the conditions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have been satisfied or waived (other than conditions that by their terms or nature are to be satisfied at the Closing) on the date that the Closing should have been consummated in accordance with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(ii) Bakkt Opco has irrevocably confirmed by written notice to VIH and Merger Sub that all of the conditions set forth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have been satisfied (other than conditions that by their terms or nature are to be satisfied at the Closing) or that it is willing to waive any such unsatisfied conditions and that Bakkt Opco is ready, willing and able to consummate the Closing and (iii) VIH and Merger Sub have failed to consummate the Transactions by the earlier of the day that is (x) ten (10) Business Days after the day the Closing is required to occur pursuant to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or</w:t>
      </w:r>
    </w:p>
    <w:p>
      <w:pPr>
        <w:spacing w:after="0" w:line="2"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Business Days prior to the Termination Date;</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Bakkt Opco, if Available Cash set forth on the Closing Statement is less than Minimum Available Cash; or</w:t>
      </w:r>
    </w:p>
    <w:p>
      <w:pPr>
        <w:spacing w:after="0" w:line="113" w:lineRule="exact"/>
        <w:rPr>
          <w:rFonts w:ascii="Times New Roman" w:cs="Times New Roman" w:eastAsia="Times New Roman" w:hAnsi="Times New Roman"/>
          <w:sz w:val="18"/>
          <w:szCs w:val="18"/>
          <w:color w:val="auto"/>
        </w:rPr>
      </w:pPr>
    </w:p>
    <w:p>
      <w:pPr>
        <w:ind w:right="140" w:firstLine="990"/>
        <w:spacing w:after="0" w:line="263" w:lineRule="auto"/>
        <w:tabs>
          <w:tab w:leader="none" w:pos="119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VIH, if (i) the Initial Bakkt Equity Holder Support Agreement (including the written consents contemplated therein) have not been executed and delivered within twenty-four (24) hours following the Parties’ execution of this Agreement and (ii) the Bakkt Equity Holders Approval shall not have been obtained within seven (7) days following the Parties’ execution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20"/>
          </w:cols>
          <w:pgMar w:left="480" w:top="268" w:right="499" w:bottom="1440" w:gutter="0" w:footer="0" w:header="0"/>
        </w:sectPr>
      </w:pPr>
    </w:p>
    <w:bookmarkStart w:id="82" w:name="page83"/>
    <w:bookmarkEnd w:id="82"/>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This Agreement may only be terminated in the circumstances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pursuant to a written notice delivered by the applicable Party to the other applicable Party, which sets forth the provision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under which such termination is made. In the event of any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forthwith shall become void and of no further force or effect, and no Party (nor any of its Representatives) shall have any liability or obligation hereunder, except (i)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(Definitions) and the following Sections shall survive any such termination: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(Continued Effect of Confidentiality Agreement),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(Trust Account Waiver),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and (ii) nothing herein shall relieve any Party from liability for a Willful and Intentional Breach of this Agreement or any Transaction Document prior to such termination.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SURVIVAL; WAIVERS; GUARANTY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 Survival; Waivers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0" w:lineRule="auto"/>
        <w:tabs>
          <w:tab w:leader="none" w:pos="122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covenants and agreements of the Parties and their Affiliates in this Agreement, any Transaction Document or in any agreement or document delivered pursuant to this Agreement prior to the Closing will not survive beyond the Closing such that no claim for breach of any such representation, warranty, covenant or agreement, detrimental reliance or other right or remedy (whether in contract, in tort or at law or in equity) may be brought after the Closing with respect thereto against any of the Parties or any of their respective Affiliates, and there will be no liability in respect thereof, whether such liability has accrued prior to or after the Closing, on the part of any of the Parties or any of their respective Affiliates, except only for the following: (i) (A) Fraud Claims, (B) the representations and warranties by any Bakkt Equity Holder expressly set forth within the Letter of Transmittal, or (C) those covenants and agreements of Bakkt Opco contained herein or those covenants and agreements of Bakkt Opco, any Bakkt Equity Holder, any of their respective Affiliates, or any other Person in any other Transaction Document or agreement or document delivered pursuant to this Agreement, in each case, that by their terms are to be performed in whole or in part at or after the Closing (including any representations and warranties made by such Person in such other Transaction Document, agreement or document which is made after the Closing or is contemplated to survive the Closing or the termination of this Agreement) (the “</w:t>
      </w:r>
      <w:r>
        <w:rPr>
          <w:rFonts w:ascii="Times New Roman" w:cs="Times New Roman" w:eastAsia="Times New Roman" w:hAnsi="Times New Roman"/>
          <w:sz w:val="18"/>
          <w:szCs w:val="18"/>
          <w:u w:val="single" w:color="auto"/>
          <w:color w:val="auto"/>
        </w:rPr>
        <w:t>Excluded Bakkt Matters</w:t>
      </w:r>
      <w:r>
        <w:rPr>
          <w:rFonts w:ascii="Times New Roman" w:cs="Times New Roman" w:eastAsia="Times New Roman" w:hAnsi="Times New Roman"/>
          <w:sz w:val="18"/>
          <w:szCs w:val="18"/>
          <w:color w:val="auto"/>
        </w:rPr>
        <w:t>”) and (ii) (A) Fraud Claims,</w:t>
      </w:r>
    </w:p>
    <w:p>
      <w:pPr>
        <w:ind w:right="40" w:firstLine="7"/>
        <w:spacing w:after="0" w:line="250" w:lineRule="auto"/>
        <w:tabs>
          <w:tab w:leader="none" w:pos="2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covenants and agreements of VIH or Merger Sub contained herein or those covenants and agreements of VIH or Merger Sub in any Transaction Document, in each case, that by their terms are to be performed in whole or in part at or after the Closing (including any representations and warranties made by such Person in such other Transaction Document which is made after the Closing or is contemplated to survive the Closing or the termination of this Agreement) and (C) the right to seek specific performance pursuant to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Excluded VIH Matters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20"/>
          </w:cols>
          <w:pgMar w:left="480" w:top="268" w:right="499" w:bottom="1440" w:gutter="0" w:footer="0" w:header="0"/>
        </w:sectPr>
      </w:pPr>
    </w:p>
    <w:bookmarkStart w:id="83" w:name="page84"/>
    <w:bookmarkEnd w:id="83"/>
    <w:p>
      <w:pPr>
        <w:ind w:left="-20" w:firstLine="990"/>
        <w:spacing w:after="0" w:line="249" w:lineRule="auto"/>
        <w:tabs>
          <w:tab w:leader="none" w:pos="12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VIH, for itself and on behalf of its Subsidiaries and, after the Closing, Surviving Company and its Subsidiaries, acknowledges and agrees that, from and after the Closing, to the fullest extent permitted under applicable Law, any and all rights, claims and causes of action it may have against any of Bakkt Opco, the Bakkt Equity Holders or any of their respective directors, managers, officers or Affiliates relating to the operation of Bakkt Opco and its Subsidiaries or their respective businesses prior to the Closing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Bakkt Matters. Furthermore, without limiting the generality of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(i) no claim will be brought or maintained by, or on behalf of, VIH, Merger Sub or any of their respective Affiliates (including, after the Closing, Surviving Company and its Subsidiaries) against Bakkt Opco, the Bakkt Equity Holders or any of their respective directors, managers, officers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Bakkt Opco or any other Person set forth or contained in this Agreement or any Transaction Document, or as a result of any of the Transactions,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only for the Excluded Bakkt Matters or the rights provided to the Parties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VIH acknowledges and agrees that neither it, nor any of its Subsidiaries, nor any of their respective Affiliates may avoid such limitation on liability set forth in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for Excluded Bakkt Matters).</w:t>
      </w:r>
    </w:p>
    <w:p>
      <w:pPr>
        <w:spacing w:after="0" w:line="93" w:lineRule="exact"/>
        <w:rPr>
          <w:rFonts w:ascii="Times New Roman" w:cs="Times New Roman" w:eastAsia="Times New Roman" w:hAnsi="Times New Roman"/>
          <w:sz w:val="18"/>
          <w:szCs w:val="18"/>
          <w:color w:val="auto"/>
        </w:rPr>
      </w:pPr>
    </w:p>
    <w:p>
      <w:pPr>
        <w:ind w:left="-20" w:right="20" w:firstLine="990"/>
        <w:spacing w:after="0" w:line="266" w:lineRule="auto"/>
        <w:tabs>
          <w:tab w:leader="none" w:pos="120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Bakkt Opco, for itself and on behalf of its Subsidiaries, acknowledges and agrees that, from and after the Closing, to the fullest extent permitted under applicable law, any and all rights, claims and causes of action it may have against any of VIH, Bakkt Pubco, the VIH Shareholders (including VIH Sponsor) or any of their respective directors, members, managers, officers, investment managers, partners, employees, principals, investors, representatives, agents, predecessors, successors, assigns or Affiliates relating to the operation of VIH or Merger Sub or their respective businesses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VIH Matters. Furthermore, without limiting the generality of this </w:t>
      </w:r>
      <w:r>
        <w:rPr>
          <w:rFonts w:ascii="Times New Roman" w:cs="Times New Roman" w:eastAsia="Times New Roman" w:hAnsi="Times New Roman"/>
          <w:sz w:val="17"/>
          <w:szCs w:val="17"/>
          <w:u w:val="single" w:color="auto"/>
          <w:color w:val="auto"/>
        </w:rPr>
        <w:t>Section 9.1(c)</w:t>
      </w:r>
      <w:r>
        <w:rPr>
          <w:rFonts w:ascii="Times New Roman" w:cs="Times New Roman" w:eastAsia="Times New Roman" w:hAnsi="Times New Roman"/>
          <w:sz w:val="17"/>
          <w:szCs w:val="17"/>
          <w:color w:val="auto"/>
        </w:rPr>
        <w:t>, (i) no claim will be brought or maintained by, or on behalf of, Bakkt Opco or any Bakkt Equity Holder or any of their respective Affiliates against VIH, Bakkt Pubco, the VIH Shareholders (including VIH Sponsor) or any of their respective directors, members, managers, officers, investment managers, partners, employees, principals, investors, representatives, agents, predecessors, successors, assigns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VIH or Merger Sub set forth or contained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00"/>
          </w:cols>
          <w:pgMar w:left="500" w:top="268" w:right="499" w:bottom="1440" w:gutter="0" w:footer="0" w:header="0"/>
        </w:sectPr>
      </w:pPr>
    </w:p>
    <w:bookmarkStart w:id="84" w:name="page85"/>
    <w:bookmarkEnd w:id="8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 this Agreement or any Transaction Document, or as a result of any of the Transactions,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only for Excluded VIH Matters or the rights provided to the Parties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Bakkt Opco acknowledges and agrees that neither it, nor any of its Subsidiaries, nor any of their respective Affiliates may avoid such limitation on liability under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Excluded VIH Matters).</w:t>
      </w:r>
    </w:p>
    <w:p>
      <w:pPr>
        <w:spacing w:after="0" w:line="77" w:lineRule="exact"/>
        <w:rPr>
          <w:sz w:val="20"/>
          <w:szCs w:val="20"/>
          <w:color w:val="auto"/>
        </w:rPr>
      </w:pPr>
    </w:p>
    <w:p>
      <w:pPr>
        <w:ind w:right="300" w:firstLine="990"/>
        <w:spacing w:after="0" w:line="263" w:lineRule="auto"/>
        <w:tabs>
          <w:tab w:leader="none" w:pos="12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the limits imposed on each Party’s remedies with respect to this Agreement and the Transactions were specifically bargained for between sophisticated parties and were specifically taken into account in the determination of the amounts to be paid hereunder.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80" w:firstLine="990"/>
        <w:spacing w:after="0" w:line="265" w:lineRule="auto"/>
        <w:tabs>
          <w:tab w:leader="none" w:pos="1225"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Bakkt Opco understands that VIH has established a trust account (the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containing the proceeds of its initial public offering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and the overallotment shares acquired by its underwriters and from certain private placements occurring simultaneously with the IPO (including interest accrued from time to time thereon) for the benefit of VIH’s public stockholders (including overallotment shares acquired by VIH’s underwriters) (the “</w:t>
      </w:r>
      <w:r>
        <w:rPr>
          <w:rFonts w:ascii="Times New Roman" w:cs="Times New Roman" w:eastAsia="Times New Roman" w:hAnsi="Times New Roman"/>
          <w:sz w:val="17"/>
          <w:szCs w:val="17"/>
          <w:u w:val="single" w:color="auto"/>
          <w:color w:val="auto"/>
        </w:rPr>
        <w:t>Public Stockholders</w:t>
      </w:r>
      <w:r>
        <w:rPr>
          <w:rFonts w:ascii="Times New Roman" w:cs="Times New Roman" w:eastAsia="Times New Roman" w:hAnsi="Times New Roman"/>
          <w:sz w:val="17"/>
          <w:szCs w:val="17"/>
          <w:color w:val="auto"/>
        </w:rPr>
        <w:t>”), and that, except as otherwise described in the IPO Prospectus or as set forth in the Trust Agreement, VIH may disburse monies from the Trust Account only: (i) to the Public Stockholders in the event they elect to redeem their shares in connection with the consummation of VIH’s initial business combination (as such term is used in the IPO Prospectus) (the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or in connection with an extension of the deadline to consummate a Business Combination, (ii) to the Public Stockholders if VIH fails to consummate a Business Combination within twenty-four (24) months after the closing of the IPO, (iii) with respect to any interest earned on the amounts held in the Trust Account, amounts necessary to pay for any franchise or income taxes and up to one hundred thousand dollars ($100,000) in liquidation expenses or</w:t>
      </w:r>
    </w:p>
    <w:p>
      <w:pPr>
        <w:spacing w:after="0" w:line="2"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VIH after or concurrently with the consummation of a Business Combination.</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hereby agrees on behalf of itself and its Affiliates that:</w:t>
      </w:r>
    </w:p>
    <w:p>
      <w:pPr>
        <w:spacing w:after="0" w:line="113" w:lineRule="exact"/>
        <w:rPr>
          <w:rFonts w:ascii="Times New Roman" w:cs="Times New Roman" w:eastAsia="Times New Roman" w:hAnsi="Times New Roman"/>
          <w:sz w:val="18"/>
          <w:szCs w:val="18"/>
          <w:color w:val="auto"/>
        </w:rPr>
      </w:pPr>
    </w:p>
    <w:p>
      <w:pPr>
        <w:ind w:left="440" w:firstLine="947"/>
        <w:spacing w:after="0" w:line="271" w:lineRule="auto"/>
        <w:tabs>
          <w:tab w:leader="none" w:pos="1596" w:val="left"/>
        </w:tabs>
        <w:numPr>
          <w:ilvl w:val="2"/>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Bakkt Opco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VIH or its Representatives, on the one hand, and Bakkt Opco or its Representatives, on the other hand, or any other matter, and regardless of whether such claim arises based on contract, tort, equity or any other theory of legal liability (any and all such claims against the Trust Account are collectively referred to hereafter as the “</w:t>
      </w:r>
      <w:r>
        <w:rPr>
          <w:rFonts w:ascii="Times New Roman" w:cs="Times New Roman" w:eastAsia="Times New Roman" w:hAnsi="Times New Roman"/>
          <w:sz w:val="17"/>
          <w:szCs w:val="17"/>
          <w:u w:val="single" w:color="auto"/>
          <w:color w:val="auto"/>
        </w:rPr>
        <w:t>Released Claims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00"/>
          </w:cols>
          <w:pgMar w:left="480" w:top="268" w:right="519" w:bottom="1440" w:gutter="0" w:footer="0" w:header="0"/>
        </w:sectPr>
      </w:pPr>
    </w:p>
    <w:bookmarkStart w:id="85" w:name="page86"/>
    <w:bookmarkEnd w:id="85"/>
    <w:p>
      <w:pPr>
        <w:ind w:left="440" w:right="220" w:firstLine="947"/>
        <w:spacing w:after="0" w:line="255" w:lineRule="auto"/>
        <w:tabs>
          <w:tab w:leader="none" w:pos="164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on behalf of itself and its Affiliates hereby irrevocably waives any Released Claims that Bakkt Opco or any of its Affiliates may have against the Trust Account (including any distributions therefrom) now or in the future as a result of, or arising out of, any negotiations, Contracts or agreements with VIH or its Representatives, including this Agreement or the Transactions, and will not seek recourse against the Trust Account (including any distributions therefrom) in connection therewith (including for an alleged breach of this Agreement or any other agreement with VIH or its Affiliates);</w:t>
      </w:r>
    </w:p>
    <w:p>
      <w:pPr>
        <w:spacing w:after="0" w:line="77" w:lineRule="exact"/>
        <w:rPr>
          <w:rFonts w:ascii="Times New Roman" w:cs="Times New Roman" w:eastAsia="Times New Roman" w:hAnsi="Times New Roman"/>
          <w:sz w:val="18"/>
          <w:szCs w:val="18"/>
          <w:color w:val="auto"/>
        </w:rPr>
      </w:pPr>
    </w:p>
    <w:p>
      <w:pPr>
        <w:ind w:left="440" w:right="60" w:firstLine="947"/>
        <w:spacing w:after="0" w:line="263" w:lineRule="auto"/>
        <w:tabs>
          <w:tab w:leader="none" w:pos="169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irrevocable waiver set forth in the immediately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is material to this Agreement and specifically relied upon by VIH and its Affiliates to induce VIH to enter in this Agreement, and Bakkt Opco further intends and understands such waiver to be valid, binding and enforceable against Bakkt Opco and each of its Affiliates under applicable Law; and</w:t>
      </w:r>
    </w:p>
    <w:p>
      <w:pPr>
        <w:spacing w:after="0" w:line="68" w:lineRule="exact"/>
        <w:rPr>
          <w:rFonts w:ascii="Times New Roman" w:cs="Times New Roman" w:eastAsia="Times New Roman" w:hAnsi="Times New Roman"/>
          <w:sz w:val="18"/>
          <w:szCs w:val="18"/>
          <w:color w:val="auto"/>
        </w:rPr>
      </w:pPr>
    </w:p>
    <w:p>
      <w:pPr>
        <w:ind w:left="440" w:right="20" w:firstLine="947"/>
        <w:spacing w:after="0" w:line="254" w:lineRule="auto"/>
        <w:tabs>
          <w:tab w:leader="none" w:pos="168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Bakkt Opco or any of its Affiliates commences any action or proceeding based upon, in connection with, relating to or arising out of any matter relating to VIH or its Representatives, including this Agreement or the Transactions, which proceeding seeks, in whole or in part, monetary relief against VIH or Representatives, Bakkt Opco hereby acknowledges and agrees that Bakkt Opco’s and its Affiliates’ sole remedy shall be against funds held outside of the Trust Account and such claim shall not permit Bakkt Opco or its Affiliates (or any Person claiming on any of their behalves or in lieu of any of them) to have any claim against the Trust Account (including any distributions therefrom) or any amounts contained therein.</w:t>
      </w:r>
    </w:p>
    <w:p>
      <w:pPr>
        <w:spacing w:after="0" w:line="76" w:lineRule="exact"/>
        <w:rPr>
          <w:rFonts w:ascii="Times New Roman" w:cs="Times New Roman" w:eastAsia="Times New Roman" w:hAnsi="Times New Roman"/>
          <w:sz w:val="18"/>
          <w:szCs w:val="18"/>
          <w:color w:val="auto"/>
        </w:rPr>
      </w:pPr>
    </w:p>
    <w:p>
      <w:pPr>
        <w:ind w:right="340" w:firstLine="990"/>
        <w:spacing w:after="0" w:line="274" w:lineRule="auto"/>
        <w:tabs>
          <w:tab w:leader="none" w:pos="1225"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or anything to the contrary in the Confidentiality Agreement, nothing in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or the Confidentiality Agreement shall waive, limit, amend, alter, change, supersede or otherwise modify the right of Bakkt Opco or any of its Affiliates to</w:t>
      </w:r>
    </w:p>
    <w:p>
      <w:pPr>
        <w:ind w:firstLine="7"/>
        <w:spacing w:after="0" w:line="262" w:lineRule="auto"/>
        <w:tabs>
          <w:tab w:leader="none" w:pos="21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bring any action or actions for specific performance, injunctive and/or equitable relief (including the right of Bakkt Opco to compel specific performance by VIH and/or Merger Sub of their respective obligations under this Agreement), (ii) bring or seek a claim for damages against VIH and/or Merger Sub, or any of their respective successors or assigns, for any breach of this Agreement against monies or other assets held outside the Trust Account (other than distributions therefrom to Public Stockholders as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(ii) of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(iii) bring or seek a claim that Bakkt Opco or its Affiliates may have in the future against VIH’s assets or funds that are not held in the Trust Account (including any funds that have been released from the Trust Account and any assets that have been purchased or acquired with any such funds), but excluding distributions therefrom to Public Stockholders as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(ii) of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or (iv) bring or seek a claim against any other Person (or any Affiliate thereof) that is party to an alternative Business Combination consummated by VIH. Furthermore, VIH shall not execute any definitive agreement related to such alternative Business Combination that (A) attempts to prevent Bakkt Opco or any Affiliate thereof from so bringing or seeking any such claim, or</w:t>
      </w:r>
    </w:p>
    <w:p>
      <w:pPr>
        <w:spacing w:after="0" w:line="5" w:lineRule="exact"/>
        <w:rPr>
          <w:rFonts w:ascii="Times New Roman" w:cs="Times New Roman" w:eastAsia="Times New Roman" w:hAnsi="Times New Roman"/>
          <w:sz w:val="17"/>
          <w:szCs w:val="17"/>
          <w:color w:val="auto"/>
        </w:rPr>
      </w:pPr>
    </w:p>
    <w:p>
      <w:pPr>
        <w:ind w:right="7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permits the entity that survives such alternative Business Combination to not assume VIH’s obligation for damages in connection with this Agreement and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-984885</wp:posOffset>
            </wp:positionV>
            <wp:extent cx="1663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6370" cy="825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-577215</wp:posOffset>
            </wp:positionV>
            <wp:extent cx="1663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20"/>
          </w:cols>
          <w:pgMar w:left="480" w:top="268" w:right="499" w:bottom="1440" w:gutter="0" w:footer="0" w:header="0"/>
        </w:sectPr>
      </w:pPr>
    </w:p>
    <w:bookmarkStart w:id="86" w:name="page87"/>
    <w:bookmarkEnd w:id="8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Specific 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includes cross references for capitalized terms that are not otherwise defined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760" w:firstLine="990"/>
        <w:spacing w:after="0" w:line="278" w:lineRule="auto"/>
        <w:tabs>
          <w:tab w:leader="none" w:pos="12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 civil, criminal or administrative action, suit, claim, complaint, stipulation, demand, charge, hearing, audit, investigation, request (including request for information), arbitration or proceeding by or before any Governmental Authority.</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Advisory Charter Proposals</w:t>
      </w:r>
      <w:r>
        <w:rPr>
          <w:rFonts w:ascii="Times New Roman" w:cs="Times New Roman" w:eastAsia="Times New Roman" w:hAnsi="Times New Roman"/>
          <w:sz w:val="18"/>
          <w:szCs w:val="18"/>
          <w:color w:val="auto"/>
        </w:rPr>
        <w:t>” means the non-binding proposals submitted for a vote at the VIH Shareholder Meeting.</w:t>
      </w:r>
    </w:p>
    <w:p>
      <w:pPr>
        <w:spacing w:after="0" w:line="113" w:lineRule="exact"/>
        <w:rPr>
          <w:rFonts w:ascii="Times New Roman" w:cs="Times New Roman" w:eastAsia="Times New Roman" w:hAnsi="Times New Roman"/>
          <w:sz w:val="18"/>
          <w:szCs w:val="18"/>
          <w:color w:val="auto"/>
        </w:rPr>
      </w:pPr>
    </w:p>
    <w:p>
      <w:pPr>
        <w:ind w:right="20" w:firstLine="990"/>
        <w:spacing w:after="0" w:line="255" w:lineRule="auto"/>
        <w:tabs>
          <w:tab w:leader="none" w:pos="12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through one or more entities, controls or is controlled by, or is under common control with, such specified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With respect to VIH, “Affiliates” shall include, without limitation, funds, accounts and/or other investment vehicles managed by Victory Park Capital Advisors, LLC.</w:t>
      </w:r>
    </w:p>
    <w:p>
      <w:pPr>
        <w:spacing w:after="0" w:line="77" w:lineRule="exact"/>
        <w:rPr>
          <w:rFonts w:ascii="Times New Roman" w:cs="Times New Roman" w:eastAsia="Times New Roman" w:hAnsi="Times New Roman"/>
          <w:sz w:val="18"/>
          <w:szCs w:val="18"/>
          <w:color w:val="auto"/>
        </w:rPr>
      </w:pPr>
    </w:p>
    <w:p>
      <w:pPr>
        <w:ind w:right="460" w:firstLine="990"/>
        <w:spacing w:after="0" w:line="278" w:lineRule="auto"/>
        <w:tabs>
          <w:tab w:leader="none" w:pos="12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Merger Consideration</w:t>
      </w:r>
      <w:r>
        <w:rPr>
          <w:rFonts w:ascii="Times New Roman" w:cs="Times New Roman" w:eastAsia="Times New Roman" w:hAnsi="Times New Roman"/>
          <w:sz w:val="18"/>
          <w:szCs w:val="18"/>
          <w:color w:val="auto"/>
        </w:rPr>
        <w:t>” means (i) an aggregate of 208,200,000 Surviving Company Common Units and (ii) an equal number of Bakkt Pubco Class V Shares.</w:t>
      </w:r>
    </w:p>
    <w:p>
      <w:pPr>
        <w:spacing w:after="0" w:line="55" w:lineRule="exact"/>
        <w:rPr>
          <w:rFonts w:ascii="Times New Roman" w:cs="Times New Roman" w:eastAsia="Times New Roman" w:hAnsi="Times New Roman"/>
          <w:sz w:val="18"/>
          <w:szCs w:val="18"/>
          <w:color w:val="auto"/>
        </w:rPr>
      </w:pPr>
    </w:p>
    <w:p>
      <w:pPr>
        <w:jc w:val="both"/>
        <w:ind w:right="160" w:firstLine="990"/>
        <w:spacing w:after="0" w:line="258" w:lineRule="auto"/>
        <w:tabs>
          <w:tab w:leader="none" w:pos="12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xml:space="preserve">” means, as set forth in the finally determined Closing Statement, an amount in cash equal to (i) the amount of funds available to VIH in the Trust Account following payment to all holders of VIH Class A Shares who have elected to redeem their shares in connection with the Transactions, (ii)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funds available to VIH outside the Trust Account, and (iii)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gross cash proceeds of the PIPE Financing; in each case, prior to, and without taking account of, any VIH Transaction Expenses or Bakkt Transaction Expenses.</w:t>
      </w:r>
    </w:p>
    <w:p>
      <w:pPr>
        <w:spacing w:after="0" w:line="72" w:lineRule="exact"/>
        <w:rPr>
          <w:rFonts w:ascii="Times New Roman" w:cs="Times New Roman" w:eastAsia="Times New Roman" w:hAnsi="Times New Roman"/>
          <w:sz w:val="18"/>
          <w:szCs w:val="18"/>
          <w:color w:val="auto"/>
        </w:rPr>
      </w:pPr>
    </w:p>
    <w:p>
      <w:pPr>
        <w:ind w:right="220" w:firstLine="990"/>
        <w:spacing w:after="0" w:line="258" w:lineRule="auto"/>
        <w:tabs>
          <w:tab w:leader="none" w:pos="120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Benefit Arrangement</w:t>
      </w:r>
      <w:r>
        <w:rPr>
          <w:rFonts w:ascii="Times New Roman" w:cs="Times New Roman" w:eastAsia="Times New Roman" w:hAnsi="Times New Roman"/>
          <w:sz w:val="18"/>
          <w:szCs w:val="18"/>
          <w:color w:val="auto"/>
        </w:rPr>
        <w:t>” means any Benefit Arrangement sponsored, maintained or contributed to by Bakkt Opco or any of its Subsidiaries or with respect to which Bakkt Opco or any of its Subsidiaries has any current or future Liability (whether direct or indirect, actual, contingent or otherwise, with respect to any of its assets or otherwise), in each case with respect to any present or former employees, consultants or service providers of Bakkt Opco or any of its Subsidiaries.</w:t>
      </w:r>
    </w:p>
    <w:p>
      <w:pPr>
        <w:spacing w:after="0" w:line="72" w:lineRule="exact"/>
        <w:rPr>
          <w:rFonts w:ascii="Times New Roman" w:cs="Times New Roman" w:eastAsia="Times New Roman" w:hAnsi="Times New Roman"/>
          <w:sz w:val="18"/>
          <w:szCs w:val="18"/>
          <w:color w:val="auto"/>
        </w:rPr>
      </w:pPr>
    </w:p>
    <w:p>
      <w:pPr>
        <w:ind w:firstLine="990"/>
        <w:spacing w:after="0" w:line="253" w:lineRule="auto"/>
        <w:tabs>
          <w:tab w:leader="none" w:pos="12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Benefit Plan</w:t>
      </w:r>
      <w:r>
        <w:rPr>
          <w:rFonts w:ascii="Times New Roman" w:cs="Times New Roman" w:eastAsia="Times New Roman" w:hAnsi="Times New Roman"/>
          <w:sz w:val="18"/>
          <w:szCs w:val="18"/>
          <w:color w:val="auto"/>
        </w:rPr>
        <w:t>” means any Benefit Plan for which Bakkt Opco or any of its Subsidiaries is or has been the “plan sponsor” (as defined in 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Bakkt Opco or any of its Subsidiaries maintains, sponsors, contributes to or to which it is obligated to make payments or has any current or future Liability, in each case with respect to any present or former employees of Bakkt Opco or any of its Subsidiaries.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40"/>
          </w:cols>
          <w:pgMar w:left="480" w:top="264" w:right="579" w:bottom="1440" w:gutter="0" w:footer="0" w:header="0"/>
        </w:sectPr>
      </w:pPr>
    </w:p>
    <w:bookmarkStart w:id="87" w:name="page88"/>
    <w:bookmarkEnd w:id="87"/>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means, collectively, the holders of all of Bakkt Interests.</w:t>
      </w:r>
    </w:p>
    <w:p>
      <w:pPr>
        <w:spacing w:after="0" w:line="113" w:lineRule="exact"/>
        <w:rPr>
          <w:rFonts w:ascii="Times New Roman" w:cs="Times New Roman" w:eastAsia="Times New Roman" w:hAnsi="Times New Roman"/>
          <w:sz w:val="18"/>
          <w:szCs w:val="18"/>
          <w:color w:val="auto"/>
        </w:rPr>
      </w:pPr>
    </w:p>
    <w:p>
      <w:pPr>
        <w:ind w:left="-60" w:right="220" w:firstLine="990"/>
        <w:spacing w:after="0" w:line="263" w:lineRule="auto"/>
        <w:tabs>
          <w:tab w:leader="none" w:pos="11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 Approval</w:t>
      </w:r>
      <w:r>
        <w:rPr>
          <w:rFonts w:ascii="Times New Roman" w:cs="Times New Roman" w:eastAsia="Times New Roman" w:hAnsi="Times New Roman"/>
          <w:sz w:val="18"/>
          <w:szCs w:val="18"/>
          <w:color w:val="auto"/>
        </w:rPr>
        <w:t>” means the affirmative vote or written consent of the holders of the requisite number of the then outstanding Bakkt Interests voting or consenting together in favor of the adoption of this Agreement, the Transaction Documents, the Merger and the other Transactions in accordance with the DLLCA and the Organizational Documents of Bakkt Opco.</w:t>
      </w:r>
    </w:p>
    <w:p>
      <w:pPr>
        <w:spacing w:after="0" w:line="68" w:lineRule="exact"/>
        <w:rPr>
          <w:rFonts w:ascii="Times New Roman" w:cs="Times New Roman" w:eastAsia="Times New Roman" w:hAnsi="Times New Roman"/>
          <w:sz w:val="18"/>
          <w:szCs w:val="18"/>
          <w:color w:val="auto"/>
        </w:rPr>
      </w:pPr>
    </w:p>
    <w:p>
      <w:pPr>
        <w:ind w:left="1140" w:hanging="210"/>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Incentive Plan</w:t>
      </w:r>
      <w:r>
        <w:rPr>
          <w:rFonts w:ascii="Times New Roman" w:cs="Times New Roman" w:eastAsia="Times New Roman" w:hAnsi="Times New Roman"/>
          <w:sz w:val="18"/>
          <w:szCs w:val="18"/>
          <w:color w:val="auto"/>
        </w:rPr>
        <w:t>” means the Amended and Restated Bakkt Equity Incentive Plan.</w:t>
      </w:r>
    </w:p>
    <w:p>
      <w:pPr>
        <w:spacing w:after="0" w:line="113" w:lineRule="exact"/>
        <w:rPr>
          <w:rFonts w:ascii="Times New Roman" w:cs="Times New Roman" w:eastAsia="Times New Roman" w:hAnsi="Times New Roman"/>
          <w:sz w:val="18"/>
          <w:szCs w:val="18"/>
          <w:color w:val="auto"/>
        </w:rPr>
      </w:pPr>
    </w:p>
    <w:p>
      <w:pPr>
        <w:ind w:left="-60" w:right="560" w:firstLine="990"/>
        <w:spacing w:after="0" w:line="308" w:lineRule="auto"/>
        <w:tabs>
          <w:tab w:leader="none" w:pos="117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Bakkt Fundamental Representations</w:t>
      </w:r>
      <w:r>
        <w:rPr>
          <w:rFonts w:ascii="Times New Roman" w:cs="Times New Roman" w:eastAsia="Times New Roman" w:hAnsi="Times New Roman"/>
          <w:sz w:val="17"/>
          <w:szCs w:val="17"/>
          <w:color w:val="auto"/>
        </w:rPr>
        <w:t xml:space="preserve">” means the representations and warranties set forth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(Due Organization),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(Due Organization),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(Authorization),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(Capitalization), and </w:t>
      </w:r>
      <w:r>
        <w:rPr>
          <w:rFonts w:ascii="Times New Roman" w:cs="Times New Roman" w:eastAsia="Times New Roman" w:hAnsi="Times New Roman"/>
          <w:sz w:val="17"/>
          <w:szCs w:val="17"/>
          <w:u w:val="single" w:color="auto"/>
          <w:color w:val="auto"/>
        </w:rPr>
        <w:t>Section 3.18</w:t>
      </w:r>
      <w:r>
        <w:rPr>
          <w:rFonts w:ascii="Times New Roman" w:cs="Times New Roman" w:eastAsia="Times New Roman" w:hAnsi="Times New Roman"/>
          <w:sz w:val="17"/>
          <w:szCs w:val="17"/>
          <w:color w:val="auto"/>
        </w:rPr>
        <w:t xml:space="preserve"> (Brokers and Agents).</w:t>
      </w:r>
    </w:p>
    <w:p>
      <w:pPr>
        <w:spacing w:after="0" w:line="33" w:lineRule="exact"/>
        <w:rPr>
          <w:rFonts w:ascii="Times New Roman" w:cs="Times New Roman" w:eastAsia="Times New Roman" w:hAnsi="Times New Roman"/>
          <w:sz w:val="17"/>
          <w:szCs w:val="17"/>
          <w:color w:val="auto"/>
        </w:rPr>
      </w:pPr>
    </w:p>
    <w:p>
      <w:pPr>
        <w:ind w:left="-60" w:right="80" w:firstLine="990"/>
        <w:spacing w:after="0" w:line="252" w:lineRule="auto"/>
        <w:tabs>
          <w:tab w:leader="none" w:pos="11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Indebtedness</w:t>
      </w:r>
      <w:r>
        <w:rPr>
          <w:rFonts w:ascii="Times New Roman" w:cs="Times New Roman" w:eastAsia="Times New Roman" w:hAnsi="Times New Roman"/>
          <w:sz w:val="18"/>
          <w:szCs w:val="18"/>
          <w:color w:val="auto"/>
        </w:rPr>
        <w:t xml:space="preserve">” means, without duplication, (i) indebtedness of the Bakkt Opco or any of its Subsidiaries for borrowed money (including the outstanding principal and accrued but unpaid interest), (ii) any other indebtedness of the Bakkt Opco or its any of its Subsidiaries that is evidenced by a note, performance or other bond, debenture, mortgage, credit agreement or other debt instrument or debt security, (iii) all obligations of the Bakkt Opco or any of its Subsidiaries for the reimbursement of any obligor on any line or letter of credit, banker’s acceptance, guarantee or similar credit transaction, in each case, that has been drawn, called or claimed against, (iv) any premiums, prepayment fees or other penalties, fees, costs or expenses associated with payment of any Bakkt Indebtedness, and (v) all obligations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of any other Person which is guaranteed by the Bakkt Opco or any of its Subsidiaries (as surety or otherwise) or which is secured by any of the assets of the Bakkt Opco or any of its Subsidiaries and all accrued and unpaid interest thereon, if any.</w:t>
      </w:r>
    </w:p>
    <w:p>
      <w:pPr>
        <w:spacing w:after="0" w:line="80" w:lineRule="exact"/>
        <w:rPr>
          <w:rFonts w:ascii="Times New Roman" w:cs="Times New Roman" w:eastAsia="Times New Roman" w:hAnsi="Times New Roman"/>
          <w:sz w:val="18"/>
          <w:szCs w:val="18"/>
          <w:color w:val="auto"/>
        </w:rPr>
      </w:pPr>
    </w:p>
    <w:p>
      <w:pPr>
        <w:ind w:left="-60" w:firstLine="990"/>
        <w:spacing w:after="0" w:line="263" w:lineRule="auto"/>
        <w:tabs>
          <w:tab w:leader="none" w:pos="12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Interests</w:t>
      </w:r>
      <w:r>
        <w:rPr>
          <w:rFonts w:ascii="Times New Roman" w:cs="Times New Roman" w:eastAsia="Times New Roman" w:hAnsi="Times New Roman"/>
          <w:sz w:val="18"/>
          <w:szCs w:val="18"/>
          <w:color w:val="auto"/>
        </w:rPr>
        <w:t>” means all of the outstanding units of limited liability company interests in Bakkt Opco, including the Class A Voting Units, the Class B Voting Units, the Class C Voting Units and the Bakkt Opco Incentive Units, each as set forth and defined in the Bakkt Opco LLC Agreement, but excluding the Participation Units.</w:t>
      </w:r>
    </w:p>
    <w:p>
      <w:pPr>
        <w:spacing w:after="0" w:line="68" w:lineRule="exact"/>
        <w:rPr>
          <w:rFonts w:ascii="Times New Roman" w:cs="Times New Roman" w:eastAsia="Times New Roman" w:hAnsi="Times New Roman"/>
          <w:sz w:val="18"/>
          <w:szCs w:val="18"/>
          <w:color w:val="auto"/>
        </w:rPr>
      </w:pPr>
    </w:p>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IP</w:t>
      </w:r>
      <w:r>
        <w:rPr>
          <w:rFonts w:ascii="Times New Roman" w:cs="Times New Roman" w:eastAsia="Times New Roman" w:hAnsi="Times New Roman"/>
          <w:sz w:val="18"/>
          <w:szCs w:val="18"/>
          <w:color w:val="auto"/>
        </w:rPr>
        <w:t>” means all Intellectual Property owned by Bakkt Opco or any of its Subsidiaries.</w:t>
      </w:r>
    </w:p>
    <w:p>
      <w:pPr>
        <w:spacing w:after="0" w:line="113" w:lineRule="exact"/>
        <w:rPr>
          <w:rFonts w:ascii="Times New Roman" w:cs="Times New Roman" w:eastAsia="Times New Roman" w:hAnsi="Times New Roman"/>
          <w:sz w:val="18"/>
          <w:szCs w:val="18"/>
          <w:color w:val="auto"/>
        </w:rPr>
      </w:pPr>
    </w:p>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Leased Real Property</w:t>
      </w:r>
      <w:r>
        <w:rPr>
          <w:rFonts w:ascii="Times New Roman" w:cs="Times New Roman" w:eastAsia="Times New Roman" w:hAnsi="Times New Roman"/>
          <w:sz w:val="18"/>
          <w:szCs w:val="18"/>
          <w:color w:val="auto"/>
        </w:rPr>
        <w:t>” means all Real Property leased by Bakkt Opco or any of its Subsidiaries.</w:t>
      </w:r>
    </w:p>
    <w:p>
      <w:pPr>
        <w:spacing w:after="0" w:line="113" w:lineRule="exact"/>
        <w:rPr>
          <w:rFonts w:ascii="Times New Roman" w:cs="Times New Roman" w:eastAsia="Times New Roman" w:hAnsi="Times New Roman"/>
          <w:sz w:val="18"/>
          <w:szCs w:val="18"/>
          <w:color w:val="auto"/>
        </w:rPr>
      </w:pPr>
    </w:p>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Management</w:t>
      </w:r>
      <w:r>
        <w:rPr>
          <w:rFonts w:ascii="Times New Roman" w:cs="Times New Roman" w:eastAsia="Times New Roman" w:hAnsi="Times New Roman"/>
          <w:sz w:val="18"/>
          <w:szCs w:val="18"/>
          <w:color w:val="auto"/>
        </w:rPr>
        <w:t>” means Bakkt Management, LLC, a Delaware limited liability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00"/>
          </w:cols>
          <w:pgMar w:left="540" w:top="268" w:right="559" w:bottom="1440" w:gutter="0" w:footer="0" w:header="0"/>
        </w:sectPr>
      </w:pPr>
    </w:p>
    <w:bookmarkStart w:id="88" w:name="page89"/>
    <w:bookmarkEnd w:id="88"/>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Bakkt Opco Incentive Units</w:t>
      </w:r>
      <w:r>
        <w:rPr>
          <w:rFonts w:ascii="Times New Roman" w:cs="Times New Roman" w:eastAsia="Times New Roman" w:hAnsi="Times New Roman"/>
          <w:sz w:val="18"/>
          <w:szCs w:val="18"/>
          <w:color w:val="auto"/>
        </w:rPr>
        <w:t>” means the “Incentive Units” of Bakkt Opco (as defined in the Bakkt Opco LLC Agreement).</w:t>
      </w:r>
    </w:p>
    <w:p>
      <w:pPr>
        <w:spacing w:after="0" w:line="113" w:lineRule="exact"/>
        <w:rPr>
          <w:rFonts w:ascii="Times New Roman" w:cs="Times New Roman" w:eastAsia="Times New Roman" w:hAnsi="Times New Roman"/>
          <w:sz w:val="18"/>
          <w:szCs w:val="18"/>
          <w:color w:val="auto"/>
        </w:rPr>
      </w:pPr>
    </w:p>
    <w:p>
      <w:pPr>
        <w:ind w:right="80" w:firstLine="990"/>
        <w:spacing w:after="0" w:line="278" w:lineRule="auto"/>
        <w:tabs>
          <w:tab w:leader="none" w:pos="12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 of Bakkt Opco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known by Bakkt Opco</w:t>
      </w:r>
      <w:r>
        <w:rPr>
          <w:rFonts w:ascii="Times New Roman" w:cs="Times New Roman" w:eastAsia="Times New Roman" w:hAnsi="Times New Roman"/>
          <w:sz w:val="18"/>
          <w:szCs w:val="18"/>
          <w:color w:val="auto"/>
        </w:rPr>
        <w:t xml:space="preserve">” or phrases of similar import, mean the actual, after reasonable inquiry, knowledge of any Person named on </w:t>
      </w:r>
      <w:r>
        <w:rPr>
          <w:rFonts w:ascii="Times New Roman" w:cs="Times New Roman" w:eastAsia="Times New Roman" w:hAnsi="Times New Roman"/>
          <w:sz w:val="18"/>
          <w:szCs w:val="18"/>
          <w:u w:val="single" w:color="auto"/>
          <w:color w:val="auto"/>
        </w:rPr>
        <w:t>Section 10.1(r)</w:t>
      </w:r>
      <w:r>
        <w:rPr>
          <w:rFonts w:ascii="Times New Roman" w:cs="Times New Roman" w:eastAsia="Times New Roman" w:hAnsi="Times New Roman"/>
          <w:sz w:val="18"/>
          <w:szCs w:val="18"/>
          <w:color w:val="auto"/>
        </w:rPr>
        <w:t xml:space="preserve"> of the Bakkt Disclosure Letter.</w:t>
      </w:r>
    </w:p>
    <w:p>
      <w:pPr>
        <w:spacing w:after="0" w:line="55" w:lineRule="exact"/>
        <w:rPr>
          <w:rFonts w:ascii="Times New Roman" w:cs="Times New Roman" w:eastAsia="Times New Roman" w:hAnsi="Times New Roman"/>
          <w:sz w:val="18"/>
          <w:szCs w:val="18"/>
          <w:color w:val="auto"/>
        </w:rPr>
      </w:pPr>
    </w:p>
    <w:p>
      <w:pPr>
        <w:ind w:firstLine="990"/>
        <w:spacing w:after="0" w:line="278" w:lineRule="auto"/>
        <w:tabs>
          <w:tab w:leader="none" w:pos="12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LLC Agreement</w:t>
      </w:r>
      <w:r>
        <w:rPr>
          <w:rFonts w:ascii="Times New Roman" w:cs="Times New Roman" w:eastAsia="Times New Roman" w:hAnsi="Times New Roman"/>
          <w:sz w:val="18"/>
          <w:szCs w:val="18"/>
          <w:color w:val="auto"/>
        </w:rPr>
        <w:t>” means the Second Amended and Restated Limited Liability Company Agreement of Bakkt Opco, dated as of February 28, 2020.</w:t>
      </w:r>
    </w:p>
    <w:p>
      <w:pPr>
        <w:spacing w:after="0" w:line="55"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Owned Real Property</w:t>
      </w:r>
      <w:r>
        <w:rPr>
          <w:rFonts w:ascii="Times New Roman" w:cs="Times New Roman" w:eastAsia="Times New Roman" w:hAnsi="Times New Roman"/>
          <w:sz w:val="18"/>
          <w:szCs w:val="18"/>
          <w:color w:val="auto"/>
        </w:rPr>
        <w:t>” means all Real Property owned by Bakkt Opco or any of its Subsidiaries.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 Class A Share</w:t>
      </w:r>
      <w:r>
        <w:rPr>
          <w:rFonts w:ascii="Times New Roman" w:cs="Times New Roman" w:eastAsia="Times New Roman" w:hAnsi="Times New Roman"/>
          <w:sz w:val="18"/>
          <w:szCs w:val="18"/>
          <w:color w:val="auto"/>
        </w:rPr>
        <w:t>” means a share of Class A common stock, par value $0.0001, of Bakkt Pubco, as set forth in the Bakkt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Charter.</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 Class V Share</w:t>
      </w:r>
      <w:r>
        <w:rPr>
          <w:rFonts w:ascii="Times New Roman" w:cs="Times New Roman" w:eastAsia="Times New Roman" w:hAnsi="Times New Roman"/>
          <w:sz w:val="18"/>
          <w:szCs w:val="18"/>
          <w:color w:val="auto"/>
        </w:rPr>
        <w:t>” means a share of Class V common stock, par value $0.0001, of Bakkt Pubco, as set forth in the Bakkt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Charter.</w:t>
      </w:r>
    </w:p>
    <w:p>
      <w:pPr>
        <w:spacing w:after="0" w:line="95" w:lineRule="exact"/>
        <w:rPr>
          <w:rFonts w:ascii="Times New Roman" w:cs="Times New Roman" w:eastAsia="Times New Roman" w:hAnsi="Times New Roman"/>
          <w:sz w:val="18"/>
          <w:szCs w:val="18"/>
          <w:color w:val="auto"/>
        </w:rPr>
      </w:pPr>
    </w:p>
    <w:p>
      <w:pPr>
        <w:ind w:left="1280" w:hanging="290"/>
        <w:spacing w:after="0"/>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 Public Warrants</w:t>
      </w:r>
      <w:r>
        <w:rPr>
          <w:rFonts w:ascii="Times New Roman" w:cs="Times New Roman" w:eastAsia="Times New Roman" w:hAnsi="Times New Roman"/>
          <w:sz w:val="18"/>
          <w:szCs w:val="18"/>
          <w:color w:val="auto"/>
        </w:rPr>
        <w:t>” means the Bakkt Pubco Warrants issued in exchange for the VIH Public Warrants in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Domestication.</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Real Property</w:t>
      </w:r>
      <w:r>
        <w:rPr>
          <w:rFonts w:ascii="Times New Roman" w:cs="Times New Roman" w:eastAsia="Times New Roman" w:hAnsi="Times New Roman"/>
          <w:sz w:val="18"/>
          <w:szCs w:val="18"/>
          <w:color w:val="auto"/>
        </w:rPr>
        <w:t>” means all Bakkt Owned Real Property and Bakkt Leased Real Property.</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Software</w:t>
      </w:r>
      <w:r>
        <w:rPr>
          <w:rFonts w:ascii="Times New Roman" w:cs="Times New Roman" w:eastAsia="Times New Roman" w:hAnsi="Times New Roman"/>
          <w:sz w:val="18"/>
          <w:szCs w:val="18"/>
          <w:color w:val="auto"/>
        </w:rPr>
        <w:t>” means all Software owned by Bakkt Opco or any of its Subsidiaries.</w:t>
      </w:r>
    </w:p>
    <w:p>
      <w:pPr>
        <w:spacing w:after="0" w:line="113" w:lineRule="exact"/>
        <w:rPr>
          <w:rFonts w:ascii="Times New Roman" w:cs="Times New Roman" w:eastAsia="Times New Roman" w:hAnsi="Times New Roman"/>
          <w:sz w:val="18"/>
          <w:szCs w:val="18"/>
          <w:color w:val="auto"/>
        </w:rPr>
      </w:pPr>
    </w:p>
    <w:p>
      <w:pPr>
        <w:ind w:right="40" w:firstLine="990"/>
        <w:spacing w:after="0" w:line="258" w:lineRule="auto"/>
        <w:tabs>
          <w:tab w:leader="none" w:pos="12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Transaction Expenses</w:t>
      </w:r>
      <w:r>
        <w:rPr>
          <w:rFonts w:ascii="Times New Roman" w:cs="Times New Roman" w:eastAsia="Times New Roman" w:hAnsi="Times New Roman"/>
          <w:sz w:val="18"/>
          <w:szCs w:val="18"/>
          <w:color w:val="auto"/>
        </w:rPr>
        <w:t>” means (a) all costs and expenses incurred by or on behalf of Bakkt Opco or any of its Subsidiaries at or prior to the Closing in connection with the negotiation, preparation, execution and performance of this Agreement, the Transaction Documents and consummation of the Transactions and any related agreements in connection with the Transactions, including all fees and out of pocket expenses due all attorneys, accountants and financial advisors of Bakkt Opco or any of its Subsidiaries, and (b) Employee Payments.</w:t>
      </w:r>
    </w:p>
    <w:p>
      <w:pPr>
        <w:spacing w:after="0" w:line="73" w:lineRule="exact"/>
        <w:rPr>
          <w:sz w:val="20"/>
          <w:szCs w:val="20"/>
          <w:color w:val="auto"/>
        </w:rPr>
      </w:pPr>
    </w:p>
    <w:p>
      <w:pPr>
        <w:ind w:right="260" w:firstLine="990"/>
        <w:spacing w:after="0" w:line="274" w:lineRule="auto"/>
        <w:tabs>
          <w:tab w:leader="none" w:pos="130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Arrangement</w:t>
      </w:r>
      <w:r>
        <w:rPr>
          <w:rFonts w:ascii="Times New Roman" w:cs="Times New Roman" w:eastAsia="Times New Roman" w:hAnsi="Times New Roman"/>
          <w:sz w:val="17"/>
          <w:szCs w:val="17"/>
          <w:color w:val="auto"/>
        </w:rPr>
        <w:t>” means any benefit plan, policy or arrangement, whether written or unwritten, that is not a Benefit Plan and that provides benefits, compensation, including employment agreements or consulting agreements, severance pay, stay or retention bonuses or compensation, termination or change in control payments or benefits, executive or incentive compensation, sick leave, vacation pay, disability pay, retirement, deferred compensation, bonus, stock-based or other equity based compensation, supplemental retirement, profit-sharing, hospitalization, medical or disability insurance, life insurance, tuition reimbursement, material fringe benefit and any plans subject to Section 125 of the Code.</w:t>
      </w:r>
    </w:p>
    <w:p>
      <w:pPr>
        <w:spacing w:after="0" w:line="61" w:lineRule="exact"/>
        <w:rPr>
          <w:rFonts w:ascii="Times New Roman" w:cs="Times New Roman" w:eastAsia="Times New Roman" w:hAnsi="Times New Roman"/>
          <w:sz w:val="17"/>
          <w:szCs w:val="17"/>
          <w:color w:val="auto"/>
        </w:rPr>
      </w:pPr>
    </w:p>
    <w:p>
      <w:pPr>
        <w:ind w:right="40" w:firstLine="990"/>
        <w:spacing w:after="0" w:line="278" w:lineRule="auto"/>
        <w:tabs>
          <w:tab w:leader="none" w:pos="13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has the meaning given in Section 3(3) of ERISA, together with plans or arrangements that would be so defined if they were not otherwise exempt from ERISA by that or another section.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880"/>
          </w:cols>
          <w:pgMar w:left="480" w:top="268" w:right="539" w:bottom="1440" w:gutter="0" w:footer="0" w:header="0"/>
        </w:sectPr>
      </w:pPr>
    </w:p>
    <w:bookmarkStart w:id="89" w:name="page90"/>
    <w:bookmarkEnd w:id="89"/>
    <w:p>
      <w:pPr>
        <w:ind w:left="1320" w:hanging="330"/>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 of Managers</w:t>
      </w:r>
      <w:r>
        <w:rPr>
          <w:rFonts w:ascii="Times New Roman" w:cs="Times New Roman" w:eastAsia="Times New Roman" w:hAnsi="Times New Roman"/>
          <w:sz w:val="18"/>
          <w:szCs w:val="18"/>
          <w:color w:val="auto"/>
        </w:rPr>
        <w:t>” means the board of managers of Bakkt Opco.</w:t>
      </w:r>
    </w:p>
    <w:p>
      <w:pPr>
        <w:spacing w:after="0" w:line="113" w:lineRule="exact"/>
        <w:rPr>
          <w:rFonts w:ascii="Times New Roman" w:cs="Times New Roman" w:eastAsia="Times New Roman" w:hAnsi="Times New Roman"/>
          <w:sz w:val="18"/>
          <w:szCs w:val="18"/>
          <w:color w:val="auto"/>
        </w:rPr>
      </w:pPr>
    </w:p>
    <w:p>
      <w:pPr>
        <w:ind w:right="320" w:firstLine="990"/>
        <w:spacing w:after="0" w:line="263"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with respect to any Person, any and all business records, financial books and records, minute books, sales order files, purchase order files, supplier lists, customer lists, studies, surveys, analyses, strategies, plans, forms, designs, diagrams, drawings, specifications and technical data.</w:t>
      </w:r>
    </w:p>
    <w:p>
      <w:pPr>
        <w:spacing w:after="0" w:line="68" w:lineRule="exact"/>
        <w:rPr>
          <w:rFonts w:ascii="Times New Roman" w:cs="Times New Roman" w:eastAsia="Times New Roman" w:hAnsi="Times New Roman"/>
          <w:sz w:val="18"/>
          <w:szCs w:val="18"/>
          <w:color w:val="auto"/>
        </w:rPr>
      </w:pPr>
    </w:p>
    <w:p>
      <w:pPr>
        <w:ind w:right="20" w:firstLine="990"/>
        <w:spacing w:after="0" w:line="258" w:lineRule="auto"/>
        <w:tabs>
          <w:tab w:leader="none" w:pos="130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72"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3" w:lineRule="exact"/>
        <w:rPr>
          <w:rFonts w:ascii="Times New Roman" w:cs="Times New Roman" w:eastAsia="Times New Roman" w:hAnsi="Times New Roman"/>
          <w:sz w:val="18"/>
          <w:szCs w:val="18"/>
          <w:color w:val="auto"/>
        </w:rPr>
      </w:pPr>
    </w:p>
    <w:p>
      <w:pPr>
        <w:jc w:val="both"/>
        <w:ind w:right="20" w:firstLine="990"/>
        <w:spacing w:after="0" w:line="263"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Tax Agreement</w:t>
      </w:r>
      <w:r>
        <w:rPr>
          <w:rFonts w:ascii="Times New Roman" w:cs="Times New Roman" w:eastAsia="Times New Roman" w:hAnsi="Times New Roman"/>
          <w:sz w:val="18"/>
          <w:szCs w:val="18"/>
          <w:color w:val="auto"/>
        </w:rPr>
        <w:t>” means commercial agreements not primarily related to Taxes that contain agreements or arrangements relating to the apportionment, sharing, assignment or allocation of Taxes (such as financing agreements with Tax gross-up obligations or leases with Tax escalation provisions).</w:t>
      </w:r>
    </w:p>
    <w:p>
      <w:pPr>
        <w:spacing w:after="0" w:line="68" w:lineRule="exact"/>
        <w:rPr>
          <w:rFonts w:ascii="Times New Roman" w:cs="Times New Roman" w:eastAsia="Times New Roman" w:hAnsi="Times New Roman"/>
          <w:sz w:val="18"/>
          <w:szCs w:val="18"/>
          <w:color w:val="auto"/>
        </w:rPr>
      </w:pPr>
    </w:p>
    <w:p>
      <w:pPr>
        <w:ind w:left="1340" w:hanging="350"/>
        <w:spacing w:after="0"/>
        <w:tabs>
          <w:tab w:leader="none" w:pos="1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Non-Disclosure Agreement, dated November 18, 2020, by and between VIH and Bakkt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w:t>
      </w:r>
    </w:p>
    <w:p>
      <w:pPr>
        <w:spacing w:after="0" w:line="95" w:lineRule="exact"/>
        <w:rPr>
          <w:rFonts w:ascii="Times New Roman" w:cs="Times New Roman" w:eastAsia="Times New Roman" w:hAnsi="Times New Roman"/>
          <w:sz w:val="18"/>
          <w:szCs w:val="18"/>
          <w:color w:val="auto"/>
        </w:rPr>
      </w:pPr>
    </w:p>
    <w:p>
      <w:pPr>
        <w:ind w:right="200" w:firstLine="990"/>
        <w:spacing w:after="0" w:line="263" w:lineRule="auto"/>
        <w:tabs>
          <w:tab w:leader="none" w:pos="1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plan, undertaking, arrangement, concession, understanding, agreement, agreement in principle, franchise, permit, instrument, license, lease, sublease, note, bond, indenture, deed of trust, mortgage, loan agreement or other binding commitment, whether written or oral (including any amendments and other modifications thereto).</w:t>
      </w:r>
    </w:p>
    <w:p>
      <w:pPr>
        <w:spacing w:after="0" w:line="68" w:lineRule="exact"/>
        <w:rPr>
          <w:rFonts w:ascii="Times New Roman" w:cs="Times New Roman" w:eastAsia="Times New Roman" w:hAnsi="Times New Roman"/>
          <w:sz w:val="18"/>
          <w:szCs w:val="18"/>
          <w:color w:val="auto"/>
        </w:rPr>
      </w:pPr>
    </w:p>
    <w:p>
      <w:pPr>
        <w:ind w:firstLine="990"/>
        <w:spacing w:after="0" w:line="263" w:lineRule="auto"/>
        <w:tabs>
          <w:tab w:leader="none" w:pos="1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Representations</w:t>
      </w:r>
      <w:r>
        <w:rPr>
          <w:rFonts w:ascii="Times New Roman" w:cs="Times New Roman" w:eastAsia="Times New Roman" w:hAnsi="Times New Roman"/>
          <w:sz w:val="18"/>
          <w:szCs w:val="18"/>
          <w:color w:val="auto"/>
        </w:rPr>
        <w:t xml:space="preserve">” means the express representations and warranties (i) of Bakkt Opco, VIH and Merger Sub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respectively, as qualified by the Bakkt Disclosure Letter and the VIH Disclosure Letter, respectively or (ii) in any Transaction Document.</w:t>
      </w:r>
    </w:p>
    <w:p>
      <w:pPr>
        <w:spacing w:after="0" w:line="68" w:lineRule="exact"/>
        <w:rPr>
          <w:rFonts w:ascii="Times New Roman" w:cs="Times New Roman" w:eastAsia="Times New Roman" w:hAnsi="Times New Roman"/>
          <w:sz w:val="18"/>
          <w:szCs w:val="18"/>
          <w:color w:val="auto"/>
        </w:rPr>
      </w:pPr>
    </w:p>
    <w:p>
      <w:pPr>
        <w:jc w:val="both"/>
        <w:ind w:right="40" w:firstLine="990"/>
        <w:spacing w:after="0" w:line="285" w:lineRule="auto"/>
        <w:tabs>
          <w:tab w:leader="none" w:pos="132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Deemed Liquidation</w:t>
      </w:r>
      <w:r>
        <w:rPr>
          <w:rFonts w:ascii="Times New Roman" w:cs="Times New Roman" w:eastAsia="Times New Roman" w:hAnsi="Times New Roman"/>
          <w:sz w:val="17"/>
          <w:szCs w:val="17"/>
          <w:color w:val="auto"/>
        </w:rPr>
        <w:t>” means a hypothetical complete liquidation of Bakkt Opco immediately prior to the Effective Time pursuant to the rights and preferences of all outstanding classes of Bakkt Interests and Bakkt Opco Warrants of Bakkt Opco as of such time pursuant to Section 14.2 of the Bakkt Opco LLC Agreement, assuming the exercise in full immediately prior to the Effective Time of all outstanding Bakkt Opco Warrants.</w:t>
      </w:r>
    </w:p>
    <w:p>
      <w:pPr>
        <w:spacing w:after="0" w:line="52" w:lineRule="exact"/>
        <w:rPr>
          <w:rFonts w:ascii="Times New Roman" w:cs="Times New Roman" w:eastAsia="Times New Roman" w:hAnsi="Times New Roman"/>
          <w:sz w:val="17"/>
          <w:szCs w:val="17"/>
          <w:color w:val="auto"/>
        </w:rPr>
      </w:pPr>
    </w:p>
    <w:p>
      <w:pPr>
        <w:ind w:right="20" w:firstLine="990"/>
        <w:spacing w:after="0" w:line="255" w:lineRule="auto"/>
        <w:tabs>
          <w:tab w:leader="none" w:pos="1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Payments</w:t>
      </w:r>
      <w:r>
        <w:rPr>
          <w:rFonts w:ascii="Times New Roman" w:cs="Times New Roman" w:eastAsia="Times New Roman" w:hAnsi="Times New Roman"/>
          <w:sz w:val="18"/>
          <w:szCs w:val="18"/>
          <w:color w:val="auto"/>
        </w:rPr>
        <w:t>” means any change of control bonuses, transaction bonus, retention bonus, severance, phantom equity, profit participation or similar compensatory payments or rights, payable by Bakkt Opco or any of its Subsidiaries, in any case, made or required to be made, to any current or former employee, independent contractor, director, manager or officer of Bakkt Opco or one of its Subsidiaries solely as a result of the Transactions, in all cases, including the employer portion of any payroll and other employment Taxes payable in connection therewith, excluding any payments included on the Final Merger Consideration Spreadsheet.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00"/>
          </w:cols>
          <w:pgMar w:left="480" w:top="268" w:right="519" w:bottom="1440" w:gutter="0" w:footer="0" w:header="0"/>
        </w:sectPr>
      </w:pPr>
    </w:p>
    <w:bookmarkStart w:id="90" w:name="page91"/>
    <w:bookmarkEnd w:id="90"/>
    <w:p>
      <w:pPr>
        <w:ind w:right="20" w:firstLine="990"/>
        <w:spacing w:after="0" w:line="265" w:lineRule="auto"/>
        <w:tabs>
          <w:tab w:leader="none" w:pos="142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Law in any way relating to (i) the protection of human health and safety, to the extent relating to exposure to Hazardous Materials, (ii) the protection, preservation or restoration of the environment and natural resources (including air, water vapor, surface water, groundwater, drinking water supply, surface land, subsurface land, plant and animal life or any other natural resource), or (iii) the exposure to, or the use, storage, recycling, treatment, generation, transportation, processing, handling, labeling, production, release or disposal of Hazardous Materials, including the Comprehensive Environmental Response, Compensation and Liability Act, 42 USC. Section 9601 et. seq., the Resource Conservation and Recovery Act, 42 USC. Section 6901 et. seq., the Toxic Substances Control Act, 15 USC. Section 2601 et. seq., the Federal Water Pollution Control Act, 33 USC. Section 1151 et seq., the Clean Air Act, 42 USC. Section 7401 et seq., the Federal Insecticide, Fungicide and Rodenticide Act, 7 USC. Section 111 et. seq., Occupational Safety and Health Act, 29 USC. Section 651 et. seq. (to the extent it relates to exposure to Hazardous Materials), the Asbestos Hazard Emergency Response Act, 15 USC. Section 2601 et. seq., the Safe Drinking Water Act, 42 USC.</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300f et. seq., the Oil Pollution Act of 1990 and analogous state acts.</w:t>
      </w:r>
    </w:p>
    <w:p>
      <w:pPr>
        <w:spacing w:after="0" w:line="95" w:lineRule="exact"/>
        <w:rPr>
          <w:rFonts w:ascii="Times New Roman" w:cs="Times New Roman" w:eastAsia="Times New Roman" w:hAnsi="Times New Roman"/>
          <w:sz w:val="17"/>
          <w:szCs w:val="17"/>
          <w:color w:val="auto"/>
        </w:rPr>
      </w:pPr>
    </w:p>
    <w:p>
      <w:pPr>
        <w:ind w:right="500" w:firstLine="990"/>
        <w:spacing w:after="0" w:line="258"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(i) any share, partnership or limited liability company interest, unit of participation or other similar interest (however designated) in such Person and (ii) any option, warrant, security, purchase right, conversion right, exchange right or other agreement that would entitle any other Person to acquire, exchange, convert or exercise any such interest in such Person (including share appreciation, phantom share, profit participation or other similar rights).</w:t>
      </w:r>
    </w:p>
    <w:p>
      <w:pPr>
        <w:spacing w:after="0" w:line="72" w:lineRule="exact"/>
        <w:rPr>
          <w:rFonts w:ascii="Times New Roman" w:cs="Times New Roman" w:eastAsia="Times New Roman" w:hAnsi="Times New Roman"/>
          <w:sz w:val="18"/>
          <w:szCs w:val="18"/>
          <w:color w:val="auto"/>
        </w:rPr>
      </w:pPr>
    </w:p>
    <w:p>
      <w:pPr>
        <w:ind w:left="1340" w:hanging="350"/>
        <w:spacing w:after="0"/>
        <w:tabs>
          <w:tab w:leader="none" w:pos="1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13" w:lineRule="exact"/>
        <w:rPr>
          <w:rFonts w:ascii="Times New Roman" w:cs="Times New Roman" w:eastAsia="Times New Roman" w:hAnsi="Times New Roman"/>
          <w:sz w:val="18"/>
          <w:szCs w:val="18"/>
          <w:color w:val="auto"/>
        </w:rPr>
      </w:pPr>
    </w:p>
    <w:p>
      <w:pPr>
        <w:ind w:right="100" w:firstLine="990"/>
        <w:spacing w:after="0" w:line="278"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that, together with Bakkt Opco or any of its Subsidiaries, is treated as a single employer under Section 414 of the Code and the regulations issued thereunder.</w:t>
      </w:r>
    </w:p>
    <w:p>
      <w:pPr>
        <w:spacing w:after="0" w:line="55" w:lineRule="exact"/>
        <w:rPr>
          <w:rFonts w:ascii="Times New Roman" w:cs="Times New Roman" w:eastAsia="Times New Roman" w:hAnsi="Times New Roman"/>
          <w:sz w:val="18"/>
          <w:szCs w:val="18"/>
          <w:color w:val="auto"/>
        </w:rPr>
      </w:pPr>
    </w:p>
    <w:p>
      <w:pPr>
        <w:ind w:right="140" w:firstLine="990"/>
        <w:spacing w:after="0" w:line="278"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they may be amended from time to time.</w:t>
      </w:r>
    </w:p>
    <w:p>
      <w:pPr>
        <w:spacing w:after="0" w:line="55" w:lineRule="exact"/>
        <w:rPr>
          <w:rFonts w:ascii="Times New Roman" w:cs="Times New Roman" w:eastAsia="Times New Roman" w:hAnsi="Times New Roman"/>
          <w:sz w:val="18"/>
          <w:szCs w:val="18"/>
          <w:color w:val="auto"/>
        </w:rPr>
      </w:pPr>
    </w:p>
    <w:p>
      <w:pPr>
        <w:ind w:left="1280" w:hanging="290"/>
        <w:spacing w:after="0"/>
        <w:tabs>
          <w:tab w:leader="none" w:pos="1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3" w:lineRule="exact"/>
        <w:rPr>
          <w:rFonts w:ascii="Times New Roman" w:cs="Times New Roman" w:eastAsia="Times New Roman" w:hAnsi="Times New Roman"/>
          <w:sz w:val="18"/>
          <w:szCs w:val="18"/>
          <w:color w:val="auto"/>
        </w:rPr>
      </w:pPr>
    </w:p>
    <w:p>
      <w:pPr>
        <w:ind w:right="20" w:firstLine="990"/>
        <w:spacing w:after="0" w:line="258" w:lineRule="auto"/>
        <w:tabs>
          <w:tab w:leader="none" w:pos="12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 Claim</w:t>
      </w:r>
      <w:r>
        <w:rPr>
          <w:rFonts w:ascii="Times New Roman" w:cs="Times New Roman" w:eastAsia="Times New Roman" w:hAnsi="Times New Roman"/>
          <w:sz w:val="18"/>
          <w:szCs w:val="18"/>
          <w:color w:val="auto"/>
        </w:rPr>
        <w:t xml:space="preserve">” means a claim against a Person for actual intentional fraud (not constructive fraud, negligent misrepresentation or similar theories) of such Person with respect to the making of a Covered Representation when made, with the intent to mislead or deceive and to induce reliance on such Covered Representation;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no Person shall be liable for or as a result of any other Person’s actual intentional fraud.</w:t>
      </w:r>
    </w:p>
    <w:p>
      <w:pPr>
        <w:spacing w:after="0" w:line="72" w:lineRule="exact"/>
        <w:rPr>
          <w:rFonts w:ascii="Times New Roman" w:cs="Times New Roman" w:eastAsia="Times New Roman" w:hAnsi="Times New Roman"/>
          <w:sz w:val="18"/>
          <w:szCs w:val="18"/>
          <w:color w:val="auto"/>
        </w:rPr>
      </w:pPr>
    </w:p>
    <w:p>
      <w:pPr>
        <w:ind w:firstLine="990"/>
        <w:spacing w:after="0" w:line="263" w:lineRule="auto"/>
        <w:tabs>
          <w:tab w:leader="none" w:pos="124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840"/>
          </w:cols>
          <w:pgMar w:left="480" w:top="268" w:right="579" w:bottom="1440" w:gutter="0" w:footer="0" w:header="0"/>
        </w:sectPr>
      </w:pPr>
    </w:p>
    <w:bookmarkStart w:id="91" w:name="page92"/>
    <w:bookmarkEnd w:id="91"/>
    <w:p>
      <w:pPr>
        <w:ind w:left="-80" w:right="20" w:firstLine="990"/>
        <w:spacing w:after="0" w:line="263"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waste, gas, liquid or other substance or material that is defined, listed or designated as a “hazardous substance”, “pollutant”, “contaminant”, “hazardous waste”, “regulated substance”, “hazardous chemical” or “toxic chemical” (or by any similar term) under any Environmental Law, or any other material regulated under any Environmental Law.</w:t>
      </w:r>
    </w:p>
    <w:p>
      <w:pPr>
        <w:spacing w:after="0" w:line="68" w:lineRule="exact"/>
        <w:rPr>
          <w:rFonts w:ascii="Times New Roman" w:cs="Times New Roman" w:eastAsia="Times New Roman" w:hAnsi="Times New Roman"/>
          <w:sz w:val="18"/>
          <w:szCs w:val="18"/>
          <w:color w:val="auto"/>
        </w:rPr>
      </w:pPr>
    </w:p>
    <w:p>
      <w:pPr>
        <w:ind w:left="-80" w:right="60" w:firstLine="990"/>
        <w:spacing w:after="0" w:line="251"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following subsisting in any jurisdiction throughout the world: (i) patents, patent disclosures and patent applications (including all related continuations, continuations-in-part, divisionals, reissues and reexaminations); (ii) trademarks, service marks, trade dress, trade names, Internet domain names, corporate names and other indicia of origin, in each case, whether or not registered, and all registrations and applications for registration or renewal of the foregoing, including intent-to-use registrations or similar reservations of marks, and any goodwill related thereto; (iii) copyrights, including copyrights in Software and other works of authorship, design rights, database rights and other rights in copyrightable work, whether registered as copyrights or unregistered, and registrations and applications for registration or renewal thereof, including moral rights of authors; (iv) rights in Trade Secrets; (v) rights in Software programs, including rights in all source code, object code and documentation related thereto, and rights in all Software modules, tools and databases; and (vi) all rights to seek past and future damages with respect to any infringement, misappropriation or violation of the foregoing.</w:t>
      </w:r>
    </w:p>
    <w:p>
      <w:pPr>
        <w:spacing w:after="0" w:line="84" w:lineRule="exact"/>
        <w:rPr>
          <w:rFonts w:ascii="Times New Roman" w:cs="Times New Roman" w:eastAsia="Times New Roman" w:hAnsi="Times New Roman"/>
          <w:sz w:val="18"/>
          <w:szCs w:val="18"/>
          <w:color w:val="auto"/>
        </w:rPr>
      </w:pPr>
    </w:p>
    <w:p>
      <w:pPr>
        <w:ind w:left="-80" w:right="20" w:firstLine="990"/>
        <w:spacing w:after="0" w:line="278" w:lineRule="auto"/>
        <w:tabs>
          <w:tab w:leader="none" w:pos="13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means that certain prospectus filed with the SEC pursuant to Rule 424(b)(4) on September 22, 2020 in connection with the completion of VIH’s IPO.</w:t>
      </w:r>
    </w:p>
    <w:p>
      <w:pPr>
        <w:spacing w:after="0" w:line="55" w:lineRule="exact"/>
        <w:rPr>
          <w:rFonts w:ascii="Times New Roman" w:cs="Times New Roman" w:eastAsia="Times New Roman" w:hAnsi="Times New Roman"/>
          <w:sz w:val="18"/>
          <w:szCs w:val="18"/>
          <w:color w:val="auto"/>
        </w:rPr>
      </w:pPr>
    </w:p>
    <w:p>
      <w:pPr>
        <w:ind w:left="-80" w:firstLine="990"/>
        <w:spacing w:after="0" w:line="258"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72" w:lineRule="exact"/>
        <w:rPr>
          <w:rFonts w:ascii="Times New Roman" w:cs="Times New Roman" w:eastAsia="Times New Roman" w:hAnsi="Times New Roman"/>
          <w:sz w:val="18"/>
          <w:szCs w:val="18"/>
          <w:color w:val="auto"/>
        </w:rPr>
      </w:pPr>
    </w:p>
    <w:p>
      <w:pPr>
        <w:ind w:left="-80" w:right="140" w:firstLine="990"/>
        <w:spacing w:after="0" w:line="263"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means any license, franchise, charter, Permit, order, approval or non-objection, no-action letter, regulatory waiver or exemptive relief, registration, membership, authorization or qualification issued under any applicable Law by any Governmental Authority, other than any licenses relating to Intellectual Property.</w:t>
      </w:r>
    </w:p>
    <w:p>
      <w:pPr>
        <w:spacing w:after="0" w:line="68" w:lineRule="exact"/>
        <w:rPr>
          <w:rFonts w:ascii="Times New Roman" w:cs="Times New Roman" w:eastAsia="Times New Roman" w:hAnsi="Times New Roman"/>
          <w:sz w:val="18"/>
          <w:szCs w:val="18"/>
          <w:color w:val="auto"/>
        </w:rPr>
      </w:pPr>
    </w:p>
    <w:p>
      <w:pPr>
        <w:ind w:left="-80" w:firstLine="990"/>
        <w:spacing w:after="0" w:line="258" w:lineRule="auto"/>
        <w:tabs>
          <w:tab w:leader="none" w:pos="12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security interest, pledge, hypothecation, assignment, deposit arrangement, encumbrance, lien (statutory or otherwise), charge, preference, priority or other security agreement, option, warrant, attachment, right of first refusal, preemption, proxy, voting trust, conversion, put, call or other claim or right, restriction on transfer, under any shareholder or similar agreement, any subordination arrangement in favor of another Person, or any filing or agreement to file a financing statement as debtor under the Uniform Commercial Code or any similar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780"/>
          </w:cols>
          <w:pgMar w:left="560" w:top="268" w:right="559" w:bottom="1440" w:gutter="0" w:footer="0" w:header="0"/>
        </w:sectPr>
      </w:pPr>
    </w:p>
    <w:bookmarkStart w:id="92" w:name="page93"/>
    <w:bookmarkEnd w:id="92"/>
    <w:p>
      <w:pPr>
        <w:ind w:left="1380" w:hanging="410"/>
        <w:spacing w:after="0"/>
        <w:tabs>
          <w:tab w:leader="none" w:pos="1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Bakkt Equity Holder</w:t>
      </w:r>
      <w:r>
        <w:rPr>
          <w:rFonts w:ascii="Times New Roman" w:cs="Times New Roman" w:eastAsia="Times New Roman" w:hAnsi="Times New Roman"/>
          <w:sz w:val="18"/>
          <w:szCs w:val="18"/>
          <w:color w:val="auto"/>
        </w:rPr>
        <w:t>” means Intercontinental Exchange Holdings, Inc., a Delaware corporation.</w:t>
      </w:r>
    </w:p>
    <w:p>
      <w:pPr>
        <w:spacing w:after="0" w:line="113" w:lineRule="exact"/>
        <w:rPr>
          <w:rFonts w:ascii="Times New Roman" w:cs="Times New Roman" w:eastAsia="Times New Roman" w:hAnsi="Times New Roman"/>
          <w:sz w:val="18"/>
          <w:szCs w:val="18"/>
          <w:color w:val="auto"/>
        </w:rPr>
      </w:pPr>
    </w:p>
    <w:p>
      <w:pPr>
        <w:ind w:left="-20" w:firstLine="990"/>
        <w:spacing w:after="0" w:line="249" w:lineRule="auto"/>
        <w:tabs>
          <w:tab w:leader="none" w:pos="139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result, occurrence, fact, change, event or effect (collectively, “</w:t>
      </w:r>
      <w:r>
        <w:rPr>
          <w:rFonts w:ascii="Times New Roman" w:cs="Times New Roman" w:eastAsia="Times New Roman" w:hAnsi="Times New Roman"/>
          <w:sz w:val="18"/>
          <w:szCs w:val="18"/>
          <w:u w:val="single" w:color="auto"/>
          <w:color w:val="auto"/>
        </w:rPr>
        <w:t>Events</w:t>
      </w:r>
      <w:r>
        <w:rPr>
          <w:rFonts w:ascii="Times New Roman" w:cs="Times New Roman" w:eastAsia="Times New Roman" w:hAnsi="Times New Roman"/>
          <w:sz w:val="18"/>
          <w:szCs w:val="18"/>
          <w:color w:val="auto"/>
        </w:rPr>
        <w:t xml:space="preserve">”) that, individually or in the aggregate with any other results, occurrences, facts, changes, events and/or effects, has had or would be reasonably likely to have a material adverse effect on (i) the business, assets, Liabilities, results of operations or condition (financial or otherwise) of Bakkt Opco and its Subsidiaries, taken as a whole, or (ii) the ability of Bakkt Opco to consummate the Transactions or to perform their respective obligations hereunder or under the Transaction Documents to which they are a party or bound. Notwithstanding the foregoing, for purposes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no Event (by itself or taken with any and all of the other Events) that results from or arises out of or is related to any of the following shall be deemed to constitute or be taken into account in determining whether there has been, a Material Adverse Effect: (A) any change affecting generally the industries or markets in which Bakkt Opco and its Subsidiaries operate, including in any change in the financial markets, credit markets or capital markets in the United States or any other country or region in the world, (B) acts of God, including pandemics (including the COVID-19 virus or any mutation thereof) and the impact of such pandemics on the health of any officer, employee or consultant of Bakkt Opco and the actions of Governmental Authorities in response thereto, (C) any change in national or international political or social conditions, including (1)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or (2) social unrest, including protests, demonstrations, riots, arson, conflagration, looting, boycotts, or the response of any Governmental Authorities or their authorized or unauthorized representatives to such actions, (D) any change in GAAP (or the interpretation thereof), (E) any change in Law, rules, regulations, Orders, or other binding directives issued by any Governmental Authority (or the interpretation thereof), (F) any failure by Bakkt Opco to meet any internal or external operating projections or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any such failure may be considered in determining whether a Material Adverse Effect has occurred or would reasonably be expected to occur to the extent not excluded by another exception herein), (G) the taking of any action expressly required by this Agreement or (H) the public announcement or pendency of this Agreement or any of the Transactions (including but not limited to any impact on the relationships of Bakkt Opco and its Subsidiaries with customers, vendors, or employees, including voluntary departures of employees in anticipation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in each case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that such change does not affect Bakkt Opco and its Subsidiaries in a disproportionate manner relative to other Persons operating in the industries or markets in which Bakkt Opco and its Subsidiaries operate (in which case it shall be taken into account in determining whether there has been a Material Adverse Effect but only to the extent of the incremental disproportionate effect thereof).</w:t>
      </w:r>
    </w:p>
    <w:p>
      <w:pPr>
        <w:spacing w:after="0" w:line="87" w:lineRule="exact"/>
        <w:rPr>
          <w:rFonts w:ascii="Times New Roman" w:cs="Times New Roman" w:eastAsia="Times New Roman" w:hAnsi="Times New Roman"/>
          <w:sz w:val="18"/>
          <w:szCs w:val="18"/>
          <w:color w:val="auto"/>
        </w:rPr>
      </w:pPr>
    </w:p>
    <w:p>
      <w:pPr>
        <w:ind w:left="-20" w:right="200" w:firstLine="990"/>
        <w:spacing w:after="0" w:line="278" w:lineRule="auto"/>
        <w:tabs>
          <w:tab w:leader="none" w:pos="136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Equity Holder’s Approval</w:t>
      </w:r>
      <w:r>
        <w:rPr>
          <w:rFonts w:ascii="Times New Roman" w:cs="Times New Roman" w:eastAsia="Times New Roman" w:hAnsi="Times New Roman"/>
          <w:sz w:val="18"/>
          <w:szCs w:val="18"/>
          <w:color w:val="auto"/>
        </w:rPr>
        <w:t>” means the affirmative vote or written consent of VIH voting or consenting in favor of the adoption of this Agreement, which Merger Sub Equity Holder’s Approval has been effectuated.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880"/>
          </w:cols>
          <w:pgMar w:left="500" w:top="268" w:right="519" w:bottom="1440" w:gutter="0" w:footer="0" w:header="0"/>
        </w:sectPr>
      </w:pPr>
    </w:p>
    <w:bookmarkStart w:id="93" w:name="page94"/>
    <w:bookmarkEnd w:id="93"/>
    <w:p>
      <w:pPr>
        <w:ind w:left="1413" w:hanging="430"/>
        <w:spacing w:after="0"/>
        <w:tabs>
          <w:tab w:leader="none" w:pos="14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Minimum Available Cash</w:t>
      </w:r>
      <w:r>
        <w:rPr>
          <w:rFonts w:ascii="Times New Roman" w:cs="Times New Roman" w:eastAsia="Times New Roman" w:hAnsi="Times New Roman"/>
          <w:sz w:val="18"/>
          <w:szCs w:val="18"/>
          <w:color w:val="auto"/>
        </w:rPr>
        <w:t>” means an amount equal to four hundred twenty-five million dollars ($425,000,000).</w:t>
      </w:r>
    </w:p>
    <w:p>
      <w:pPr>
        <w:spacing w:after="0" w:line="113" w:lineRule="exact"/>
        <w:rPr>
          <w:rFonts w:ascii="Times New Roman" w:cs="Times New Roman" w:eastAsia="Times New Roman" w:hAnsi="Times New Roman"/>
          <w:sz w:val="18"/>
          <w:szCs w:val="18"/>
          <w:color w:val="auto"/>
        </w:rPr>
      </w:pPr>
    </w:p>
    <w:p>
      <w:pPr>
        <w:ind w:left="-7" w:right="500" w:firstLine="990"/>
        <w:spacing w:after="0" w:line="278" w:lineRule="auto"/>
        <w:tabs>
          <w:tab w:leader="none" w:pos="137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Benefit Plan described in Section 3(37) of ERISA, a “multiple employer plan” as defined in Section 413(c) of the Code, or a “multiple employer welfare arrangement” within the meaning of Section 3(40) of ERISA.</w:t>
      </w:r>
    </w:p>
    <w:p>
      <w:pPr>
        <w:spacing w:after="0" w:line="55" w:lineRule="exact"/>
        <w:rPr>
          <w:rFonts w:ascii="Times New Roman" w:cs="Times New Roman" w:eastAsia="Times New Roman" w:hAnsi="Times New Roman"/>
          <w:sz w:val="18"/>
          <w:szCs w:val="18"/>
          <w:color w:val="auto"/>
        </w:rPr>
      </w:pPr>
    </w:p>
    <w:p>
      <w:pPr>
        <w:ind w:left="1313" w:hanging="330"/>
        <w:spacing w:after="0"/>
        <w:tabs>
          <w:tab w:leader="none" w:pos="13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Stock Exchange</w:t>
      </w:r>
      <w:r>
        <w:rPr>
          <w:rFonts w:ascii="Times New Roman" w:cs="Times New Roman" w:eastAsia="Times New Roman" w:hAnsi="Times New Roman"/>
          <w:sz w:val="18"/>
          <w:szCs w:val="18"/>
          <w:color w:val="auto"/>
        </w:rPr>
        <w:t>” means either The Nasdaq Stock Market LLC or the New York Stock Exchange, as applicable.</w:t>
      </w:r>
    </w:p>
    <w:p>
      <w:pPr>
        <w:spacing w:after="0" w:line="113" w:lineRule="exact"/>
        <w:rPr>
          <w:rFonts w:ascii="Times New Roman" w:cs="Times New Roman" w:eastAsia="Times New Roman" w:hAnsi="Times New Roman"/>
          <w:sz w:val="18"/>
          <w:szCs w:val="18"/>
          <w:color w:val="auto"/>
        </w:rPr>
      </w:pPr>
    </w:p>
    <w:p>
      <w:pPr>
        <w:ind w:left="-7" w:firstLine="990"/>
        <w:spacing w:after="0" w:line="278" w:lineRule="auto"/>
        <w:tabs>
          <w:tab w:leader="none" w:pos="14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decree, ruling, judgment, injunction, writ, determination, binding decision, verdict, judicial award or other action that is or has been made, entered, rendered, or otherwise put into effect by or under the authority of any Governmental Authority.</w:t>
      </w:r>
    </w:p>
    <w:p>
      <w:pPr>
        <w:spacing w:after="0" w:line="55" w:lineRule="exact"/>
        <w:rPr>
          <w:rFonts w:ascii="Times New Roman" w:cs="Times New Roman" w:eastAsia="Times New Roman" w:hAnsi="Times New Roman"/>
          <w:sz w:val="18"/>
          <w:szCs w:val="18"/>
          <w:color w:val="auto"/>
        </w:rPr>
      </w:pPr>
    </w:p>
    <w:p>
      <w:pPr>
        <w:ind w:left="-7" w:right="520" w:firstLine="990"/>
        <w:spacing w:after="0" w:line="263" w:lineRule="auto"/>
        <w:tabs>
          <w:tab w:leader="none" w:pos="14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as used herein means the applicable Person’s ordinary course of business, consistent with past practice, as such practices may be modified from time to time to take into account any pandemic (including the COVID-19 virus or any mutation thereof), actions taken by Governmental Authorities arising out of any such pandemic.</w:t>
      </w:r>
    </w:p>
    <w:p>
      <w:pPr>
        <w:spacing w:after="0" w:line="68" w:lineRule="exact"/>
        <w:rPr>
          <w:rFonts w:ascii="Times New Roman" w:cs="Times New Roman" w:eastAsia="Times New Roman" w:hAnsi="Times New Roman"/>
          <w:sz w:val="18"/>
          <w:szCs w:val="18"/>
          <w:color w:val="auto"/>
        </w:rPr>
      </w:pPr>
    </w:p>
    <w:p>
      <w:pPr>
        <w:ind w:left="-7" w:firstLine="990"/>
        <w:spacing w:after="0" w:line="270" w:lineRule="auto"/>
        <w:tabs>
          <w:tab w:leader="none" w:pos="1287"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means: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operating agreement and the certificate of organization of a limited liability company,</w:t>
      </w:r>
    </w:p>
    <w:p>
      <w:pPr>
        <w:spacing w:after="0" w:line="1" w:lineRule="exact"/>
        <w:rPr>
          <w:rFonts w:ascii="Times New Roman" w:cs="Times New Roman" w:eastAsia="Times New Roman" w:hAnsi="Times New Roman"/>
          <w:sz w:val="17"/>
          <w:szCs w:val="17"/>
          <w:color w:val="auto"/>
        </w:rPr>
      </w:pPr>
    </w:p>
    <w:p>
      <w:pPr>
        <w:ind w:left="-7" w:right="80" w:firstLine="7"/>
        <w:spacing w:after="0" w:line="256" w:lineRule="auto"/>
        <w:tabs>
          <w:tab w:leader="none" w:pos="2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agreement and any documents that govern the formation of a trust; (vi) any charter or similar document adopted or filed in connection with the creation, formation, or organization of a Person; and (vii) any amendment to any of the foregoing.</w:t>
      </w:r>
    </w:p>
    <w:p>
      <w:pPr>
        <w:spacing w:after="0" w:line="74" w:lineRule="exact"/>
        <w:rPr>
          <w:rFonts w:ascii="Times New Roman" w:cs="Times New Roman" w:eastAsia="Times New Roman" w:hAnsi="Times New Roman"/>
          <w:sz w:val="18"/>
          <w:szCs w:val="18"/>
          <w:color w:val="auto"/>
        </w:rPr>
      </w:pPr>
    </w:p>
    <w:p>
      <w:pPr>
        <w:ind w:left="-7" w:firstLine="990"/>
        <w:spacing w:after="0" w:line="263" w:lineRule="auto"/>
        <w:tabs>
          <w:tab w:leader="none" w:pos="128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Plans</w:t>
      </w:r>
      <w:r>
        <w:rPr>
          <w:rFonts w:ascii="Times New Roman" w:cs="Times New Roman" w:eastAsia="Times New Roman" w:hAnsi="Times New Roman"/>
          <w:sz w:val="18"/>
          <w:szCs w:val="18"/>
          <w:color w:val="auto"/>
        </w:rPr>
        <w:t>” means any Benefit Plan for which Intercontinental Exchange, Inc. is or has been the “plan sponsor” (as defined in Section 3(16)(B) of ERISA) or any Benefit Plan that Intercontinental Exchange, Inc. maintains or to which it is obligated to make payments or has any current or future Liability, in each case with respect to any present or former employees of Bakkt Opco or any of its Subsidiaries.</w:t>
      </w:r>
    </w:p>
    <w:p>
      <w:pPr>
        <w:spacing w:after="0" w:line="68" w:lineRule="exact"/>
        <w:rPr>
          <w:rFonts w:ascii="Times New Roman" w:cs="Times New Roman" w:eastAsia="Times New Roman" w:hAnsi="Times New Roman"/>
          <w:sz w:val="18"/>
          <w:szCs w:val="18"/>
          <w:color w:val="auto"/>
        </w:rPr>
      </w:pPr>
    </w:p>
    <w:p>
      <w:pPr>
        <w:ind w:left="-7" w:right="180" w:firstLine="990"/>
        <w:spacing w:after="0" w:line="278" w:lineRule="auto"/>
        <w:tabs>
          <w:tab w:leader="none" w:pos="140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Units</w:t>
      </w:r>
      <w:r>
        <w:rPr>
          <w:rFonts w:ascii="Times New Roman" w:cs="Times New Roman" w:eastAsia="Times New Roman" w:hAnsi="Times New Roman"/>
          <w:sz w:val="18"/>
          <w:szCs w:val="18"/>
          <w:color w:val="auto"/>
        </w:rPr>
        <w:t>” means the Participation Units as defined in the Bakkt Equity Incentive Plan, including any Phantom Unit (as defined in the Bakkt Equity Incentive Plan) as set forth in the Bakkt Opco LLC Agreement.</w:t>
      </w:r>
    </w:p>
    <w:p>
      <w:pPr>
        <w:spacing w:after="0" w:line="55" w:lineRule="exact"/>
        <w:rPr>
          <w:rFonts w:ascii="Times New Roman" w:cs="Times New Roman" w:eastAsia="Times New Roman" w:hAnsi="Times New Roman"/>
          <w:sz w:val="18"/>
          <w:szCs w:val="18"/>
          <w:color w:val="auto"/>
        </w:rPr>
      </w:pPr>
    </w:p>
    <w:p>
      <w:pPr>
        <w:ind w:left="-7" w:right="100" w:firstLine="990"/>
        <w:spacing w:after="0" w:line="278" w:lineRule="auto"/>
        <w:tabs>
          <w:tab w:leader="none" w:pos="128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Benefit Plan subject to Section 412 of the Code or Section 302 of ERISA or Title IV of ERISA (including any Multiemployer Plan).</w:t>
      </w:r>
    </w:p>
    <w:p>
      <w:pPr>
        <w:spacing w:after="0" w:line="55" w:lineRule="exact"/>
        <w:rPr>
          <w:rFonts w:ascii="Times New Roman" w:cs="Times New Roman" w:eastAsia="Times New Roman" w:hAnsi="Times New Roman"/>
          <w:sz w:val="18"/>
          <w:szCs w:val="18"/>
          <w:color w:val="auto"/>
        </w:rPr>
      </w:pPr>
    </w:p>
    <w:p>
      <w:pPr>
        <w:ind w:left="-7" w:right="60" w:firstLine="990"/>
        <w:spacing w:after="0" w:line="263" w:lineRule="auto"/>
        <w:tabs>
          <w:tab w:leader="none" w:pos="155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with respect to any Person, any License, accreditation, bond,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w:t>
      </w:r>
    </w:p>
    <w:p>
      <w:pPr>
        <w:spacing w:after="0" w:line="10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873"/>
          </w:cols>
          <w:pgMar w:left="487" w:top="268" w:right="539" w:bottom="1440" w:gutter="0" w:footer="0" w:header="0"/>
        </w:sectPr>
      </w:pPr>
    </w:p>
    <w:bookmarkStart w:id="94" w:name="page95"/>
    <w:bookmarkEnd w:id="94"/>
    <w:p>
      <w:pPr>
        <w:ind w:left="-7" w:right="60" w:firstLine="990"/>
        <w:spacing w:after="0" w:line="251" w:lineRule="auto"/>
        <w:tabs>
          <w:tab w:leader="none" w:pos="140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any Liens for Taxes that are not yet due and payable as of the Closing Date or for Taxes that the taxpayer is diligently contesting in good faith and by appropriate proceedings and for which adequate reserves have been established in accordance with GAAP, (ii) any landlord’s, mechanic’s, carrier’s, workmen’s, repairmen’s or other similar statutory Lien arising or incurred in the ordinary course of business that does not materially detract from the value or use of the property encumbered thereby, (iii) any minor imperfection of title, condition, easement and reservation of rights (including any easement and reservation of, or rights of others for, rights of way, sewers, electric lines, telegraph and telephone lines and other similar purposes), encroachment, covenant or restriction that does not materially detract from the use of the property encumbered thereby or interfere or otherwise impair the current use, occupancy, value or marketability of title of the assets subject thereto,</w:t>
      </w:r>
    </w:p>
    <w:p>
      <w:pPr>
        <w:spacing w:after="0" w:line="1" w:lineRule="exact"/>
        <w:rPr>
          <w:rFonts w:ascii="Times New Roman" w:cs="Times New Roman" w:eastAsia="Times New Roman" w:hAnsi="Times New Roman"/>
          <w:sz w:val="18"/>
          <w:szCs w:val="18"/>
          <w:color w:val="auto"/>
        </w:rPr>
      </w:pPr>
    </w:p>
    <w:p>
      <w:pPr>
        <w:ind w:left="-7" w:firstLine="7"/>
        <w:spacing w:after="0" w:line="250" w:lineRule="auto"/>
        <w:tabs>
          <w:tab w:leader="none" w:pos="2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transfers as required by state and federal securities Laws or pursuant to the terms of the Bakkt Opco LLC Agreement, (v) zoning, entitlement, building and other land use regulations and codes imposed by any Governmental Authority having jurisdiction over the Bakkt Real Property which are not violated in any material respect by the current use thereof, (vi) non-exclusive licenses of Intellectual Property granted in the ordinary course of business, and (vii) statutory Liens of lessors under the Real Property Leases for amounts not yet due, or Liens encumbering the fee interests (or any superior leasehold interest) in the Bakkt Leased Real Property.</w:t>
      </w:r>
    </w:p>
    <w:p>
      <w:pPr>
        <w:spacing w:after="0" w:line="79" w:lineRule="exact"/>
        <w:rPr>
          <w:rFonts w:ascii="Times New Roman" w:cs="Times New Roman" w:eastAsia="Times New Roman" w:hAnsi="Times New Roman"/>
          <w:sz w:val="18"/>
          <w:szCs w:val="18"/>
          <w:color w:val="auto"/>
        </w:rPr>
      </w:pPr>
    </w:p>
    <w:p>
      <w:pPr>
        <w:ind w:left="-7" w:right="120" w:firstLine="990"/>
        <w:spacing w:after="0" w:line="278" w:lineRule="auto"/>
        <w:tabs>
          <w:tab w:leader="none" w:pos="140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w:t>
      </w:r>
    </w:p>
    <w:p>
      <w:pPr>
        <w:spacing w:after="0" w:line="55" w:lineRule="exact"/>
        <w:rPr>
          <w:rFonts w:ascii="Times New Roman" w:cs="Times New Roman" w:eastAsia="Times New Roman" w:hAnsi="Times New Roman"/>
          <w:sz w:val="18"/>
          <w:szCs w:val="18"/>
          <w:color w:val="auto"/>
        </w:rPr>
      </w:pPr>
    </w:p>
    <w:p>
      <w:pPr>
        <w:ind w:left="-7" w:right="20" w:firstLine="990"/>
        <w:spacing w:after="0" w:line="278" w:lineRule="auto"/>
        <w:tabs>
          <w:tab w:leader="none" w:pos="140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all taxable years or other taxable periods that end on or before the Closing Date and, with respect to any Straddle Period, the portion of such Straddle Period ending on and including the Closing Date.</w:t>
      </w:r>
    </w:p>
    <w:p>
      <w:pPr>
        <w:spacing w:after="0" w:line="55" w:lineRule="exact"/>
        <w:rPr>
          <w:rFonts w:ascii="Times New Roman" w:cs="Times New Roman" w:eastAsia="Times New Roman" w:hAnsi="Times New Roman"/>
          <w:sz w:val="18"/>
          <w:szCs w:val="18"/>
          <w:color w:val="auto"/>
        </w:rPr>
      </w:pPr>
    </w:p>
    <w:p>
      <w:pPr>
        <w:ind w:left="-7" w:right="160" w:firstLine="990"/>
        <w:spacing w:after="0" w:line="254" w:lineRule="auto"/>
        <w:tabs>
          <w:tab w:leader="none" w:pos="140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Software</w:t>
      </w:r>
      <w:r>
        <w:rPr>
          <w:rFonts w:ascii="Times New Roman" w:cs="Times New Roman" w:eastAsia="Times New Roman" w:hAnsi="Times New Roman"/>
          <w:sz w:val="18"/>
          <w:szCs w:val="18"/>
          <w:color w:val="auto"/>
        </w:rPr>
        <w:t>” means any Software that is licensed or distributed as (a) “free software” or “open source software”; (b) pursuant to any license identified as an “open source license” by the Open Source Initiative (www.opensource.org/licenses), including, but not limited to, any version of the GNU General Public License (GPL), GNU Lesser General Public License (LGPL), GNU Affero General Public License (AGPL), MIT License (MIT), Common Public License, CDDL, Mozilla Public License, Academic Free License, Apache License, Artistic License (e.g., PERL) and BSD Licenses; or (c) pursuant to any “copyleft” license or any other license that substantially conforms to the Open Source Definition provided by the Open Source Initiative at opensource.org/osd.</w:t>
      </w:r>
    </w:p>
    <w:p>
      <w:pPr>
        <w:spacing w:after="0" w:line="76" w:lineRule="exact"/>
        <w:rPr>
          <w:rFonts w:ascii="Times New Roman" w:cs="Times New Roman" w:eastAsia="Times New Roman" w:hAnsi="Times New Roman"/>
          <w:sz w:val="18"/>
          <w:szCs w:val="18"/>
          <w:color w:val="auto"/>
        </w:rPr>
      </w:pPr>
    </w:p>
    <w:p>
      <w:pPr>
        <w:ind w:left="1333" w:hanging="350"/>
        <w:spacing w:after="0"/>
        <w:tabs>
          <w:tab w:leader="none" w:pos="133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Plan</w:t>
      </w:r>
      <w:r>
        <w:rPr>
          <w:rFonts w:ascii="Times New Roman" w:cs="Times New Roman" w:eastAsia="Times New Roman" w:hAnsi="Times New Roman"/>
          <w:sz w:val="18"/>
          <w:szCs w:val="18"/>
          <w:color w:val="auto"/>
        </w:rPr>
        <w:t>” means any Bakkt Benefit Plan that is intended to meet the requirements of Section 401(a) of the Code.</w:t>
      </w:r>
    </w:p>
    <w:p>
      <w:pPr>
        <w:spacing w:after="0" w:line="113" w:lineRule="exact"/>
        <w:rPr>
          <w:rFonts w:ascii="Times New Roman" w:cs="Times New Roman" w:eastAsia="Times New Roman" w:hAnsi="Times New Roman"/>
          <w:sz w:val="18"/>
          <w:szCs w:val="18"/>
          <w:color w:val="auto"/>
        </w:rPr>
      </w:pPr>
    </w:p>
    <w:p>
      <w:pPr>
        <w:ind w:left="-7" w:right="80" w:firstLine="990"/>
        <w:spacing w:after="0" w:line="263" w:lineRule="auto"/>
        <w:tabs>
          <w:tab w:leader="none" w:pos="134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all interests in real property including fee estates, leaseholds and subleaseholds, purchase options, easements, licenses, rights to access, and rights of way, and all buildings and other improvements thereon, together with any additions thereto or replacements thereof.</w:t>
      </w:r>
    </w:p>
    <w:p>
      <w:pPr>
        <w:spacing w:after="0" w:line="10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13"/>
          </w:cols>
          <w:pgMar w:left="487" w:top="268" w:right="499" w:bottom="1440" w:gutter="0" w:footer="0" w:header="0"/>
        </w:sectPr>
      </w:pPr>
    </w:p>
    <w:bookmarkStart w:id="95" w:name="page96"/>
    <w:bookmarkEnd w:id="95"/>
    <w:p>
      <w:pPr>
        <w:ind w:left="1293" w:hanging="310"/>
        <w:spacing w:after="0"/>
        <w:tabs>
          <w:tab w:leader="none" w:pos="129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means any lease, sublease, license or other Contract with respect to Real Property.</w:t>
      </w:r>
    </w:p>
    <w:p>
      <w:pPr>
        <w:spacing w:after="0" w:line="113" w:lineRule="exact"/>
        <w:rPr>
          <w:rFonts w:ascii="Times New Roman" w:cs="Times New Roman" w:eastAsia="Times New Roman" w:hAnsi="Times New Roman"/>
          <w:sz w:val="18"/>
          <w:szCs w:val="18"/>
          <w:color w:val="auto"/>
        </w:rPr>
      </w:pPr>
    </w:p>
    <w:p>
      <w:pPr>
        <w:ind w:left="-7" w:right="80" w:firstLine="990"/>
        <w:spacing w:after="0" w:line="263" w:lineRule="auto"/>
        <w:tabs>
          <w:tab w:leader="none" w:pos="1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means an amount equal to the price at which each VIH Class A Share (or after the Domestication, Bakkt Pubco Class A Share) is redeemed pursuant to the Redemption (as equitably adjusted for stock splits, stock dividends, reorganizations, combinations, recapitalizations and similar transactions affecting the Bakkt Pubco Class A Shares after the Closing).</w:t>
      </w:r>
    </w:p>
    <w:p>
      <w:pPr>
        <w:spacing w:after="0" w:line="68" w:lineRule="exact"/>
        <w:rPr>
          <w:rFonts w:ascii="Times New Roman" w:cs="Times New Roman" w:eastAsia="Times New Roman" w:hAnsi="Times New Roman"/>
          <w:sz w:val="18"/>
          <w:szCs w:val="18"/>
          <w:color w:val="auto"/>
        </w:rPr>
      </w:pPr>
    </w:p>
    <w:p>
      <w:pPr>
        <w:ind w:left="-7" w:right="340" w:firstLine="990"/>
        <w:spacing w:after="0" w:line="278" w:lineRule="auto"/>
        <w:tabs>
          <w:tab w:leader="none" w:pos="1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with respect to any Person, such Person’s Affiliates, an executive officer or director of such Person or its Affiliates, or any immediate family member of any of the foregoing (or any of their Affiliates).</w:t>
      </w:r>
    </w:p>
    <w:p>
      <w:pPr>
        <w:spacing w:after="0" w:line="55" w:lineRule="exact"/>
        <w:rPr>
          <w:rFonts w:ascii="Times New Roman" w:cs="Times New Roman" w:eastAsia="Times New Roman" w:hAnsi="Times New Roman"/>
          <w:sz w:val="18"/>
          <w:szCs w:val="18"/>
          <w:color w:val="auto"/>
        </w:rPr>
      </w:pPr>
    </w:p>
    <w:p>
      <w:pPr>
        <w:ind w:left="-7" w:right="180" w:firstLine="990"/>
        <w:spacing w:after="0" w:line="278" w:lineRule="auto"/>
        <w:tabs>
          <w:tab w:leader="none" w:pos="15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injection, deposit, disposal, discharge, dispersal, or leaching into the indoor or outdoor environment, or into or out of any property.</w:t>
      </w:r>
    </w:p>
    <w:p>
      <w:pPr>
        <w:spacing w:after="0" w:line="55" w:lineRule="exact"/>
        <w:rPr>
          <w:rFonts w:ascii="Times New Roman" w:cs="Times New Roman" w:eastAsia="Times New Roman" w:hAnsi="Times New Roman"/>
          <w:sz w:val="18"/>
          <w:szCs w:val="18"/>
          <w:color w:val="auto"/>
        </w:rPr>
      </w:pPr>
    </w:p>
    <w:p>
      <w:pPr>
        <w:ind w:left="-7" w:firstLine="990"/>
        <w:spacing w:after="0" w:line="258" w:lineRule="auto"/>
        <w:tabs>
          <w:tab w:leader="none" w:pos="1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Affiliates and its and its Affiliates’ respective officers and directors (or Persons holding comparable positions), employees, consultants, independent contractors, subcontractors, advisors (including investment bankers), accountants, legal and other agents or legal representatives. For the avoidance of doubt, with respect to Bakkt Opco, the Majority Bakkt Equity Holder shall be deemed to be a Representative of Bakkt Opco.</w:t>
      </w:r>
    </w:p>
    <w:p>
      <w:pPr>
        <w:spacing w:after="0" w:line="72" w:lineRule="exact"/>
        <w:rPr>
          <w:rFonts w:ascii="Times New Roman" w:cs="Times New Roman" w:eastAsia="Times New Roman" w:hAnsi="Times New Roman"/>
          <w:sz w:val="18"/>
          <w:szCs w:val="18"/>
          <w:color w:val="auto"/>
        </w:rPr>
      </w:pPr>
    </w:p>
    <w:p>
      <w:pPr>
        <w:ind w:left="1413" w:hanging="430"/>
        <w:spacing w:after="0"/>
        <w:tabs>
          <w:tab w:leader="none" w:pos="14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13" w:lineRule="exact"/>
        <w:rPr>
          <w:rFonts w:ascii="Times New Roman" w:cs="Times New Roman" w:eastAsia="Times New Roman" w:hAnsi="Times New Roman"/>
          <w:sz w:val="18"/>
          <w:szCs w:val="18"/>
          <w:color w:val="auto"/>
        </w:rPr>
      </w:pPr>
    </w:p>
    <w:p>
      <w:pPr>
        <w:ind w:left="-7" w:right="220" w:firstLine="990"/>
        <w:spacing w:after="0" w:line="278" w:lineRule="auto"/>
        <w:tabs>
          <w:tab w:leader="none" w:pos="13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they may be amended from time to time.</w:t>
      </w:r>
    </w:p>
    <w:p>
      <w:pPr>
        <w:spacing w:after="0" w:line="55" w:lineRule="exact"/>
        <w:rPr>
          <w:sz w:val="20"/>
          <w:szCs w:val="20"/>
          <w:color w:val="auto"/>
        </w:rPr>
      </w:pPr>
    </w:p>
    <w:p>
      <w:pPr>
        <w:ind w:left="-7" w:right="960" w:firstLine="990"/>
        <w:spacing w:after="0" w:line="278" w:lineRule="auto"/>
        <w:tabs>
          <w:tab w:leader="none" w:pos="145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Data</w:t>
      </w:r>
      <w:r>
        <w:rPr>
          <w:rFonts w:ascii="Times New Roman" w:cs="Times New Roman" w:eastAsia="Times New Roman" w:hAnsi="Times New Roman"/>
          <w:sz w:val="18"/>
          <w:szCs w:val="18"/>
          <w:color w:val="auto"/>
        </w:rPr>
        <w:t>” means cardholder data and sensitive authentication data that must be protected in accordance with the requirements of the Payment Card Industry Data Security Standard.</w:t>
      </w:r>
    </w:p>
    <w:p>
      <w:pPr>
        <w:spacing w:after="0" w:line="55" w:lineRule="exact"/>
        <w:rPr>
          <w:rFonts w:ascii="Times New Roman" w:cs="Times New Roman" w:eastAsia="Times New Roman" w:hAnsi="Times New Roman"/>
          <w:sz w:val="18"/>
          <w:szCs w:val="18"/>
          <w:color w:val="auto"/>
        </w:rPr>
      </w:pPr>
    </w:p>
    <w:p>
      <w:pPr>
        <w:ind w:left="-7" w:right="80" w:firstLine="990"/>
        <w:spacing w:after="0" w:line="265" w:lineRule="auto"/>
        <w:tabs>
          <w:tab w:leader="none" w:pos="149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means all (a) computer programs, applications, middleware, firmware, microcode, mobile applications and other software (and all derivative works, foreign language versions, enhancements, versions, releases, fixes, upgrades and updates thereto), including operating systems, algorithms, heuristics, models and methodologies, compilations, development tools, compilers, comments, user interfaces, menus, buttons and icons, application programming interfaces, files, data scripts, architecture, algorithms, and higher level or “proprietary” languages, in each case, whether in source code, object code or other form or format, including code, libraries, subroutines and other components thereof, all documentation relating thereto, and including any offerings of the foregoing as a service (SaaS); (b) testing, validation, verification and quality assurance materials; (c) databases, conversions, interpreters and compilations, including any and all data and collections of data, whether machine readable or otherwise; (d) descriptions, schematics, flow-charts and other work product used to design, plan, organize and develop any of the foregoing;</w:t>
      </w:r>
    </w:p>
    <w:p>
      <w:pPr>
        <w:spacing w:after="0" w:line="3" w:lineRule="exact"/>
        <w:rPr>
          <w:rFonts w:ascii="Times New Roman" w:cs="Times New Roman" w:eastAsia="Times New Roman" w:hAnsi="Times New Roman"/>
          <w:sz w:val="17"/>
          <w:szCs w:val="17"/>
          <w:color w:val="auto"/>
        </w:rPr>
      </w:pPr>
    </w:p>
    <w:p>
      <w:pPr>
        <w:ind w:left="-7" w:right="320" w:firstLine="7"/>
        <w:spacing w:after="0" w:line="262" w:lineRule="auto"/>
        <w:tabs>
          <w:tab w:leader="none" w:pos="23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documentation, including user manuals, web materials and architectural and design specifications and training materials, relating to any of the foregoing; (f) software development processes, practices, methods and policies recorded in permanent form, relating to any of the foregoing; and</w:t>
      </w:r>
    </w:p>
    <w:p>
      <w:pPr>
        <w:spacing w:after="0" w:line="1" w:lineRule="exact"/>
        <w:rPr>
          <w:rFonts w:ascii="Times New Roman" w:cs="Times New Roman" w:eastAsia="Times New Roman" w:hAnsi="Times New Roman"/>
          <w:sz w:val="17"/>
          <w:szCs w:val="17"/>
          <w:color w:val="auto"/>
        </w:rPr>
      </w:pPr>
    </w:p>
    <w:p>
      <w:pPr>
        <w:ind w:left="-7" w:right="140" w:firstLine="7"/>
        <w:spacing w:after="0" w:line="256" w:lineRule="auto"/>
        <w:tabs>
          <w:tab w:leader="none" w:pos="24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sightings, bug and feature lists, build, release and change control manifests recorded in permanent form, relating to any of the foregoing.</w:t>
      </w:r>
    </w:p>
    <w:p>
      <w:pPr>
        <w:spacing w:after="0" w:line="11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13"/>
          </w:cols>
          <w:pgMar w:left="487" w:top="268" w:right="499" w:bottom="1440" w:gutter="0" w:footer="0" w:header="0"/>
        </w:sectPr>
      </w:pPr>
    </w:p>
    <w:bookmarkStart w:id="96" w:name="page97"/>
    <w:bookmarkEnd w:id="96"/>
    <w:p>
      <w:pPr>
        <w:ind w:left="1460" w:hanging="470"/>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year or period beginning on or before and ending after the Closing Date.</w:t>
      </w:r>
    </w:p>
    <w:p>
      <w:pPr>
        <w:spacing w:after="0" w:line="113" w:lineRule="exact"/>
        <w:rPr>
          <w:rFonts w:ascii="Times New Roman" w:cs="Times New Roman" w:eastAsia="Times New Roman" w:hAnsi="Times New Roman"/>
          <w:sz w:val="18"/>
          <w:szCs w:val="18"/>
          <w:color w:val="auto"/>
        </w:rPr>
      </w:pPr>
    </w:p>
    <w:p>
      <w:pPr>
        <w:ind w:right="40" w:firstLine="990"/>
        <w:spacing w:after="0" w:line="252" w:lineRule="auto"/>
        <w:tabs>
          <w:tab w:leader="none" w:pos="150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w:t>
      </w:r>
    </w:p>
    <w:p>
      <w:pPr>
        <w:spacing w:after="0" w:line="80" w:lineRule="exact"/>
        <w:rPr>
          <w:rFonts w:ascii="Times New Roman" w:cs="Times New Roman" w:eastAsia="Times New Roman" w:hAnsi="Times New Roman"/>
          <w:sz w:val="18"/>
          <w:szCs w:val="18"/>
          <w:color w:val="auto"/>
        </w:rPr>
      </w:pPr>
    </w:p>
    <w:p>
      <w:pPr>
        <w:ind w:left="1460" w:hanging="470"/>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Common Units</w:t>
      </w:r>
      <w:r>
        <w:rPr>
          <w:rFonts w:ascii="Times New Roman" w:cs="Times New Roman" w:eastAsia="Times New Roman" w:hAnsi="Times New Roman"/>
          <w:sz w:val="18"/>
          <w:szCs w:val="18"/>
          <w:color w:val="auto"/>
        </w:rPr>
        <w:t>” means the common units of Surviving Company, which such common units shall be</w:t>
      </w:r>
    </w:p>
    <w:p>
      <w:pPr>
        <w:spacing w:after="0" w:line="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non-voting common units, and which shall otherwise provide the holder thereof with, and subject the holder to, such rights, privileges, restrictions and obligations as set forth in the Surviving Company LLC Agreement.</w:t>
      </w:r>
    </w:p>
    <w:p>
      <w:pPr>
        <w:spacing w:after="0" w:line="75" w:lineRule="exact"/>
        <w:rPr>
          <w:sz w:val="20"/>
          <w:szCs w:val="20"/>
          <w:color w:val="auto"/>
        </w:rPr>
      </w:pPr>
    </w:p>
    <w:p>
      <w:pPr>
        <w:ind w:right="60" w:firstLine="990"/>
        <w:spacing w:after="0" w:line="251" w:lineRule="auto"/>
        <w:tabs>
          <w:tab w:leader="none" w:pos="137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(including with correlative meaning the term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means any and all United States federal, state, local, foreign, and other direct or indirect taxes, charges, fees, duties,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and other taxes or similar assessments imposed by any Governmental Authority (whether payable directly or by withholding and whether or not requiring the filing of a tax return), and any deficiency assessments, interest, fines, penalties or additions to tax imposed with respect to such items;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“Tax” and “Taxes” shall not include any unclaimed property or escheat obligations.</w:t>
      </w:r>
    </w:p>
    <w:p>
      <w:pPr>
        <w:spacing w:after="0" w:line="84" w:lineRule="exact"/>
        <w:rPr>
          <w:rFonts w:ascii="Times New Roman" w:cs="Times New Roman" w:eastAsia="Times New Roman" w:hAnsi="Times New Roman"/>
          <w:sz w:val="18"/>
          <w:szCs w:val="18"/>
          <w:color w:val="auto"/>
        </w:rPr>
      </w:pPr>
    </w:p>
    <w:p>
      <w:pPr>
        <w:ind w:left="1500" w:hanging="510"/>
        <w:spacing w:after="0"/>
        <w:tabs>
          <w:tab w:leader="none" w:pos="15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Proceeding</w:t>
      </w:r>
      <w:r>
        <w:rPr>
          <w:rFonts w:ascii="Times New Roman" w:cs="Times New Roman" w:eastAsia="Times New Roman" w:hAnsi="Times New Roman"/>
          <w:sz w:val="17"/>
          <w:szCs w:val="17"/>
          <w:color w:val="auto"/>
        </w:rPr>
        <w:t>” means any audit, examination, investigation, litigation, dispute or other similar proceeding with respect to Taxes.</w:t>
      </w:r>
    </w:p>
    <w:p>
      <w:pPr>
        <w:spacing w:after="0" w:line="125" w:lineRule="exact"/>
        <w:rPr>
          <w:rFonts w:ascii="Times New Roman" w:cs="Times New Roman" w:eastAsia="Times New Roman" w:hAnsi="Times New Roman"/>
          <w:sz w:val="17"/>
          <w:szCs w:val="17"/>
          <w:color w:val="auto"/>
        </w:rPr>
      </w:pPr>
    </w:p>
    <w:p>
      <w:pPr>
        <w:ind w:right="220" w:firstLine="990"/>
        <w:spacing w:after="0" w:line="255" w:lineRule="auto"/>
        <w:tabs>
          <w:tab w:leader="none" w:pos="150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and all United States federal, state, local, foreign, and other reports, returns (including elections, disclosures, information returns and claims for refunds), declarations, forms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880"/>
          </w:cols>
          <w:pgMar w:left="480" w:top="268" w:right="539" w:bottom="1440" w:gutter="0" w:footer="0" w:header="0"/>
        </w:sectPr>
      </w:pPr>
    </w:p>
    <w:bookmarkStart w:id="97" w:name="page98"/>
    <w:bookmarkEnd w:id="97"/>
    <w:p>
      <w:pPr>
        <w:ind w:right="20" w:firstLine="990"/>
        <w:spacing w:after="0" w:line="255" w:lineRule="auto"/>
        <w:tabs>
          <w:tab w:leader="none" w:pos="13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means any agreement or arrangement primarily related to Taxes pursuant to which Bakkt Opco (or Surviving Company) or any of its Subsidiaries (or VIH (or Bakkt Pubco), as applicable) is or may be obligated to indemnify any Person for, or otherwise pay, any Tax of or imposed on another Person, or indemnify, or pay over to, any other Person any amount determined by reference to actual or deemed Tax benefits, Tax assets, or Tax savings, excluding, for the avoidance of doubt, the Tax Receivable Agreement and any Commercial Tax Agreement.</w:t>
      </w:r>
    </w:p>
    <w:p>
      <w:pPr>
        <w:spacing w:after="0" w:line="77" w:lineRule="exact"/>
        <w:rPr>
          <w:rFonts w:ascii="Times New Roman" w:cs="Times New Roman" w:eastAsia="Times New Roman" w:hAnsi="Times New Roman"/>
          <w:sz w:val="18"/>
          <w:szCs w:val="18"/>
          <w:color w:val="auto"/>
        </w:rPr>
      </w:pPr>
    </w:p>
    <w:p>
      <w:pPr>
        <w:ind w:left="1360" w:hanging="370"/>
        <w:spacing w:after="0"/>
        <w:tabs>
          <w:tab w:leader="none" w:pos="13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September 30, 2021.</w:t>
      </w:r>
    </w:p>
    <w:p>
      <w:pPr>
        <w:spacing w:after="0" w:line="113" w:lineRule="exact"/>
        <w:rPr>
          <w:rFonts w:ascii="Times New Roman" w:cs="Times New Roman" w:eastAsia="Times New Roman" w:hAnsi="Times New Roman"/>
          <w:sz w:val="18"/>
          <w:szCs w:val="18"/>
          <w:color w:val="auto"/>
        </w:rPr>
      </w:pPr>
    </w:p>
    <w:p>
      <w:pPr>
        <w:ind w:right="220" w:firstLine="990"/>
        <w:spacing w:after="0" w:line="258" w:lineRule="auto"/>
        <w:tabs>
          <w:tab w:leader="none" w:pos="150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w:t>
      </w:r>
      <w:r>
        <w:rPr>
          <w:rFonts w:ascii="Times New Roman" w:cs="Times New Roman" w:eastAsia="Times New Roman" w:hAnsi="Times New Roman"/>
          <w:sz w:val="18"/>
          <w:szCs w:val="18"/>
          <w:color w:val="auto"/>
        </w:rPr>
        <w:t>” means mean any trade secrets or other rights in proprietary and confidential information, including rights in unpatented inventions, invention disclosures, technical data, financial data, personal information, supplier lists, customer lists, business production, or marketing plans, know-how, formulae, methods (whether or not patentable), designs, processes, procedures, compositions, schematics, ideas, algorithms, techniques, analyses, proposals, source code, object code, and data collections.</w:t>
      </w:r>
    </w:p>
    <w:p>
      <w:pPr>
        <w:spacing w:after="0" w:line="72" w:lineRule="exact"/>
        <w:rPr>
          <w:rFonts w:ascii="Times New Roman" w:cs="Times New Roman" w:eastAsia="Times New Roman" w:hAnsi="Times New Roman"/>
          <w:sz w:val="18"/>
          <w:szCs w:val="18"/>
          <w:color w:val="auto"/>
        </w:rPr>
      </w:pPr>
    </w:p>
    <w:p>
      <w:pPr>
        <w:ind w:firstLine="990"/>
        <w:spacing w:after="0" w:line="254" w:lineRule="auto"/>
        <w:tabs>
          <w:tab w:leader="none" w:pos="13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each of the agreements and instruments contemplated by this Agreement or otherwise related to the Transaction, in each case to be executed and delivered on the date hereof or on or prior to the Closing Date by a Bakkt Equity Holder, Bakkt Opco, VIH, Merger Sub, VIH Sponsor and/or any of their respective Affiliates. The Transaction Documents include the VIH Sponsor Letter, the Surviving Company LLC Agreement, the Exchange Agreement, the Tax Receivable Agreement, the Registration Rights Agreement, the Letter of Transmittal, the Bakkt Pubco Charter, the Bakkt Pubco Bylaws, the Voting Agreement, the Stockholders Agreement, Support Agreements, all documents and agreements entered into in connection with the PIPE Financing, including the PIPE Subscription Agreements.</w:t>
      </w:r>
    </w:p>
    <w:p>
      <w:pPr>
        <w:spacing w:after="0" w:line="76" w:lineRule="exact"/>
        <w:rPr>
          <w:rFonts w:ascii="Times New Roman" w:cs="Times New Roman" w:eastAsia="Times New Roman" w:hAnsi="Times New Roman"/>
          <w:sz w:val="18"/>
          <w:szCs w:val="18"/>
          <w:color w:val="auto"/>
        </w:rPr>
      </w:pPr>
    </w:p>
    <w:p>
      <w:pPr>
        <w:ind w:right="460" w:firstLine="990"/>
        <w:spacing w:after="0" w:line="278" w:lineRule="auto"/>
        <w:tabs>
          <w:tab w:leader="none" w:pos="1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Treasury Regulations promulgated pursuant to the Code, as amended from time to time, including the corresponding provisions of any successor regulations.</w:t>
      </w:r>
    </w:p>
    <w:p>
      <w:pPr>
        <w:spacing w:after="0" w:line="55" w:lineRule="exact"/>
        <w:rPr>
          <w:rFonts w:ascii="Times New Roman" w:cs="Times New Roman" w:eastAsia="Times New Roman" w:hAnsi="Times New Roman"/>
          <w:sz w:val="18"/>
          <w:szCs w:val="18"/>
          <w:color w:val="auto"/>
        </w:rPr>
      </w:pPr>
    </w:p>
    <w:p>
      <w:pPr>
        <w:ind w:right="140" w:firstLine="990"/>
        <w:spacing w:after="0" w:line="285" w:lineRule="auto"/>
        <w:tabs>
          <w:tab w:leader="none" w:pos="1502"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VIH Benefit Arrangement</w:t>
      </w:r>
      <w:r>
        <w:rPr>
          <w:rFonts w:ascii="Times New Roman" w:cs="Times New Roman" w:eastAsia="Times New Roman" w:hAnsi="Times New Roman"/>
          <w:sz w:val="17"/>
          <w:szCs w:val="17"/>
          <w:color w:val="auto"/>
        </w:rPr>
        <w:t>” means any Benefit Arrangement sponsored, maintained or contributed to by VIH or Merger Sub or with respect to which VIH or Merger Sub has any current or future Liability (whether direct or indirect, actual, contingent or otherwise, with respect to any of its assets or otherwise), in each case with respect to any present or former employees, consultants or service providers of VIH or Merger Sub.</w:t>
      </w:r>
    </w:p>
    <w:p>
      <w:pPr>
        <w:spacing w:after="0" w:line="52" w:lineRule="exact"/>
        <w:rPr>
          <w:rFonts w:ascii="Times New Roman" w:cs="Times New Roman" w:eastAsia="Times New Roman" w:hAnsi="Times New Roman"/>
          <w:sz w:val="17"/>
          <w:szCs w:val="17"/>
          <w:color w:val="auto"/>
        </w:rPr>
      </w:pPr>
    </w:p>
    <w:p>
      <w:pPr>
        <w:ind w:left="1500" w:hanging="510"/>
        <w:spacing w:after="0"/>
        <w:tabs>
          <w:tab w:leader="none" w:pos="15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Benefit Plan</w:t>
      </w:r>
      <w:r>
        <w:rPr>
          <w:rFonts w:ascii="Times New Roman" w:cs="Times New Roman" w:eastAsia="Times New Roman" w:hAnsi="Times New Roman"/>
          <w:sz w:val="18"/>
          <w:szCs w:val="18"/>
          <w:color w:val="auto"/>
        </w:rPr>
        <w:t>” means any Benefit Plan for which VIH or Merger Sub is or has been the “plan sponsor” (as defined in</w:t>
      </w:r>
    </w:p>
    <w:p>
      <w:pPr>
        <w:spacing w:after="0" w:line="2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VIH or Merger Sub maintains, sponsors, contributes to or to which it is obligated to make payments or has any current or future Liability, in each case with respect to any present or former employees of VIH or Merger Sub.</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20"/>
          </w:cols>
          <w:pgMar w:left="480" w:top="268" w:right="499" w:bottom="1440" w:gutter="0" w:footer="0" w:header="0"/>
        </w:sectPr>
      </w:pPr>
    </w:p>
    <w:bookmarkStart w:id="98" w:name="page99"/>
    <w:bookmarkEnd w:id="98"/>
    <w:p>
      <w:pPr>
        <w:ind w:right="780" w:firstLine="990"/>
        <w:spacing w:after="0" w:line="278" w:lineRule="auto"/>
        <w:tabs>
          <w:tab w:leader="none" w:pos="150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VIH Fundamental Representations</w:t>
      </w:r>
      <w:r>
        <w:rPr>
          <w:rFonts w:ascii="Times New Roman" w:cs="Times New Roman" w:eastAsia="Times New Roman" w:hAnsi="Times New Roman"/>
          <w:sz w:val="18"/>
          <w:szCs w:val="18"/>
          <w:color w:val="auto"/>
        </w:rPr>
        <w:t xml:space="preserve">” means the representations and warranties set forth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(Due Organization),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(Brokers and Agents).</w:t>
      </w:r>
    </w:p>
    <w:p>
      <w:pPr>
        <w:spacing w:after="0" w:line="55" w:lineRule="exact"/>
        <w:rPr>
          <w:rFonts w:ascii="Times New Roman" w:cs="Times New Roman" w:eastAsia="Times New Roman" w:hAnsi="Times New Roman"/>
          <w:sz w:val="18"/>
          <w:szCs w:val="18"/>
          <w:color w:val="auto"/>
        </w:rPr>
      </w:pPr>
    </w:p>
    <w:p>
      <w:pPr>
        <w:ind w:right="220" w:firstLine="990"/>
        <w:spacing w:after="0" w:line="278" w:lineRule="auto"/>
        <w:tabs>
          <w:tab w:leader="none" w:pos="150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 of VIH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known by VIH</w:t>
      </w:r>
      <w:r>
        <w:rPr>
          <w:rFonts w:ascii="Times New Roman" w:cs="Times New Roman" w:eastAsia="Times New Roman" w:hAnsi="Times New Roman"/>
          <w:sz w:val="18"/>
          <w:szCs w:val="18"/>
          <w:color w:val="auto"/>
        </w:rPr>
        <w:t xml:space="preserve">” or phrases of similar import or any of the foregoing with respect to VIH, mean the actual knowledge, after reasonable inquiry, of each Person named on </w:t>
      </w:r>
      <w:r>
        <w:rPr>
          <w:rFonts w:ascii="Times New Roman" w:cs="Times New Roman" w:eastAsia="Times New Roman" w:hAnsi="Times New Roman"/>
          <w:sz w:val="18"/>
          <w:szCs w:val="18"/>
          <w:u w:val="single" w:color="auto"/>
          <w:color w:val="auto"/>
        </w:rPr>
        <w:t>Section 10.1(qqqq)</w:t>
      </w:r>
      <w:r>
        <w:rPr>
          <w:rFonts w:ascii="Times New Roman" w:cs="Times New Roman" w:eastAsia="Times New Roman" w:hAnsi="Times New Roman"/>
          <w:sz w:val="18"/>
          <w:szCs w:val="18"/>
          <w:color w:val="auto"/>
        </w:rPr>
        <w:t xml:space="preserve"> of VIH Disclosure Letter.</w:t>
      </w:r>
    </w:p>
    <w:p>
      <w:pPr>
        <w:spacing w:after="0" w:line="55" w:lineRule="exact"/>
        <w:rPr>
          <w:rFonts w:ascii="Times New Roman" w:cs="Times New Roman" w:eastAsia="Times New Roman" w:hAnsi="Times New Roman"/>
          <w:sz w:val="18"/>
          <w:szCs w:val="18"/>
          <w:color w:val="auto"/>
        </w:rPr>
      </w:pPr>
    </w:p>
    <w:p>
      <w:pPr>
        <w:ind w:firstLine="990"/>
        <w:spacing w:after="0" w:line="249" w:lineRule="auto"/>
        <w:tabs>
          <w:tab w:leader="none" w:pos="13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Material Adverse Effect</w:t>
      </w:r>
      <w:r>
        <w:rPr>
          <w:rFonts w:ascii="Times New Roman" w:cs="Times New Roman" w:eastAsia="Times New Roman" w:hAnsi="Times New Roman"/>
          <w:sz w:val="18"/>
          <w:szCs w:val="18"/>
          <w:color w:val="auto"/>
        </w:rPr>
        <w:t xml:space="preserve">” means any Event that, individually or in the aggregate with any other results, occurrences, facts, changes, events and/or effects, has had or would be reasonably likely to have a material adverse effect on (i) the business, assets, Liabilities, results of operations or condition (financial or otherwise) of VIH and Merger Sub, taken as a whole, or (ii) the ability of VIH or Merger Sub to consummate the Transactions or to perform their respective obligations hereunder or under the Transaction Documents to which they are a party or bound. Notwithstanding the foregoing, for purposes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no Event (by itself or taken with any and all of the other Events) that results from or arises out of or is related to any of the following shall be deemed to constitute or be taken into account in determining whether there has been, a VIH Material Adverse Effect: (A) any change affecting generally the industries or markets in which VIH and Merger Sub operate, including in any change in the financial markets, credit markets or capital markets in the United States or any other country or region in the world, (B) acts of God, including pandemics (including the COVID-19 virus or any mutation thereof) and the actions of Governmental Authorities in response thereto which are binding on VIH and Merger Sub, (C) 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(D) any change in GAAP (or the interpretation thereof), (E) any change in Law, rules, regulations, orders, or other binding directives issued by any Governmental Authority (or the interpretation thereof), (F) the taking of any action expressly required by this Agreement, (G) the public announcement or pendency of this Agreement or any of the Transactions or (H) the consummation and effects of the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in each case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that such change does not affect VIH or Merger Sub in a disproportionate manner relative to other Persons operating in the industries or markets in which VIH or Merger Sub operate.</w:t>
      </w:r>
    </w:p>
    <w:p>
      <w:pPr>
        <w:spacing w:after="0" w:line="93" w:lineRule="exact"/>
        <w:rPr>
          <w:rFonts w:ascii="Times New Roman" w:cs="Times New Roman" w:eastAsia="Times New Roman" w:hAnsi="Times New Roman"/>
          <w:sz w:val="18"/>
          <w:szCs w:val="18"/>
          <w:color w:val="auto"/>
        </w:rPr>
      </w:pPr>
    </w:p>
    <w:p>
      <w:pPr>
        <w:ind w:left="1440" w:hanging="450"/>
        <w:spacing w:after="0"/>
        <w:tabs>
          <w:tab w:leader="none" w:pos="14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Public Units</w:t>
      </w:r>
      <w:r>
        <w:rPr>
          <w:rFonts w:ascii="Times New Roman" w:cs="Times New Roman" w:eastAsia="Times New Roman" w:hAnsi="Times New Roman"/>
          <w:sz w:val="18"/>
          <w:szCs w:val="18"/>
          <w:color w:val="auto"/>
        </w:rPr>
        <w:t>” means the units issued in the IPO or the overallotment consisting of one (1) VIH Class A Share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one-half (1/2) of a VIH Warrant.</w:t>
      </w:r>
    </w:p>
    <w:p>
      <w:pPr>
        <w:spacing w:after="0" w:line="95" w:lineRule="exact"/>
        <w:rPr>
          <w:sz w:val="20"/>
          <w:szCs w:val="20"/>
          <w:color w:val="auto"/>
        </w:rPr>
      </w:pPr>
    </w:p>
    <w:p>
      <w:pPr>
        <w:jc w:val="center"/>
        <w:ind w:left="5380" w:right="1640" w:hanging="4390"/>
        <w:spacing w:after="0" w:line="448" w:lineRule="auto"/>
        <w:tabs>
          <w:tab w:leader="none" w:pos="13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Shareholder</w:t>
      </w:r>
      <w:r>
        <w:rPr>
          <w:rFonts w:ascii="Times New Roman" w:cs="Times New Roman" w:eastAsia="Times New Roman" w:hAnsi="Times New Roman"/>
          <w:sz w:val="18"/>
          <w:szCs w:val="18"/>
          <w:color w:val="auto"/>
        </w:rPr>
        <w:t>” means any holders of VIH Class A Shares, VIH Class B Shares or VIH Preference Shares. 82</w:t>
      </w:r>
    </w:p>
    <w:p>
      <w:pPr>
        <w:sectPr>
          <w:pgSz w:w="11900" w:h="16838" w:orient="portrait"/>
          <w:cols w:equalWidth="0" w:num="1">
            <w:col w:w="10860"/>
          </w:cols>
          <w:pgMar w:left="480" w:top="268" w:right="559" w:bottom="1440" w:gutter="0" w:footer="0" w:header="0"/>
        </w:sectPr>
      </w:pPr>
    </w:p>
    <w:bookmarkStart w:id="99" w:name="page100"/>
    <w:bookmarkEnd w:id="99"/>
    <w:p>
      <w:pPr>
        <w:ind w:firstLine="990"/>
        <w:spacing w:after="0" w:line="250" w:lineRule="auto"/>
        <w:tabs>
          <w:tab w:leader="none" w:pos="150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VIH Shareholders’ Approval</w:t>
      </w:r>
      <w:r>
        <w:rPr>
          <w:rFonts w:ascii="Times New Roman" w:cs="Times New Roman" w:eastAsia="Times New Roman" w:hAnsi="Times New Roman"/>
          <w:sz w:val="18"/>
          <w:szCs w:val="18"/>
          <w:color w:val="auto"/>
        </w:rPr>
        <w:t xml:space="preserve">” means the affirmative vote of the holders of, (i) a special resolution under Cayman Islands law with respect to the Domestication (including the adoption and approval of a certificate of corporate domestication and the Bakkt Pubco Charter), which requires a majority of at least two-thirds of the VIH Class A Shares and VIH Class B Shares that are present for and vote at the VIH Shareholder Meeting to vote in favor thereof, (ii) an ordinary resolution under Cayman Islands law with respect to (A) adoption and approval of this Agreement and the Merger, (B) adoption and approval of the Equity Incentive Plan, (C) the approval of the issuance of Bakkt Pubco Class A Shares issuable pursuant to the PIPE Financing and approval of the issuance of Bakkt Pubco Class A Shares and Bakkt Pubco Class V Shares issuable to Bakkt Equity Holders pursuant this Agreement, if required under National Stock Exchange rules and regulations, and (D) approval of the adjournment of the VIH Shareholder Meeting in accordance with </w:t>
      </w:r>
      <w:r>
        <w:rPr>
          <w:rFonts w:ascii="Times New Roman" w:cs="Times New Roman" w:eastAsia="Times New Roman" w:hAnsi="Times New Roman"/>
          <w:sz w:val="18"/>
          <w:szCs w:val="18"/>
          <w:u w:val="single" w:color="auto"/>
          <w:color w:val="auto"/>
        </w:rPr>
        <w:t>Section 5.8(f)</w:t>
      </w:r>
      <w:r>
        <w:rPr>
          <w:rFonts w:ascii="Times New Roman" w:cs="Times New Roman" w:eastAsia="Times New Roman" w:hAnsi="Times New Roman"/>
          <w:sz w:val="18"/>
          <w:szCs w:val="18"/>
          <w:color w:val="auto"/>
        </w:rPr>
        <w:t xml:space="preserve">, if necessary, which requires a majority of the VIH Class A Shares and VIH Class B Shares that are present for and vote at the VIH Shareholder Meeting to vote in favor thereof; and (iii) an ordinary resolution of the VIH Class B Shares with respect to the election of each of the Post-Closing Directors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which requires a majority of the VIH Class B Shares that are present for and vote at the VIH Shareholder Meeting to vote in favor thereof. The vote at the VIH Shareholder Meeting on any other matter than those described in the first sentence of this definition, including a vote on the Advisory Charter Proposals, shall not affect whether the VIH Shareholders’ Approval shall have been obtained.</w:t>
      </w:r>
    </w:p>
    <w:p>
      <w:pPr>
        <w:spacing w:after="0" w:line="85" w:lineRule="exact"/>
        <w:rPr>
          <w:rFonts w:ascii="Times New Roman" w:cs="Times New Roman" w:eastAsia="Times New Roman" w:hAnsi="Times New Roman"/>
          <w:sz w:val="18"/>
          <w:szCs w:val="18"/>
          <w:color w:val="auto"/>
        </w:rPr>
      </w:pPr>
    </w:p>
    <w:p>
      <w:pPr>
        <w:ind w:left="1500" w:hanging="510"/>
        <w:spacing w:after="0"/>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Sponsor</w:t>
      </w:r>
      <w:r>
        <w:rPr>
          <w:rFonts w:ascii="Times New Roman" w:cs="Times New Roman" w:eastAsia="Times New Roman" w:hAnsi="Times New Roman"/>
          <w:sz w:val="18"/>
          <w:szCs w:val="18"/>
          <w:color w:val="auto"/>
        </w:rPr>
        <w:t>” means VPC Impact Acquisition Holdings Sponsor, LLC, a Delaware limited liability company.</w:t>
      </w:r>
    </w:p>
    <w:p>
      <w:pPr>
        <w:spacing w:after="0" w:line="113" w:lineRule="exact"/>
        <w:rPr>
          <w:rFonts w:ascii="Times New Roman" w:cs="Times New Roman" w:eastAsia="Times New Roman" w:hAnsi="Times New Roman"/>
          <w:sz w:val="18"/>
          <w:szCs w:val="18"/>
          <w:color w:val="auto"/>
        </w:rPr>
      </w:pPr>
    </w:p>
    <w:p>
      <w:pPr>
        <w:ind w:firstLine="990"/>
        <w:spacing w:after="0" w:line="251" w:lineRule="auto"/>
        <w:tabs>
          <w:tab w:leader="none" w:pos="1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Transaction Expenses</w:t>
      </w:r>
      <w:r>
        <w:rPr>
          <w:rFonts w:ascii="Times New Roman" w:cs="Times New Roman" w:eastAsia="Times New Roman" w:hAnsi="Times New Roman"/>
          <w:sz w:val="18"/>
          <w:szCs w:val="18"/>
          <w:color w:val="auto"/>
        </w:rPr>
        <w:t xml:space="preserve">” means (i) all costs and expenses incurred or payable by VIH at or prior to the Closing in connection with the negotiation, preparation, execution and performance of this Agreement, the Transaction Documents and consummation of the Transactions, including the PIPE Financing, and any related agreements in connection with the Transactions, including all fees and out of pocket expenses due all attorneys, accountants and financial advisors of VIH, and the cost of preparing, filing and mailing the Registration Statement and the Proxy Statement, and any success fees due or otherwise earned upon the Closing (but in all cases excluding the cost of the “tail” directors’ and officers’ liability insurance policies purchased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(ii) all deferred costs and expenses incurred by VIH in connection with its initial public offering, including $7,258,020.70 payable to VIH’s financial advisor in connection with deferred underwriting fees, and (iii) all other costs and expenses incurred or payable and unpaid by VIH in connection with the operation of VIH through the Effective Time, including, without double counting, all outstanding indebtedness of VIH.</w:t>
      </w:r>
    </w:p>
    <w:p>
      <w:pPr>
        <w:spacing w:after="0" w:line="84" w:lineRule="exact"/>
        <w:rPr>
          <w:rFonts w:ascii="Times New Roman" w:cs="Times New Roman" w:eastAsia="Times New Roman" w:hAnsi="Times New Roman"/>
          <w:sz w:val="18"/>
          <w:szCs w:val="18"/>
          <w:color w:val="auto"/>
        </w:rPr>
      </w:pPr>
    </w:p>
    <w:p>
      <w:pPr>
        <w:ind w:left="1500" w:hanging="510"/>
        <w:spacing w:after="0"/>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Interests</w:t>
      </w:r>
      <w:r>
        <w:rPr>
          <w:rFonts w:ascii="Times New Roman" w:cs="Times New Roman" w:eastAsia="Times New Roman" w:hAnsi="Times New Roman"/>
          <w:sz w:val="18"/>
          <w:szCs w:val="18"/>
          <w:color w:val="auto"/>
        </w:rPr>
        <w:t>” means that portion of the Aggregate Merger Consideration that would have been allocable (pursuant to</w:t>
      </w:r>
    </w:p>
    <w:p>
      <w:pPr>
        <w:spacing w:after="0" w:line="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of this Agreement) to the Bakkt Opco Warrants outstanding immediately prior to the Effective Time if such Bakkt Opco Warrants had hypothetically been exercised in full into Bakkt Interests as of such time.</w:t>
      </w:r>
    </w:p>
    <w:p>
      <w:pPr>
        <w:spacing w:after="0" w:line="75" w:lineRule="exact"/>
        <w:rPr>
          <w:sz w:val="20"/>
          <w:szCs w:val="20"/>
          <w:color w:val="auto"/>
        </w:rPr>
      </w:pPr>
    </w:p>
    <w:p>
      <w:pPr>
        <w:ind w:right="40" w:firstLine="990"/>
        <w:spacing w:after="0" w:line="258" w:lineRule="auto"/>
        <w:tabs>
          <w:tab w:leader="none" w:pos="150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Intentional Breach</w:t>
      </w:r>
      <w:r>
        <w:rPr>
          <w:rFonts w:ascii="Times New Roman" w:cs="Times New Roman" w:eastAsia="Times New Roman" w:hAnsi="Times New Roman"/>
          <w:sz w:val="18"/>
          <w:szCs w:val="18"/>
          <w:color w:val="auto"/>
        </w:rPr>
        <w:t>” means, with respect to any representation, warranty, agreement or covenant in this Agreement, a deliberate action or omission (including a failure to cure circumstances) where the breaching Party knows such action or omission is or would reasonably be expected to result in a breach of such representation, warranty, agreement or covenant, it being understood that such term shall include, in any event, the failure to consummate the Closing when required to do so by this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00"/>
          </w:cols>
          <w:pgMar w:left="480" w:top="268" w:right="519" w:bottom="1440" w:gutter="0" w:footer="0" w:header="0"/>
        </w:sectPr>
      </w:pPr>
    </w:p>
    <w:bookmarkStart w:id="100" w:name="page101"/>
    <w:bookmarkEnd w:id="100"/>
    <w:p>
      <w:pPr>
        <w:jc w:val="both"/>
        <w:ind w:right="46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Except as otherwise expressly provided in this Agreement, all accounting terms used herein shall be interpreted, and all financial statements and certificates and reports as to financial matters required to be delivered hereunder shall be prepared, in accordance with GAAP.</w:t>
      </w:r>
    </w:p>
    <w:p>
      <w:pPr>
        <w:spacing w:after="0" w:line="175"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Usage</w:t>
      </w:r>
      <w:r>
        <w:rPr>
          <w:rFonts w:ascii="Times New Roman" w:cs="Times New Roman" w:eastAsia="Times New Roman" w:hAnsi="Times New Roman"/>
          <w:sz w:val="18"/>
          <w:szCs w:val="18"/>
          <w:color w:val="auto"/>
        </w:rPr>
        <w:t>. The defined terms herein shall apply equally to both the singular and plural forms of the terms defined. Whenever the context may require, any pronoun shall include the corresponding masculine, feminine and neuter forms. All references herein to “Articles”, “Sections”, “Exhibits”, “Annexes” and “Schedules” shall be deemed to be references to articles and sections of and exhibits, annexes and schedules to this Agreement unless the context shall otherwise require. The words “include”, “includes” and “including” shall be deemed to be followed by the phrase “without limitation”. The word “predecessor” shall, when used with respect to any Person, mean such Person’s predecessors and any other Person for whose conduct such Person is or may be responsible. The words “hereof”, “herein” and “hereunder” and words of similar import when used in this Agreement shall refer to this Agreement as a whole and not to any particular provision of this Agreement. References to “the date hereof,” “the date of this Agreement,” “the execution of this Agreement,” and phrases of similar import when used in this Agreement shall refer to the effective date of this Agreement as set forth on the first page hereof.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statute or law shall be deemed also to refer to all rules and regulations promulgated thereunder, unless the context requires otherwise. Unless otherwise expressly provided, wherever the consent of any Person is required or permitted herein, such consent may be withheld in such Person’s sole and absolute discretion. The table of contents and the Article and Section headings contained in this Agreement are solely for the purpose of reference, are not part of the agreement of the Parties and shall not in any way affect the meaning or interpretation of this Agreement. Reference to any Person includes such Person’s successors and assigns but, if applicable, only if such successors and assigns are permitted by this Agreement (including, in respect of VIH, Bakkt Pubco, and in respect of Bakkt Opco or Merger Sub, Surviving Company), and reference to a Person in a particular capacity excludes such Person in any other capacity. Unless context requires otherwise, any reference in this Agreement to a Person’s directors shall including any member of such Person’s governing body and any reference in this Agreement to a Person’s officers shall including any Person filling a substantially similar position for such Person. Any reference in this Agreement or any Transaction Document to a Person’s shareholders or stockholders shall include any applicable direct owners of the Equity Interests of such Person, in whatever form.</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20"/>
          </w:cols>
          <w:pgMar w:left="480" w:top="268" w:right="499" w:bottom="1440" w:gutter="0" w:footer="0" w:header="0"/>
        </w:sectPr>
      </w:pPr>
    </w:p>
    <w:bookmarkStart w:id="101" w:name="page102"/>
    <w:bookmarkEnd w:id="10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Index of Defined Terms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5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6"/>
              </w:rPr>
              <w:t>Section</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Acquisition Proposal</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5.11(a)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Alternative Transaction</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5.11(a)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Announcement 8-K</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Bakkt Disclosure Letter</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Article III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Bakkt Non-Recourse Party</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bottom w:val="single" w:sz="8" w:color="auto"/>
            </w:tcBorders>
            <w:gridSpan w:val="8"/>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11.16(a)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Opco</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Bakkt Opco Warrant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2.5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Pubco</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Bakkt Pubco Bylaws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2.1(d)</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Bakkt Pubco Charter</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2.1(c)</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Pubco Public Warrants</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Pubco Warrants</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Bakkt Representations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auto"/>
                <w:w w:val="97"/>
              </w:rPr>
              <w:t>Section 4.24</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Business Combination</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Merger</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1.4</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I Directors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auto"/>
            </w:tcBorders>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5.12(a)(i)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II Directors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gridSpan w:val="11"/>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5.12(a)(ii)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III Directors</w:t>
            </w:r>
          </w:p>
        </w:tc>
        <w:tc>
          <w:tcPr>
            <w:tcW w:w="5160" w:type="dxa"/>
            <w:vAlign w:val="bottom"/>
          </w:tcPr>
          <w:p>
            <w:pPr>
              <w:spacing w:after="0"/>
              <w:rPr>
                <w:sz w:val="16"/>
                <w:szCs w:val="16"/>
                <w:color w:val="auto"/>
              </w:rPr>
            </w:pPr>
          </w:p>
        </w:tc>
        <w:tc>
          <w:tcPr>
            <w:tcW w:w="1360" w:type="dxa"/>
            <w:vAlign w:val="bottom"/>
            <w:tcBorders>
              <w:bottom w:val="single" w:sz="8" w:color="auto"/>
            </w:tcBorders>
            <w:gridSpan w:val="1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5.12(a)(iii)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1.3</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 Date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1.3</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 Press Release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 Statement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2.7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Companies Act</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Completion 8-K</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Computer Systems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3.15(a)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control</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10.1(c)</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controlled by</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10.1(c)</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D&amp;O Indemnitees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6.3(a)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Data Privacy Practices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3.15(b)</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DLLCA</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Domestication</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Effective Time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1.4</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Enforcement Exceptions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3.2(a)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Environmental Permits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3.17</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Equity Incentive Plan</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5.8(a)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Exchange Agreement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Borders>
              <w:bottom w:val="single" w:sz="8" w:color="auto"/>
            </w:tcBorders>
            <w:gridSpan w:val="9"/>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1.8(a)(ii)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Excluded Bakkt Interests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bottom w:val="single" w:sz="8" w:color="auto"/>
            </w:tcBorders>
            <w:gridSpan w:val="8"/>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2.3(b)(i)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Excluded Bakkt Matters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9.1(a)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Excluded VIH Matters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9.1(c)</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Final Merger Consideration Spreadsheet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9"/>
              </w:rPr>
              <w:t>Section 2.3(b)(ii)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Formation Date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GAAP</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Illustrative Merger Consideration Spreadsheet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9"/>
              </w:rPr>
              <w:t>Section 2.3(b)(ii)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Information Statement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5.8(g)</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Initial Bakkt Equity Holder Support Agreement</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Intended Tax Treatment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6.1(a)</w:t>
            </w:r>
          </w:p>
        </w:tc>
      </w:tr>
      <w:tr>
        <w:trPr>
          <w:trHeight w:val="382"/>
        </w:trPr>
        <w:tc>
          <w:tcPr>
            <w:tcW w:w="4400" w:type="dxa"/>
            <w:vAlign w:val="bottom"/>
          </w:tcPr>
          <w:p>
            <w:pPr>
              <w:spacing w:after="0"/>
              <w:rPr>
                <w:sz w:val="24"/>
                <w:szCs w:val="24"/>
                <w:color w:val="auto"/>
              </w:rPr>
            </w:pPr>
          </w:p>
        </w:tc>
        <w:tc>
          <w:tcPr>
            <w:tcW w:w="5160" w:type="dxa"/>
            <w:vAlign w:val="bottom"/>
          </w:tcPr>
          <w:p>
            <w:pPr>
              <w:jc w:val="right"/>
              <w:ind w:right="3911"/>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920"/>
          </w:cols>
          <w:pgMar w:left="480" w:top="268" w:right="49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5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Section 5.1</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IPO</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Joinder</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Recitals</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Letter of Transmittal</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2.6(a)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3.4(d)</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Material Contracts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3.13(a)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Material Permits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3.2(b)</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Material VIH Contracts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4.17(a)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Merger Consideration</w:t>
            </w:r>
          </w:p>
        </w:tc>
        <w:tc>
          <w:tcPr>
            <w:tcW w:w="5640" w:type="dxa"/>
            <w:vAlign w:val="bottom"/>
          </w:tcPr>
          <w:p>
            <w:pPr>
              <w:spacing w:after="0"/>
              <w:rPr>
                <w:sz w:val="16"/>
                <w:szCs w:val="16"/>
                <w:color w:val="auto"/>
              </w:rPr>
            </w:pPr>
          </w:p>
        </w:tc>
        <w:tc>
          <w:tcPr>
            <w:tcW w:w="1260" w:type="dxa"/>
            <w:vAlign w:val="bottom"/>
            <w:gridSpan w:val="10"/>
          </w:tcPr>
          <w:p>
            <w:pPr>
              <w:jc w:val="right"/>
              <w:spacing w:after="0" w:line="192" w:lineRule="exact"/>
              <w:rPr>
                <w:sz w:val="20"/>
                <w:szCs w:val="20"/>
                <w:color w:val="auto"/>
              </w:rPr>
            </w:pPr>
            <w:r>
              <w:rPr>
                <w:rFonts w:ascii="Times New Roman" w:cs="Times New Roman" w:eastAsia="Times New Roman" w:hAnsi="Times New Roman"/>
                <w:sz w:val="18"/>
                <w:szCs w:val="18"/>
                <w:color w:val="auto"/>
                <w:w w:val="99"/>
              </w:rPr>
              <w:t>Section 2.3(b)(ii)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Most Recent Balance Sheet Date</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Name Change</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OFAC</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2" w:lineRule="exact"/>
              <w:rPr>
                <w:sz w:val="20"/>
                <w:szCs w:val="20"/>
                <w:color w:val="auto"/>
              </w:rPr>
            </w:pPr>
            <w:r>
              <w:rPr>
                <w:rFonts w:ascii="Times New Roman" w:cs="Times New Roman" w:eastAsia="Times New Roman" w:hAnsi="Times New Roman"/>
                <w:sz w:val="18"/>
                <w:szCs w:val="18"/>
                <w:color w:val="auto"/>
                <w:w w:val="97"/>
              </w:rPr>
              <w:t>Section 3.20(d)</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Original RRA</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PCAOB Financial Statements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5.9(b)</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PIPE Subscription Agreements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Post-Closing Bakkt Pubco Board</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5.12(a)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Post-Closing Directors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5.12(a)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Proxy Statement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5.8(a)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Public Certifications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4.11(a)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Public Stockholders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Redemption</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4.14</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Registered Bakkt IP</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3.14(a)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Registration Statement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5.8(a)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Regulatory Filings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5.7</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Related Party</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3.19</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Released Claims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bottom w:val="single" w:sz="8" w:color="auto"/>
            </w:tcBorders>
            <w:gridSpan w:val="8"/>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9.2(b)(i)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Requisite Bakkt Equity Holders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Reviewable Document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5.9(c)</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SDN List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3.20(d)</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 Reports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4.11(a)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Signing Press Release</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Stockholders Agreement</w:t>
            </w:r>
          </w:p>
        </w:tc>
        <w:tc>
          <w:tcPr>
            <w:tcW w:w="5640" w:type="dxa"/>
            <w:vAlign w:val="bottom"/>
          </w:tcPr>
          <w:p>
            <w:pPr>
              <w:spacing w:after="0"/>
              <w:rPr>
                <w:sz w:val="16"/>
                <w:szCs w:val="16"/>
                <w:color w:val="auto"/>
              </w:rPr>
            </w:pPr>
          </w:p>
        </w:tc>
        <w:tc>
          <w:tcPr>
            <w:tcW w:w="1260" w:type="dxa"/>
            <w:vAlign w:val="bottom"/>
            <w:tcBorders>
              <w:bottom w:val="single" w:sz="8" w:color="auto"/>
            </w:tcBorders>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1.8(a)(vi)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Support Agreement</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Surviving Company LLC Agreement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1.6</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Tax Receivable Agreement</w:t>
            </w:r>
          </w:p>
        </w:tc>
        <w:tc>
          <w:tcPr>
            <w:tcW w:w="5640" w:type="dxa"/>
            <w:vAlign w:val="bottom"/>
          </w:tcPr>
          <w:p>
            <w:pPr>
              <w:spacing w:after="0"/>
              <w:rPr>
                <w:sz w:val="16"/>
                <w:szCs w:val="16"/>
                <w:color w:val="auto"/>
              </w:rPr>
            </w:pPr>
          </w:p>
        </w:tc>
        <w:tc>
          <w:tcPr>
            <w:tcW w:w="1260" w:type="dxa"/>
            <w:vAlign w:val="bottom"/>
            <w:tcBorders>
              <w:bottom w:val="single" w:sz="8" w:color="auto"/>
            </w:tcBorders>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1.8(a)(iii)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Transfer Taxes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6.1(c)</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Trust Account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382"/>
        </w:trPr>
        <w:tc>
          <w:tcPr>
            <w:tcW w:w="4020" w:type="dxa"/>
            <w:vAlign w:val="bottom"/>
          </w:tcPr>
          <w:p>
            <w:pPr>
              <w:spacing w:after="0"/>
              <w:rPr>
                <w:sz w:val="24"/>
                <w:szCs w:val="24"/>
                <w:color w:val="auto"/>
              </w:rPr>
            </w:pPr>
          </w:p>
        </w:tc>
        <w:tc>
          <w:tcPr>
            <w:tcW w:w="5640" w:type="dxa"/>
            <w:vAlign w:val="bottom"/>
          </w:tcPr>
          <w:p>
            <w:pPr>
              <w:jc w:val="right"/>
              <w:ind w:right="4011"/>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920"/>
          </w:cols>
          <w:pgMar w:left="480" w:top="253" w:right="49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Trust Agreement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Section 4.14</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Trustee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4.14</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under common control with</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10.1(c)</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Voting Agreement</w:t>
            </w:r>
          </w:p>
        </w:tc>
        <w:tc>
          <w:tcPr>
            <w:tcW w:w="1200" w:type="dxa"/>
            <w:vAlign w:val="bottom"/>
            <w:tcBorders>
              <w:bottom w:val="single" w:sz="8" w:color="auto"/>
            </w:tcBorders>
            <w:gridSpan w:val="7"/>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1.8(a)(v)</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Voting Matters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5.8(a)</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21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 Board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97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VIH Class A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Class B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Disclosure Letter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Article IV</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Financials</w:t>
            </w:r>
          </w:p>
        </w:tc>
        <w:tc>
          <w:tcPr>
            <w:tcW w:w="20" w:type="dxa"/>
            <w:vAlign w:val="bottom"/>
          </w:tcPr>
          <w:p>
            <w:pPr>
              <w:spacing w:after="0"/>
              <w:rPr>
                <w:sz w:val="16"/>
                <w:szCs w:val="16"/>
                <w:color w:val="auto"/>
              </w:rPr>
            </w:pPr>
          </w:p>
        </w:tc>
        <w:tc>
          <w:tcPr>
            <w:tcW w:w="118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rPr>
              <w:t>Section 4.11(b)</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 Memorandum and Articles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97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VIH Non-Recourse Party</w:t>
            </w:r>
          </w:p>
        </w:tc>
        <w:tc>
          <w:tcPr>
            <w:tcW w:w="1200" w:type="dxa"/>
            <w:vAlign w:val="bottom"/>
            <w:gridSpan w:val="7"/>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Section 11.16(b)</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Ordinary Shares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Preference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Public Warrants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4.12</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Representations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3.22</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Shareholder Meeting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5.8(a)</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 Sponsor Letter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97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VIH Warrants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Written Consent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5.8(g)</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(d) on the third (3</w:t>
      </w:r>
      <w:r>
        <w:rPr>
          <w:rFonts w:ascii="Times New Roman" w:cs="Times New Roman" w:eastAsia="Times New Roman" w:hAnsi="Times New Roman"/>
          <w:sz w:val="15"/>
          <w:szCs w:val="15"/>
          <w:u w:val="single" w:color="auto"/>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VIH or Merger Sub prior to the 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Victory Park Capital Advisors, LLC</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Scott R. Zemnick</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szemnick@vpcadvisors.com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20"/>
          </w:cols>
          <w:pgMar w:left="480" w:top="253" w:right="49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Raymond Bogenrief</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raymond.bogenrief@whitecase.com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If to Bakkt Opco (prior to 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J. Matthew Lyons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matt.lyons@shearman.com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If to Bakkt Pubco or Surviving Company after 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J. Matthew Lyons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matt.lyons@shearman.com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Raymond Bogenrief</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raymond.bogenrief@whitecase.com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9019"/>
          </w:cols>
          <w:pgMar w:left="1440" w:top="268" w:right="1440" w:bottom="1440" w:gutter="0" w:footer="0" w:header="0"/>
        </w:sectPr>
      </w:pPr>
    </w:p>
    <w:bookmarkStart w:id="105" w:name="page106"/>
    <w:bookmarkEnd w:id="105"/>
    <w:p>
      <w:pPr>
        <w:ind w:right="20" w:firstLine="98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(which includes the Bakkt Disclosure Letter, the VIH Disclosure Letter, the other schedules hereto and the exhibits hereto),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Agreement. Each of the Bakkt Disclosure Letter, the VIH Disclosure Letter, the other schedules and the exhibits is incorporated herein by this reference and expressly made a part hereof, and all terms used in the Bakkt Disclosure Letter, the VIH Disclosure Letter or any schedule or exhibit shall have the meaning ascribed to such term in this Agreement.</w:t>
      </w:r>
    </w:p>
    <w:p>
      <w:pPr>
        <w:spacing w:after="0" w:line="184"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None of the Parties hereto may assign its rights or obligations hereunder without the prior written consent of the other Parties, which consent shall not be unreasonably conditioned, withheld or delayed. No assignment shall relieve the assigning Party of any of its obligations hereunder.</w:t>
      </w:r>
    </w:p>
    <w:p>
      <w:pPr>
        <w:spacing w:after="0" w:line="180" w:lineRule="exact"/>
        <w:rPr>
          <w:sz w:val="20"/>
          <w:szCs w:val="20"/>
          <w:color w:val="auto"/>
        </w:rPr>
      </w:pPr>
    </w:p>
    <w:p>
      <w:pPr>
        <w:ind w:right="1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175"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Expenses and Fees</w:t>
      </w:r>
      <w:r>
        <w:rPr>
          <w:rFonts w:ascii="Times New Roman" w:cs="Times New Roman" w:eastAsia="Times New Roman" w:hAnsi="Times New Roman"/>
          <w:sz w:val="18"/>
          <w:szCs w:val="18"/>
          <w:color w:val="auto"/>
        </w:rPr>
        <w:t>. If this Agreement is terminated in accordance with its terms, each of the Parties shall bear its own expenses in connection with the negotiation and execution of this Agreement, the performance of its obligations hereunder and the consummation of the Transactions, including, all fees and expenses of its legal counsel, investment bankers, financial advisors, accountants and other advisors. If the Merger is consummated, all Bakkt Transaction Expenses and VIH Transaction Expenses shall be borne by Bakkt Pubco.</w:t>
      </w:r>
    </w:p>
    <w:p>
      <w:pPr>
        <w:spacing w:after="0" w:line="180" w:lineRule="exact"/>
        <w:rPr>
          <w:sz w:val="20"/>
          <w:szCs w:val="20"/>
          <w:color w:val="auto"/>
        </w:rPr>
      </w:pPr>
    </w:p>
    <w:p>
      <w:pPr>
        <w:jc w:val="both"/>
        <w:ind w:right="1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w:t>
      </w:r>
    </w:p>
    <w:p>
      <w:pPr>
        <w:spacing w:after="0" w:line="175" w:lineRule="exact"/>
        <w:rPr>
          <w:sz w:val="20"/>
          <w:szCs w:val="20"/>
          <w:color w:val="auto"/>
        </w:rPr>
      </w:pPr>
    </w:p>
    <w:p>
      <w:pPr>
        <w:ind w:right="20"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Submission to Jurisdiction; WAIVER OF JURY TRIAL</w:t>
      </w:r>
      <w:r>
        <w:rPr>
          <w:rFonts w:ascii="Times New Roman" w:cs="Times New Roman" w:eastAsia="Times New Roman" w:hAnsi="Times New Roman"/>
          <w:sz w:val="18"/>
          <w:szCs w:val="18"/>
          <w:color w:val="auto"/>
        </w:rPr>
        <w:t>. Each of the Parties hereto (i)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or any of the Transactions,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or any of the Transactions in any other court. Each Party agrees that a final judgment in any such action or proceeding shall be conclusive and may be enforced in other jurisdictions by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880"/>
          </w:cols>
          <w:pgMar w:left="480" w:top="268" w:right="539" w:bottom="1440" w:gutter="0" w:footer="0" w:header="0"/>
        </w:sectPr>
      </w:pPr>
    </w:p>
    <w:bookmarkStart w:id="106" w:name="page107"/>
    <w:bookmarkEnd w:id="10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however, shall affect the right of any party to serve legal process in any other manner permitted by law. TO THE EXTENT PERMITTED BY APPLICABLE LAW, EACH PARTY HEREBY IRREVOCABLY AND UNCONDITIONALLY WAIVES ALL RIGHTS TO TRIAL BY JURY IN ANY ACTION OR PROCEEDING CONTEMPLATED HEREBY.</w:t>
      </w:r>
    </w:p>
    <w:p>
      <w:pPr>
        <w:spacing w:after="0" w:line="184" w:lineRule="exact"/>
        <w:rPr>
          <w:sz w:val="20"/>
          <w:szCs w:val="20"/>
          <w:color w:val="auto"/>
        </w:rPr>
      </w:pPr>
    </w:p>
    <w:p>
      <w:pPr>
        <w:ind w:right="18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that the other Parties will be irreparably harmed and that there will be no adequate remedy at law for any violation by any Party of any of the covenants or agreements contained in this Agreement or the Transaction Documents.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Parties’ covenants and agreements contained in this Agreement and the Transaction Documents,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or the Transaction Documents and to enforce specifically the terms and provisions of this Agreement or the Transaction Documents shall not be required to provide any bond or other security in connection with such order or injunction.</w:t>
      </w:r>
    </w:p>
    <w:p>
      <w:pPr>
        <w:spacing w:after="0" w:line="192"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184" w:lineRule="exact"/>
        <w:rPr>
          <w:sz w:val="20"/>
          <w:szCs w:val="20"/>
          <w:color w:val="auto"/>
        </w:rPr>
      </w:pPr>
    </w:p>
    <w:p>
      <w:pPr>
        <w:jc w:val="both"/>
        <w:ind w:right="1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be amended by the Parties at any time by execution of an instrument in writing signed on behalf of each of the Parties. Any extension or waiver by any Party of any provision hereto shall be valid only if set forth in an instrument in writing signed on behalf of such Party.</w:t>
      </w:r>
    </w:p>
    <w:p>
      <w:pPr>
        <w:spacing w:after="0" w:line="175" w:lineRule="exact"/>
        <w:rPr>
          <w:sz w:val="20"/>
          <w:szCs w:val="20"/>
          <w:color w:val="auto"/>
        </w:rPr>
      </w:pPr>
    </w:p>
    <w:p>
      <w:pPr>
        <w:ind w:right="1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Absence of Third Party Beneficiary Rights</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00"/>
          </w:cols>
          <w:pgMar w:left="480" w:top="268" w:right="519" w:bottom="1440" w:gutter="0" w:footer="0" w:header="0"/>
        </w:sectPr>
      </w:pPr>
    </w:p>
    <w:bookmarkStart w:id="107" w:name="page108"/>
    <w:bookmarkEnd w:id="107"/>
    <w:p>
      <w:pPr>
        <w:ind w:right="38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11.12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Agreement is the mutual product of the Parties, and each provision hereof has been subject to the mutual consultation, negotiation and agreement of each of the Parties, and shall not be construed for or against any Party.</w:t>
      </w:r>
    </w:p>
    <w:p>
      <w:pPr>
        <w:spacing w:after="0" w:line="162" w:lineRule="exact"/>
        <w:rPr>
          <w:sz w:val="20"/>
          <w:szCs w:val="20"/>
          <w:color w:val="auto"/>
        </w:rPr>
      </w:pPr>
    </w:p>
    <w:p>
      <w:pPr>
        <w:ind w:right="28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Further Representations</w:t>
      </w:r>
      <w:r>
        <w:rPr>
          <w:rFonts w:ascii="Times New Roman" w:cs="Times New Roman" w:eastAsia="Times New Roman" w:hAnsi="Times New Roman"/>
          <w:sz w:val="18"/>
          <w:szCs w:val="18"/>
          <w:color w:val="auto"/>
        </w:rPr>
        <w:t>. Each Party acknowledges and represents that it has been represented by its own legal counsel in connection with the Transactions, with the opportunity to seek advice as to its legal rights from such counsel. Each Party further represents that it is being independently advised as to the tax consequences of the Transactions and is not relying on any representation or statements made by any other Party as to such tax consequences.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Waiver of Conflicts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5" w:lineRule="auto"/>
        <w:tabs>
          <w:tab w:leader="none" w:pos="122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on their own behalf and on behalf their respective directors, officers, managers, employees and Affiliates, that, following the Closing, Shearman &amp; Sterling LLP may serve as counsel to one or more of the Bakkt Equity Holders or their Affiliates in connection with any matters related to this Agreement and the Transactions, including any litigation, claim or obligation arising out of or relating to this Agreement or the Transactions notwithstanding any representation by Shearman &amp; Sterling LLP prior to the Closing Date of Bakkt Opco. The Parties hereby (i) waive any claim they have or may have that Shearman &amp; Sterling LLP has a conflict of interest or is otherwise prohibited from engaging in such representation and (ii) agree that, in the event that a dispute arises after the Closing between VIH (or Bakkt Pubco), Merger Sub or Bakkt Opco (or Surviving Company), on the one hand, and one or more of the Bakkt Equity Holders or any of their respective Affiliates, on the other hand, Shearman &amp; Sterling LLP may represent one or more of the Bakkt Equity Holders or any of their respective Affiliates in such dispute even though the interests of such Person(s) may be directly adverse to VIH (or Bakkt Pubco), Merger Sub or Bakkt Opco (or Surviving Company) and even though Shearman &amp; Sterling LLP may have represented Bakkt Opco in a matter substantially related to such dispute. The Parties also further agree that, as to all communications prior to the Closing among Shearman &amp; Sterling LLP and Bakkt Opco (or its Subsidiaries), one or more of the Bakkt Equity Holders or such Bakkt Equity Holders’ Affiliates and Representatives, that relate in any way to the Transactions, the attorney-client privilege and the expectation of client confidence belong to the applicable Bakkt Equity Holders and may be controlled by such Bakkt Equity Holders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Surviving Company may assert the attorney-client privilege to prevent disclosure of confidential communications by Shearman &amp; Sterling LLP to such third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Surviving Company may not waive such privilege without the prior written consent of the holders of a majority in interest of the Surviving Company Common Units held by the Bakkt Equity Holders at the Closing (which shall for the avoidance of doubt shall exclude the Surviving Company Common Units issued to Bakkt Pubco).</w:t>
      </w:r>
    </w:p>
    <w:p>
      <w:pPr>
        <w:spacing w:after="0" w:line="71" w:lineRule="exact"/>
        <w:rPr>
          <w:rFonts w:ascii="Times New Roman" w:cs="Times New Roman" w:eastAsia="Times New Roman" w:hAnsi="Times New Roman"/>
          <w:sz w:val="17"/>
          <w:szCs w:val="17"/>
          <w:color w:val="auto"/>
        </w:rPr>
      </w:pPr>
    </w:p>
    <w:p>
      <w:pPr>
        <w:ind w:right="460" w:firstLine="990"/>
        <w:spacing w:after="0" w:line="263" w:lineRule="auto"/>
        <w:tabs>
          <w:tab w:leader="none" w:pos="123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on their own behalf and on behalf their respective directors, officers, managers, employees and Affiliates, that, following the Closing, White &amp; Case LLP may serve as counsel to VIH Sponsor and its Affiliates in connection with any matters related to this Agreement and the Transactions, including any litigation, claim or obligation arising out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20"/>
          </w:cols>
          <w:pgMar w:left="480" w:top="268" w:right="499" w:bottom="1440" w:gutter="0" w:footer="0" w:header="0"/>
        </w:sectPr>
      </w:pPr>
    </w:p>
    <w:bookmarkStart w:id="108" w:name="page109"/>
    <w:bookmarkEnd w:id="108"/>
    <w:p>
      <w:pPr>
        <w:ind w:right="8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or relating to this Agreement or the Transactions notwithstanding any representation by White &amp; Case LLP prior to the Closing Date of VIH. The Parties hereby (i) waive any claim they have or may have that White &amp; Case LLP has a conflict of interest or is otherwise prohibited from engaging in such representation and (ii) agree that, in the event that a dispute arises after the Closing between VIH (or Bakkt Pubco), Merger Sub or Bakkt Opco (or Surviving Company), on the one hand, and VIH Sponsor or any of its Affiliates, on the other hand, White &amp; Case LLP may represent VIH Sponsor or any of its Affiliates in such dispute even though the interests of such Person(s) may be directly adverse to VIH (or Bakkt Pubco), Merger Sub or Bakkt Opco (or Surviving Company) and even though White &amp; Case LLP may have represented VIH in a matter substantially related to such dispute. The Parties also further agree that, as to all communications prior to the Closing among White &amp; Case LLP and VIH, VIH Sponsor or VIH Sponsor’s Affiliates and Representatives, that relate in any way to the Transactions, the attorney-client privilege and the expectation of client confidence belong to VIH Sponsor and may be controlled by VIH Sponsor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Bakkt Pubco may assert the attorney-client privilege to prevent disclosure of confidential communications by White &amp; Case LLP to such third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Bakkt Pubco may not waive such privilege without the prior written consent of the VIH Sponsor.</w:t>
      </w:r>
    </w:p>
    <w:p>
      <w:pPr>
        <w:spacing w:after="0" w:line="179"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Whenever any payment hereunder is to be paid in “cash”, payment shall be made in the legal tender of the United States and the method for payment shall be by wire transfer of immediately available funds. In the event there is any need to convert U.S. dollars into any foreign currency, or vice versa, for any purpose under this Agreement, the exchange rate shall be that published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an obligation is paid (or if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is not published on such date, the first date thereafter on which the Wall Street Journal is published).</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1" w:lineRule="auto"/>
        <w:tabs>
          <w:tab w:leader="none" w:pos="12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that may be expressed or implied in this Agreement or any Transaction Document, except with respect to Excluded Bakkt Matters, by its acceptance of the benefits of this Agreement, VIH and Merger Sub each covenants, agrees and acknowledges that no Persons other than Bakkt Opco have any liabilities, obligations, commitments (whether known or unknown or whether contingent or otherwise) hereunder and thereunder (except to the extent such Person is expressly identified as a party to such Transaction Document), and that, notwithstanding that the Bakkt Equity Holders or their respective managing members or general partners may be partnerships or limited liability companies, none of VIH or Merger Sub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or general or limited partners of any of Bakkt Opco or any former, current or future stockholder, controlling Person, director, officer, employee, general or limited partner, member, manager, Affiliate or agent of any of the foregoing (collectively, but not including Bakkt Opco, a “</w:t>
      </w:r>
      <w:r>
        <w:rPr>
          <w:rFonts w:ascii="Times New Roman" w:cs="Times New Roman" w:eastAsia="Times New Roman" w:hAnsi="Times New Roman"/>
          <w:sz w:val="18"/>
          <w:szCs w:val="18"/>
          <w:u w:val="single" w:color="auto"/>
          <w:color w:val="auto"/>
        </w:rPr>
        <w:t>Bakkt Non-Recourse Party</w:t>
      </w:r>
      <w:r>
        <w:rPr>
          <w:rFonts w:ascii="Times New Roman" w:cs="Times New Roman" w:eastAsia="Times New Roman" w:hAnsi="Times New Roman"/>
          <w:sz w:val="18"/>
          <w:szCs w:val="18"/>
          <w:color w:val="auto"/>
        </w:rPr>
        <w:t>”), through Bakkt Opco,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20"/>
          </w:cols>
          <w:pgMar w:left="480" w:top="268" w:right="499" w:bottom="1440" w:gutter="0" w:footer="0" w:header="0"/>
        </w:sectPr>
      </w:pPr>
    </w:p>
    <w:bookmarkStart w:id="109" w:name="page110"/>
    <w:bookmarkEnd w:id="109"/>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whether by or through attempted piercing of the corporate veil, by or through a claim by or on behalf of Bakkt Opco against any Bakkt Non-Recourse Party, by the enforcement of any assessment or by any legal or equitable proceeding, by virtue of any statute, regulation or Law, or otherwise. Without limiting the foregoing, other than with respect to any Excluded Bakkt Matters, no claim will be brought or maintained by VIH, Merger Sub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(other than Bakkt Pubco) against any Bakkt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 </w:t>
      </w:r>
      <w:r>
        <w:rPr>
          <w:rFonts w:ascii="Times New Roman" w:cs="Times New Roman" w:eastAsia="Times New Roman" w:hAnsi="Times New Roman"/>
          <w:sz w:val="18"/>
          <w:szCs w:val="18"/>
          <w:u w:val="single" w:color="auto"/>
          <w:color w:val="auto"/>
        </w:rPr>
        <w:t>Section 11.16(a)</w:t>
      </w:r>
      <w:r>
        <w:rPr>
          <w:rFonts w:ascii="Times New Roman" w:cs="Times New Roman" w:eastAsia="Times New Roman" w:hAnsi="Times New Roman"/>
          <w:sz w:val="18"/>
          <w:szCs w:val="18"/>
          <w:color w:val="auto"/>
        </w:rPr>
        <w:t xml:space="preserve"> shall limit the ability of VIH to exercise the rights expressly granted to VIH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terminate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rights expressly granted to VIH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enforce or waive any closing condition to the extent provided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right="20" w:firstLine="990"/>
        <w:spacing w:after="0" w:line="250" w:lineRule="auto"/>
        <w:tabs>
          <w:tab w:leader="none" w:pos="123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that may be expressed or implied in this Agreement or any Transaction Document, except with respect to Excluded VIH Matters, by its acceptance of the benefits of this Agreement (and with respect to each Bakkt Equity Holder, in accordance with the Letter of Transmittal delivered by such Bakkt Equity Holder in accordance with the requirements of this Agreement), Bakkt Opco and each Bakkt Equity Holder each covenants, agrees and acknowledges that no Persons other than VIH and Merger Sub have any liabilities, obligations, commitments (whether known or unknown or whether contingent or otherwise) hereunder and thereunder (except to the extent such Person is expressly identified as a party to such Transaction Document), and that, notwithstanding that the VIH Shareholders (including VIH Sponsor) or their respective managing members, investment managers or general partners may be partnerships or limited liability companies, none of Bakkt Opco, or the Bakkt Equity Holders,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investment managers, funds, or general or limited partners of any of VIH or Merger Sub or any former, current or future stockholder, controlling Person, director, officer, employee, general or limited partner, member, manager, investment manager, funds, Affiliate or agent of any of the foregoing (collectively, but not including VIH or Merger Sub, a “</w:t>
      </w:r>
      <w:r>
        <w:rPr>
          <w:rFonts w:ascii="Times New Roman" w:cs="Times New Roman" w:eastAsia="Times New Roman" w:hAnsi="Times New Roman"/>
          <w:sz w:val="18"/>
          <w:szCs w:val="18"/>
          <w:u w:val="single" w:color="auto"/>
          <w:color w:val="auto"/>
        </w:rPr>
        <w:t>VIH Non-Recourse Party</w:t>
      </w:r>
      <w:r>
        <w:rPr>
          <w:rFonts w:ascii="Times New Roman" w:cs="Times New Roman" w:eastAsia="Times New Roman" w:hAnsi="Times New Roman"/>
          <w:sz w:val="18"/>
          <w:szCs w:val="18"/>
          <w:color w:val="auto"/>
        </w:rPr>
        <w:t>”), through VIH or Merger Sub or otherwise, whether by or through attempted piercing of the corporate veil, by or through a claim by or on behalf of VIH or Merger Sub (or their respective successors) against any VIH Non-Recourse Party, by the enforcement of any assessment or by any legal or equitable proceeding, by virtue of any statute, regulation or Law, or otherwise. Without limiting the foregoing, other than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880"/>
          </w:cols>
          <w:pgMar w:left="480" w:top="268" w:right="539" w:bottom="1440" w:gutter="0" w:footer="0" w:header="0"/>
        </w:sectPr>
      </w:pPr>
    </w:p>
    <w:bookmarkStart w:id="110" w:name="page111"/>
    <w:bookmarkEnd w:id="110"/>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 respect to any Excluded VIH Matters, no claim will be brought or maintained by Bakkt Opco, the Bakkt Equity Holders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against any VIH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 </w:t>
      </w:r>
      <w:r>
        <w:rPr>
          <w:rFonts w:ascii="Times New Roman" w:cs="Times New Roman" w:eastAsia="Times New Roman" w:hAnsi="Times New Roman"/>
          <w:sz w:val="18"/>
          <w:szCs w:val="18"/>
          <w:u w:val="single" w:color="auto"/>
          <w:color w:val="auto"/>
        </w:rPr>
        <w:t>Section 11.16(b)</w:t>
      </w:r>
      <w:r>
        <w:rPr>
          <w:rFonts w:ascii="Times New Roman" w:cs="Times New Roman" w:eastAsia="Times New Roman" w:hAnsi="Times New Roman"/>
          <w:sz w:val="18"/>
          <w:szCs w:val="18"/>
          <w:color w:val="auto"/>
        </w:rPr>
        <w:t xml:space="preserve"> shall limit the ability of Bakkt Opco to exercise the rights expressly granted to Bakkt Opco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terminate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rights expressly granted to Bakkt Opco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enforce or waive any closing condition to the extent provided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The phrases “made available to VIH”, “provided to VIH” or other similar phrases as used in this Agreement shall mean that the subject documents were posted to the virtual data room maintained by Bakkt Opco or otherwise delivered to VIH or its Representatives at least two (2) days prior to the date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20"/>
          </w:cols>
          <w:pgMar w:left="480" w:top="268" w:right="499" w:bottom="1440" w:gutter="0" w:footer="0" w:header="0"/>
        </w:sectPr>
      </w:pPr>
    </w:p>
    <w:bookmarkStart w:id="111" w:name="page112"/>
    <w:bookmarkEnd w:id="111"/>
    <w:p>
      <w:pPr>
        <w:ind w:left="10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Agreement effective as of the day and year first written above.</w:t>
      </w:r>
    </w:p>
    <w:p>
      <w:pPr>
        <w:spacing w:after="0" w:line="1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BAKKT OPCO</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David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15875</wp:posOffset>
            </wp:positionV>
            <wp:extent cx="25476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Clifton</w:t>
      </w:r>
    </w:p>
    <w:p>
      <w:pPr>
        <w:spacing w:after="0" w:line="26"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VIH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15875</wp:posOffset>
            </wp:positionV>
            <wp:extent cx="2547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Operating Officer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PYLON MERGER COMPANY LLC</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15875</wp:posOffset>
            </wp:positionV>
            <wp:extent cx="2547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2680" w:right="360" w:firstLine="3272"/>
        <w:spacing w:after="0" w:line="426" w:lineRule="auto"/>
        <w:rPr>
          <w:sz w:val="20"/>
          <w:szCs w:val="20"/>
          <w:color w:val="auto"/>
        </w:rPr>
      </w:pPr>
      <w:r>
        <w:rPr>
          <w:rFonts w:ascii="Times New Roman" w:cs="Times New Roman" w:eastAsia="Times New Roman" w:hAnsi="Times New Roman"/>
          <w:sz w:val="18"/>
          <w:szCs w:val="18"/>
          <w:color w:val="auto"/>
        </w:rPr>
        <w:t>Title: President and Chief Operating Officer [</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9600"/>
          </w:cols>
          <w:pgMar w:left="1440" w:top="268" w:right="8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SURVIVING COMPANY LLC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3044190</wp:posOffset>
            </wp:positionH>
            <wp:positionV relativeFrom="page">
              <wp:posOffset>403225</wp:posOffset>
            </wp:positionV>
            <wp:extent cx="1460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0" cy="8255"/>
                    </a:xfrm>
                    <a:prstGeom prst="rect">
                      <a:avLst/>
                    </a:prstGeom>
                    <a:noFill/>
                  </pic:spPr>
                </pic:pic>
              </a:graphicData>
            </a:graphic>
          </wp:anchor>
        </w:drawing>
        <w:t>BAKKT OPCO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247650</wp:posOffset>
            </wp:positionV>
            <wp:extent cx="1460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THIRD AMENDED AND RESTATED LIMITED LIABILITY COMPANY AGREEMENT</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Dated as of [●], 2021</w:t>
      </w:r>
    </w:p>
    <w:p>
      <w:pPr>
        <w:spacing w:after="0" w:line="2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COMMON UNITS OF BAKKT OPCO HOLDINGS, LLC HAVE NOT BEEN REGISTERED UNDER THE U.S.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SECURITIES LAWS OF ANY STATE OR OTHER JURISDICTION OR ANY OTHER APPLICABLE SECURITIES LAWS AND ARE BEING SOLD IN RELIANCE UPON EXEMPTIONS FROM THE REGISTRATION REQUIREMENTS OF THE SECURITIES ACT AND SUCH LAWS. SUCH COMMON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LIMITED LIABILITY COMPANY AGREEMENT; AND (III) ANY OTHER TERMS AND CONDITIONS AGREED TO IN WRITING BETWEEN THE MANAGING MEMBER AND THE APPLICABLE MEMBER. THE COMMON UNITS MAY NOT BE TRANSFERRED OF RECORD EXCEPT IN COMPLIANCE WITH SUCH LAWS, THIS THIRD AMENDED AND RESTATED LIMITED LIABILITY COMPANY AGREEMENT, AND ANY OTHER TERMS AND CONDITIONS AGREED TO IN WRITING BY THE MANAGING MEMBER AND THE APPLICABLE MEMBER. THEREFORE, PURCHASERS AND OTHER TRANSFEREES OF SUCH COMMON UNITS WILL BE REQUIRED TO BEAR THE RISK OF THEIR INVESTMENT OR ACQUISITION FOR AN INDEFINITE PERIOD OF TIME.</w:t>
      </w:r>
    </w:p>
    <w:p>
      <w:pPr>
        <w:sectPr>
          <w:pgSz w:w="11900" w:h="16838" w:orient="portrait"/>
          <w:cols w:equalWidth="0" w:num="1">
            <w:col w:w="10880"/>
          </w:cols>
          <w:pgMar w:left="480" w:top="839" w:right="539" w:bottom="1440" w:gutter="0" w:footer="0" w:header="0"/>
        </w:sectPr>
      </w:pPr>
    </w:p>
    <w:bookmarkStart w:id="114" w:name="page115"/>
    <w:bookmarkEnd w:id="114"/>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DETERMINATION OF VALUATION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89"/>
        </w:trPr>
        <w:tc>
          <w:tcPr>
            <w:tcW w:w="105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ORGANIZATIONAL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Formation of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Limited Liability Company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Purpose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Office; Registered Office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State-Law Partnership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Powers of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 Reclassification; Admission of New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Representations of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Schedule of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CAPITAL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and Issuance of Additional Units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Non-certificated Units; Certificates; Lost, Stolen or Destroyed Certificates; Registration and Transfer of Common Units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or Redemption of Shares of Class A Common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Bakkt Pubco Equity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Registered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Negative Capital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Withdrawal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From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DISTRIBUTIONS AND 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and Reimbursement for Payments on Behalf of a Member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Records and Accounting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of Communications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Consents and Filings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MANAGEMENT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of the Managing Member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Actions of the Managing Member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Delegation of Authority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6.7</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6.8</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of Liability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RIGHTS AND OBLIGATIONS OF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of Liability of Members and Managing Member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Lack of Authority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Right of Partition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 Right to Act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Outside Activities of the Managing Member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TAX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Preparation of Tax Returns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Elections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Classifications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Controversies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Actions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Agreement Conflicts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RESTRICTIONS ON TRANSFER OF UNITS; CERTAIN TRANSFERS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Transfers by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 Stand-Off</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Units Legend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Restrictions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Assignee’s Rights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9.7</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Admissions, Resignations and Removals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9.8</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Admission of Assignees as Substitute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9.9</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 and Removal of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9.10</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1445 and 1446(f) Withholding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DISSOLUTION AND LIQUIDATION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Dissolution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Liquidation and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Deferment; Distribution in Kind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Cancellation of Certificate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Reasonable Time for Winding Up</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10.7</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Return of Capital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10.8</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Restrictions on Termination Transactions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LIABILITY AND INDEMNIFICATION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 of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GENERAL PROVISIONS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to Company Assets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3"/>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60"/>
          </w:cols>
          <w:pgMar w:left="480" w:top="268" w:right="559" w:bottom="1440" w:gutter="0" w:footer="0" w:header="0"/>
        </w:sectPr>
      </w:pPr>
    </w:p>
    <w:bookmarkStart w:id="116" w:name="page117"/>
    <w:bookmarkEnd w:id="116"/>
    <w:tbl>
      <w:tblPr>
        <w:tblLayout w:type="fixed"/>
        <w:tblInd w:w="180" w:type="dxa"/>
        <w:tblCellMar>
          <w:top w:w="0" w:type="dxa"/>
          <w:left w:w="0" w:type="dxa"/>
          <w:bottom w:w="0" w:type="dxa"/>
          <w:right w:w="0" w:type="dxa"/>
        </w:tblCellMar>
      </w:tblP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Creditors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12.8</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12.9</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Action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by Facsimile or Electronic Transmission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Offset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12.15</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Descriptive Headings; Interpretation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12.17</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Attorneys’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12.18</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 of the Company by Shearman &amp; Sterling LLP</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12.19</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and Restatement of Prior LLC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Members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860"/>
          </w:cols>
          <w:pgMar w:left="480" w:top="268" w:right="55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HOLDINGS, LLC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 LIMITED LIABILITY COMPANY AGREEMENT</w:t>
      </w:r>
    </w:p>
    <w:p>
      <w:pPr>
        <w:spacing w:after="0" w:line="198"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THIRD AMENDED AND RESTATED LIMITED LIABILITY COMPANY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2021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entered into, by and among Bakkt Opco Holdings,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Members (as defined below).</w:t>
      </w:r>
    </w:p>
    <w:p>
      <w:pPr>
        <w:spacing w:after="0" w:line="170" w:lineRule="exact"/>
        <w:rPr>
          <w:sz w:val="20"/>
          <w:szCs w:val="20"/>
          <w:color w:val="auto"/>
        </w:rPr>
      </w:pPr>
    </w:p>
    <w:p>
      <w:pPr>
        <w:ind w:right="4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was formed as a limited liability company under the Delaware Limited Liability Company Act by the filing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formation with the Secretary of State of the State of Delaware on July 31, 2018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its members entered into that certain Limited Liability Company Agreement, effective as of August 2, 2018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LLC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Initial LLC Agreement was amended and restated by that certain Amended and Restated Limited Liability Agreement,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19, 2018 (the “</w:t>
      </w:r>
      <w:r>
        <w:rPr>
          <w:rFonts w:ascii="Times New Roman" w:cs="Times New Roman" w:eastAsia="Times New Roman" w:hAnsi="Times New Roman"/>
          <w:sz w:val="18"/>
          <w:szCs w:val="18"/>
          <w:b w:val="1"/>
          <w:bCs w:val="1"/>
          <w:i w:val="1"/>
          <w:iCs w:val="1"/>
          <w:color w:val="auto"/>
        </w:rPr>
        <w:t>Amended LLC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LLC Agreement was amended and restated by the Prior LLC Agreement;</w:t>
      </w:r>
    </w:p>
    <w:p>
      <w:pPr>
        <w:spacing w:after="0" w:line="221"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16.1 of the Prior LLC Agreement, the Prior LLC Agreement may be amended or modified upon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Board of Managers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Members holding a majority of the membership interests of the Company, including (i) the holders of a majority of the outstanding Voting Units (as defined in the Prior LLC Agreement), consenting or voting (as the case may be) together as a single class, (ii) the holders of a majority of the outstanding Class A Voting Units (as defined in the Prior LLC Agreement), Class B Voting Units (as defined in the Prior LLC Agreement) and Class C Voting Units (as defined in the Prior LLC Agreement), each consenting or voting (as the case may be) as separate classes, and (ii) the Minority Investors (as defined in the Prior LLC Agreement) holding a majority of the outstanding Minority Investor Units (as defined in the Prior LLC Agreement), consenting or voting (as the case may be) together as a single class, consenting or voting (as the case may be) separately as a class on an as-converted basis (together, the “</w:t>
      </w:r>
      <w:r>
        <w:rPr>
          <w:rFonts w:ascii="Times New Roman" w:cs="Times New Roman" w:eastAsia="Times New Roman" w:hAnsi="Times New Roman"/>
          <w:sz w:val="18"/>
          <w:szCs w:val="18"/>
          <w:b w:val="1"/>
          <w:bCs w:val="1"/>
          <w:i w:val="1"/>
          <w:iCs w:val="1"/>
          <w:color w:val="auto"/>
        </w:rPr>
        <w:t>Prior Member Requisite Consent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previously approved this Agreement;</w:t>
      </w:r>
    </w:p>
    <w:p>
      <w:pPr>
        <w:spacing w:after="0" w:line="22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undersigned Members constitute the Prior Member Requisite Consent and desire to amend and restate the Prior LLC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accept the rights created pursuant to this Agreement in lieu of the rights granted to them under the Prior LLC Agreement, including without limitation the replacement of the Board with the Managing Member (as defined below) as the Company’s managing body;</w:t>
      </w:r>
    </w:p>
    <w:p>
      <w:pPr>
        <w:spacing w:after="0" w:line="170"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substantially concurrently with the effectiveness of this Agreement, in accordance with the Agreement and Plan of Merger,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January 11, 2021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VPC Impact Acquisition Holdings, Pylon Merger Company LLC</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480" w:top="264" w:right="539" w:bottom="1440" w:gutter="0" w:footer="0" w:header="0"/>
        </w:sectPr>
      </w:pPr>
    </w:p>
    <w:bookmarkStart w:id="118" w:name="page119"/>
    <w:bookmarkEnd w:id="118"/>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the Company, Merger Sub has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being the entity surviving the Merger;</w:t>
      </w:r>
    </w:p>
    <w:p>
      <w:pPr>
        <w:spacing w:after="0" w:line="15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at the Effective Time (as defined in the Merger Agreement), by virtue of the Merger, the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Units, the Class B Voting Units, the Class C Voting Units and the Incentive Units, but excluding the Participation Units (as defined in the Merger Agreement) held by each Member (as defined in the Prior LLC Agreement) were converted into the right to receive from the Company (as the “Surviving Company” following the Merger) and from Bakkt Holdings, Inc. a Delaware corporation (“</w:t>
      </w:r>
      <w:r>
        <w:rPr>
          <w:rFonts w:ascii="Times New Roman" w:cs="Times New Roman" w:eastAsia="Times New Roman" w:hAnsi="Times New Roman"/>
          <w:sz w:val="18"/>
          <w:szCs w:val="18"/>
          <w:b w:val="1"/>
          <w:bCs w:val="1"/>
          <w:i w:val="1"/>
          <w:iCs w:val="1"/>
          <w:color w:val="auto"/>
        </w:rPr>
        <w:t>Bakkt Pubco</w:t>
      </w:r>
      <w:r>
        <w:rPr>
          <w:rFonts w:ascii="Times New Roman" w:cs="Times New Roman" w:eastAsia="Times New Roman" w:hAnsi="Times New Roman"/>
          <w:sz w:val="18"/>
          <w:szCs w:val="18"/>
          <w:color w:val="auto"/>
        </w:rPr>
        <w:t>”), the number of Common Units and the number of validly issued, fully paid and nonassessable shares of Class V Common Stock, respectively, set forth opposite such Member’s name on the Final Merger Consideration Spreadsheet (as defined in the Merger Agreement);</w:t>
      </w:r>
    </w:p>
    <w:p>
      <w:pPr>
        <w:spacing w:after="0" w:line="178"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Common Units resulting from the conversion, by virtue of the Merger, of Incentive Units into the right to receive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are held by Bakkt Management, LLC, a Delaware limited liability company (“</w:t>
      </w:r>
      <w:r>
        <w:rPr>
          <w:rFonts w:ascii="Times New Roman" w:cs="Times New Roman" w:eastAsia="Times New Roman" w:hAnsi="Times New Roman"/>
          <w:sz w:val="18"/>
          <w:szCs w:val="18"/>
          <w:b w:val="1"/>
          <w:bCs w:val="1"/>
          <w:i w:val="1"/>
          <w:iCs w:val="1"/>
          <w:color w:val="auto"/>
        </w:rPr>
        <w:t>Bakkt Management</w:t>
      </w:r>
      <w:r>
        <w:rPr>
          <w:rFonts w:ascii="Times New Roman" w:cs="Times New Roman" w:eastAsia="Times New Roman" w:hAnsi="Times New Roman"/>
          <w:sz w:val="18"/>
          <w:szCs w:val="18"/>
          <w:color w:val="auto"/>
        </w:rPr>
        <w:t>”), on behalf of individuals who are or were Participants (as defined in the Prior Equity Incentive Plan,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and, as contemplated by the Merger Agreement, may be subject to vesting and forfeiture provisions pursuant to the Prior Equity Incentive Plan and award agreements and notices issued thereunder;</w:t>
      </w:r>
    </w:p>
    <w:p>
      <w:pPr>
        <w:spacing w:after="0" w:line="176" w:lineRule="exact"/>
        <w:rPr>
          <w:sz w:val="20"/>
          <w:szCs w:val="20"/>
          <w:color w:val="auto"/>
        </w:rPr>
      </w:pPr>
    </w:p>
    <w:p>
      <w:pPr>
        <w:ind w:right="4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of this Agreement, the Company and certain of its Members are entering into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pursuant to which each Paired Interest may be exchanged for shares of Class A Common Stock or the Cash Amount (as defined in the Exchange Agreement) on the terms and subject to the conditions set forth in the Exchange Agreement and the Tax Receivable Agreement;</w:t>
      </w:r>
    </w:p>
    <w:p>
      <w:pPr>
        <w:spacing w:after="0" w:line="17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and applicable state and local income tax purposes, the parties intend that, following the Merger, the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as continuing pursuant to Code Section 708 and Treasury Regulations Section 1.708-1;</w:t>
      </w:r>
    </w:p>
    <w:p>
      <w:pPr>
        <w:spacing w:after="0" w:line="156" w:lineRule="exact"/>
        <w:rPr>
          <w:sz w:val="20"/>
          <w:szCs w:val="20"/>
          <w:color w:val="auto"/>
        </w:rPr>
      </w:pPr>
    </w:p>
    <w:p>
      <w:pPr>
        <w:ind w:right="30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(i) the Company is adopting this Agreement, (ii) the Company changed its name from Bakkt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LLC to Bakkt Opco Holdings, LLC, and (iii) Bakkt Pubco, by its execution and delivery of this Agreement, is hereby admitted to the Company as a Member and is hereby designated as Managing Member, and in such capacity shall have the rights and obligations as provided in this Agreement; and</w:t>
      </w:r>
    </w:p>
    <w:p>
      <w:pPr>
        <w:spacing w:after="0" w:line="176" w:lineRule="exact"/>
        <w:rPr>
          <w:sz w:val="20"/>
          <w:szCs w:val="20"/>
          <w:color w:val="auto"/>
        </w:rPr>
      </w:pPr>
    </w:p>
    <w:p>
      <w:pPr>
        <w:ind w:right="160" w:firstLine="436"/>
        <w:spacing w:after="0" w:line="275"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Members constituting the Prior Member Requisite Consent, on behalf of all of the Members (as defined in the Prior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acknowledge and agree that the </w:t>
      </w:r>
      <w:r>
        <w:rPr>
          <w:rFonts w:ascii="Times New Roman" w:cs="Times New Roman" w:eastAsia="Times New Roman" w:hAnsi="Times New Roman"/>
          <w:sz w:val="17"/>
          <w:szCs w:val="17"/>
          <w:u w:val="single" w:color="auto"/>
          <w:color w:val="auto"/>
        </w:rPr>
        <w:t>Schedule of Members</w:t>
      </w:r>
      <w:r>
        <w:rPr>
          <w:rFonts w:ascii="Times New Roman" w:cs="Times New Roman" w:eastAsia="Times New Roman" w:hAnsi="Times New Roman"/>
          <w:sz w:val="17"/>
          <w:szCs w:val="17"/>
          <w:color w:val="auto"/>
        </w:rPr>
        <w:t xml:space="preserve"> will be based on the Final Merger Consideration Spreadsheet (as defined in the Merger Agreement) with respect to the Members (as that term is defined in the Prior LLC Agreement), which will be determinative absent manifest mathematical error, and each Member (as that term is defined in the Prior LLC Agreement) shall hold that number of Common Units set forth on such </w:t>
      </w:r>
      <w:r>
        <w:rPr>
          <w:rFonts w:ascii="Times New Roman" w:cs="Times New Roman" w:eastAsia="Times New Roman" w:hAnsi="Times New Roman"/>
          <w:sz w:val="17"/>
          <w:szCs w:val="17"/>
          <w:u w:val="single" w:color="auto"/>
          <w:color w:val="auto"/>
        </w:rPr>
        <w:t>Schedule of Members</w:t>
      </w:r>
      <w:r>
        <w:rPr>
          <w:rFonts w:ascii="Times New Roman" w:cs="Times New Roman" w:eastAsia="Times New Roman" w:hAnsi="Times New Roman"/>
          <w:sz w:val="17"/>
          <w:szCs w:val="17"/>
          <w:color w:val="auto"/>
        </w:rPr>
        <w:t xml:space="preserve"> (in lieu of the number of Units (as defined in the Prior LLC Agreement) set forth in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to the Prior LLC Agreement).</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4" w:right="539" w:bottom="1440" w:gutter="0" w:footer="0" w:header="0"/>
        </w:sectPr>
      </w:pPr>
    </w:p>
    <w:bookmarkStart w:id="119" w:name="page120"/>
    <w:bookmarkEnd w:id="119"/>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mutual covenants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hereto, intending to be legally bound, hereby agree that the Prior LLC Agreement is amended and restated as follows: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DETERMINATION OF VALUATION</w:t>
      </w:r>
    </w:p>
    <w:p>
      <w:pPr>
        <w:spacing w:after="0" w:line="198"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definitions shall be applied to the terms used in this Agreement for all purposes,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clearly indicated to the contrary.</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Member</w:t>
      </w:r>
      <w:r>
        <w:rPr>
          <w:rFonts w:ascii="Times New Roman" w:cs="Times New Roman" w:eastAsia="Times New Roman" w:hAnsi="Times New Roman"/>
          <w:sz w:val="18"/>
          <w:szCs w:val="18"/>
          <w:color w:val="auto"/>
        </w:rPr>
        <w:t xml:space="preserve">” means a Person admitted to the Company as a Member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0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w:t>
      </w:r>
      <w:r>
        <w:rPr>
          <w:rFonts w:ascii="Times New Roman" w:cs="Times New Roman" w:eastAsia="Times New Roman" w:hAnsi="Times New Roman"/>
          <w:sz w:val="18"/>
          <w:szCs w:val="18"/>
          <w:color w:val="auto"/>
        </w:rPr>
        <w:t>” means the Capital Account maintained for each Member, (a) increased by any amounts that such Member is obligated to restore or is treated as obligated to restore under Treasury Regulations Sections 1.704-1(b)(2)(ii)(c), 1.704-2(g)(1) and 1.704-2(i)(5) and (b) decreased by any amounts described in Treasury Regulations Sections 1.704-1(b)(2)(ii)(d)(4), (5) and (6) with respect to such Member.</w:t>
      </w:r>
    </w:p>
    <w:p>
      <w:pPr>
        <w:spacing w:after="0" w:line="170" w:lineRule="exact"/>
        <w:rPr>
          <w:sz w:val="20"/>
          <w:szCs w:val="20"/>
          <w:color w:val="auto"/>
        </w:rPr>
      </w:pPr>
    </w:p>
    <w:p>
      <w:pPr>
        <w:ind w:right="5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 Deficit</w:t>
      </w:r>
      <w:r>
        <w:rPr>
          <w:rFonts w:ascii="Times New Roman" w:cs="Times New Roman" w:eastAsia="Times New Roman" w:hAnsi="Times New Roman"/>
          <w:sz w:val="18"/>
          <w:szCs w:val="18"/>
          <w:color w:val="auto"/>
        </w:rPr>
        <w:t>” means with respect to any Capital Account as of the end of any Taxable Year, the amount by which the balance in such Capital Account is less than zero. For this purpose, such Person’s Capital Account balance shall be:</w:t>
      </w:r>
    </w:p>
    <w:p>
      <w:pPr>
        <w:spacing w:after="0" w:line="160" w:lineRule="exact"/>
        <w:rPr>
          <w:sz w:val="20"/>
          <w:szCs w:val="20"/>
          <w:color w:val="auto"/>
        </w:rPr>
      </w:pPr>
    </w:p>
    <w:p>
      <w:pPr>
        <w:ind w:left="1240" w:hanging="250"/>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for any items described in Treasury Regulations Section 1.704-1(b)(2)(ii)(d)(4), (5), and (6); and</w:t>
      </w:r>
    </w:p>
    <w:p>
      <w:pPr>
        <w:spacing w:after="0" w:line="220" w:lineRule="exact"/>
        <w:rPr>
          <w:rFonts w:ascii="Times New Roman" w:cs="Times New Roman" w:eastAsia="Times New Roman" w:hAnsi="Times New Roman"/>
          <w:sz w:val="18"/>
          <w:szCs w:val="18"/>
          <w:color w:val="auto"/>
        </w:rPr>
      </w:pPr>
    </w:p>
    <w:p>
      <w:pPr>
        <w:ind w:right="20" w:firstLine="990"/>
        <w:spacing w:after="0" w:line="263" w:lineRule="auto"/>
        <w:tabs>
          <w:tab w:leader="none" w:pos="123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for any amount such Person is obligated to contribute or is treated as being obligated to contribute to the Company pursuant to Treasury Regulations Section 1.704-1(b)(2)(ii)(c) (relating to partner liabilities to a partnership) or 1.704-2(g)(1) and 1.704-2(i) (relating to Minimum Gain).</w:t>
      </w:r>
    </w:p>
    <w:p>
      <w:pPr>
        <w:spacing w:after="0" w:line="171"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of any Person means any Person that directly or indirectly Controls, is Controlled by or is under common Control with the Person in question;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neither Bakkt Pubco, the Company nor any of their Subsidiaries shall be deemed an Affiliate of any other Member or any holder of securities of Bakkt Pubco.</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LLC Agreement</w:t>
      </w:r>
      <w:r>
        <w:rPr>
          <w:rFonts w:ascii="Times New Roman" w:cs="Times New Roman" w:eastAsia="Times New Roman" w:hAnsi="Times New Roman"/>
          <w:sz w:val="18"/>
          <w:szCs w:val="18"/>
          <w:color w:val="auto"/>
        </w:rPr>
        <w:t>” has the meaning set forth in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120" w:name="page121"/>
    <w:bookmarkEnd w:id="1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Bakkt Management</w:t>
      </w:r>
      <w:r>
        <w:rPr>
          <w:rFonts w:ascii="Times New Roman" w:cs="Times New Roman" w:eastAsia="Times New Roman" w:hAnsi="Times New Roman"/>
          <w:sz w:val="18"/>
          <w:szCs w:val="18"/>
          <w:color w:val="auto"/>
        </w:rPr>
        <w:t>” has the meaning set forth in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Bakkt Pubco</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Bakkt Pubco Board</w:t>
      </w:r>
      <w:r>
        <w:rPr>
          <w:rFonts w:ascii="Times New Roman" w:cs="Times New Roman" w:eastAsia="Times New Roman" w:hAnsi="Times New Roman"/>
          <w:sz w:val="18"/>
          <w:szCs w:val="18"/>
          <w:color w:val="auto"/>
        </w:rPr>
        <w:t>” means the board of directors of Bakkt Pubco.</w:t>
      </w:r>
    </w:p>
    <w:p>
      <w:pPr>
        <w:spacing w:after="0" w:line="221"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Bakkt Pubco Charter</w:t>
      </w:r>
      <w:r>
        <w:rPr>
          <w:rFonts w:ascii="Times New Roman" w:cs="Times New Roman" w:eastAsia="Times New Roman" w:hAnsi="Times New Roman"/>
          <w:sz w:val="18"/>
          <w:szCs w:val="18"/>
          <w:color w:val="auto"/>
        </w:rPr>
        <w:t>” means the certificate of incorporation (or equivalent organizational document) as filed with the secretary of state (or equivalent governmental body or department) of the state in which Bakkt Pubco is incorporated or formed, as applicable, as in effect and amended from time to time.</w:t>
      </w:r>
    </w:p>
    <w:p>
      <w:pPr>
        <w:spacing w:after="0" w:line="170"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w:t>
      </w:r>
      <w:r>
        <w:rPr>
          <w:rFonts w:ascii="Times New Roman" w:cs="Times New Roman" w:eastAsia="Times New Roman" w:hAnsi="Times New Roman"/>
          <w:sz w:val="18"/>
          <w:szCs w:val="18"/>
          <w:color w:val="auto"/>
        </w:rPr>
        <w:t xml:space="preserve">” means, on any date, a variable rate per annum equal to the rate of interest most recently published by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as the “prime rate” at large U.S. money center banks.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 Value</w:t>
      </w:r>
      <w:r>
        <w:rPr>
          <w:rFonts w:ascii="Times New Roman" w:cs="Times New Roman" w:eastAsia="Times New Roman" w:hAnsi="Times New Roman"/>
          <w:sz w:val="18"/>
          <w:szCs w:val="18"/>
          <w:color w:val="auto"/>
        </w:rPr>
        <w:t>” means, with respect to any property, such property’s adjusted basis for U.S. federal income tax purposes, except as follows:</w:t>
      </w:r>
    </w:p>
    <w:p>
      <w:pPr>
        <w:spacing w:after="0" w:line="225" w:lineRule="exact"/>
        <w:rPr>
          <w:sz w:val="20"/>
          <w:szCs w:val="20"/>
          <w:color w:val="auto"/>
        </w:rPr>
      </w:pPr>
    </w:p>
    <w:p>
      <w:pPr>
        <w:ind w:right="100" w:firstLine="990"/>
        <w:spacing w:after="0" w:line="285" w:lineRule="auto"/>
        <w:tabs>
          <w:tab w:leader="none" w:pos="122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initial Book Value of any property contributed by a Member to the Company shall be the gross fair market value of such property at the time of such contribution, as reasonably determined by the Managing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Book Values of all properties of the Company shall be adjusted to equal their respective gross fair market values as reasonably determined by the Managing Member as of the date hereof;</w:t>
      </w:r>
    </w:p>
    <w:p>
      <w:pPr>
        <w:spacing w:after="0" w:line="159" w:lineRule="exact"/>
        <w:rPr>
          <w:rFonts w:ascii="Times New Roman" w:cs="Times New Roman" w:eastAsia="Times New Roman" w:hAnsi="Times New Roman"/>
          <w:sz w:val="17"/>
          <w:szCs w:val="17"/>
          <w:color w:val="auto"/>
        </w:rPr>
      </w:pPr>
    </w:p>
    <w:p>
      <w:pPr>
        <w:ind w:firstLine="990"/>
        <w:spacing w:after="0" w:line="250" w:lineRule="auto"/>
        <w:tabs>
          <w:tab w:leader="none" w:pos="12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Book Values of all properties shall be adjusted to equal their respective gross fair market values as reasonably determined by the Managing Member in connection with (i) the acquisition of an interest in the Company by any new or existing Member in exchange for more than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capital contribution to the Company, (ii) the grant of an interest in the Company (other than a</w:t>
      </w:r>
      <w:r>
        <w:rPr>
          <w:rFonts w:ascii="Times New Roman" w:cs="Times New Roman" w:eastAsia="Times New Roman" w:hAnsi="Times New Roman"/>
          <w:sz w:val="18"/>
          <w:szCs w:val="18"/>
          <w:i w:val="1"/>
          <w:iCs w:val="1"/>
          <w:color w:val="auto"/>
        </w:rPr>
        <w:t xml:space="preserve"> de minimis </w:t>
      </w:r>
      <w:r>
        <w:rPr>
          <w:rFonts w:ascii="Times New Roman" w:cs="Times New Roman" w:eastAsia="Times New Roman" w:hAnsi="Times New Roman"/>
          <w:sz w:val="18"/>
          <w:szCs w:val="18"/>
          <w:color w:val="auto"/>
        </w:rPr>
        <w:t>interest) as consideration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 of services to or for the benefit of the Company by an existing Member acting in a “partner capacity” or by a new Member acting in a “partner capacity” or in anticipation of being a “partner” (in each case within the meaning of Treasury Regulations Section 1.704-1(b)(2)(iv)(f)(5)(iii)), (iii) the distribution by the Company to a Member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property as consideration for an interest in the Company, (iv) the liquidation of the Company within the meaning of Treasury Regulations Section 1.704-1(b)(2)(ii)(g)(1), (v) the grant of a Noncompensatory Option which is not treated as a partnership interest pursuant to Treasury Regulations Section 1.761-3(a); and (vi) the acquisition of a membership interest upon the exercise of a Noncompensatory Option in accordance with Treasury Regulations Section 1.704-1(b)(2)(iv)(s);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 adjustment pursuant to an event described in clause (i), (ii) or (iii) of this paragraph shall be made only if the Managing Member reasonably determines that such adjustment is necessary or appropriate to reflect the relative economic interests of the Members in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any Noncompensatory Options are outstanding upon the occurrence of an event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4" w:right="539" w:bottom="1440" w:gutter="0" w:footer="0" w:header="0"/>
        </w:sectPr>
      </w:pPr>
    </w:p>
    <w:bookmarkStart w:id="121" w:name="page122"/>
    <w:bookmarkEnd w:id="121"/>
    <w:p>
      <w:pPr>
        <w:ind w:right="48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described in clauses (i) through (v), the Company shall adjust the Book Values of its properties in accordance with Treasury Regulations Sections 1.704-1(b)(2)(iv)(f) and 1.704-1(b)(2)(iv)(h)(2);</w:t>
      </w:r>
    </w:p>
    <w:p>
      <w:pPr>
        <w:spacing w:after="0" w:line="162" w:lineRule="exact"/>
        <w:rPr>
          <w:sz w:val="20"/>
          <w:szCs w:val="20"/>
          <w:color w:val="auto"/>
        </w:rPr>
      </w:pPr>
    </w:p>
    <w:p>
      <w:pPr>
        <w:ind w:right="40" w:firstLine="990"/>
        <w:spacing w:after="0" w:line="278" w:lineRule="auto"/>
        <w:tabs>
          <w:tab w:leader="none" w:pos="122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of property distributed to a Member shall be the gross fair market value of such property as reasonably determined by the Managing Member; and</w:t>
      </w:r>
    </w:p>
    <w:p>
      <w:pPr>
        <w:spacing w:after="0" w:line="162" w:lineRule="exact"/>
        <w:rPr>
          <w:rFonts w:ascii="Times New Roman" w:cs="Times New Roman" w:eastAsia="Times New Roman" w:hAnsi="Times New Roman"/>
          <w:sz w:val="18"/>
          <w:szCs w:val="18"/>
          <w:color w:val="auto"/>
        </w:rPr>
      </w:pPr>
    </w:p>
    <w:p>
      <w:pPr>
        <w:ind w:firstLine="990"/>
        <w:spacing w:after="0" w:line="274" w:lineRule="auto"/>
        <w:tabs>
          <w:tab w:leader="none" w:pos="123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Book Value of all property shall be increased (or decreased) to reflect any adjustments to the adjusted basis of such property pursuant to Code Section 734(b) or Code Section 743(b), but only to the extent that such adjustments are taken into account in determining Capital Accounts pursuant to Treasury Regulations Section 1.704-1(b)(2)(iv)(m) and clause (f) of the definition of Net Profits and Net Losses;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Book Value shall not be adjusted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extent the Managing Member determines that an adjustment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hereof is necessary or appropriate in connection with the transaction that would otherwise result in an adjustment pursuant to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3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If the Book Value of property has been determined or adjusted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 such Book Value shall thereafter be adjusted by the Depreciation taken into account with respect to such property for purposes of computing Net Profits and Net Losses and other items allocated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Entity if such banks’ electronic funds transfer systems (including wire transfers) are open for use by customers on such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with respect to any Member, the amount of money and the initial Book Value of any property (other than money) contributed to the Company by such Member, net of any liabilities assumed by the Company upon contribution or to which such property is subject. Any reference in this Agreement to the Capital Contribution of a Member shall include a Capital Contribution of such Member’s predecessors in interest.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has the meaning set forth in the Bakkt Pubco Charter.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Voting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Voting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C Voting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V Common Stock</w:t>
      </w:r>
      <w:r>
        <w:rPr>
          <w:rFonts w:ascii="Times New Roman" w:cs="Times New Roman" w:eastAsia="Times New Roman" w:hAnsi="Times New Roman"/>
          <w:sz w:val="18"/>
          <w:szCs w:val="18"/>
          <w:color w:val="auto"/>
        </w:rPr>
        <w:t>” has the meaning set forth in the Bakkt Pubco Charter.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80" w:top="268" w:right="55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1"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Unit</w:t>
      </w:r>
      <w:r>
        <w:rPr>
          <w:rFonts w:ascii="Times New Roman" w:cs="Times New Roman" w:eastAsia="Times New Roman" w:hAnsi="Times New Roman"/>
          <w:sz w:val="18"/>
          <w:szCs w:val="18"/>
          <w:color w:val="auto"/>
        </w:rPr>
        <w:t>” means the limited liability company interests in the Company issued pursuant to the terms of this Agreement, having such rights, privileges, preferences, obligations and duties as are set forth in this Agreement.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Interest</w:t>
      </w:r>
      <w:r>
        <w:rPr>
          <w:rFonts w:ascii="Times New Roman" w:cs="Times New Roman" w:eastAsia="Times New Roman" w:hAnsi="Times New Roman"/>
          <w:sz w:val="18"/>
          <w:szCs w:val="18"/>
          <w:color w:val="auto"/>
        </w:rPr>
        <w:t>” means the interest of a Member in allocations of Net Profits and Net Losses (or items thereof) and Distributions.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Legal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12.18(b)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management and policies whether through ownership of voting securities, by contract or otherwise.</w:t>
      </w:r>
    </w:p>
    <w:p>
      <w:pPr>
        <w:spacing w:after="0" w:line="156"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Act</w:t>
      </w:r>
      <w:r>
        <w:rPr>
          <w:rFonts w:ascii="Times New Roman" w:cs="Times New Roman" w:eastAsia="Times New Roman" w:hAnsi="Times New Roman"/>
          <w:sz w:val="18"/>
          <w:szCs w:val="18"/>
          <w:color w:val="auto"/>
        </w:rPr>
        <w:t>” means the Delaware Limited Liability Company Act, 6 Del. L. §18-101, et seq., as it may be amended from time to time, and any successor to the Delaware Act.</w:t>
      </w:r>
    </w:p>
    <w:p>
      <w:pPr>
        <w:spacing w:after="0" w:line="156" w:lineRule="exact"/>
        <w:rPr>
          <w:sz w:val="20"/>
          <w:szCs w:val="20"/>
          <w:color w:val="auto"/>
        </w:rPr>
      </w:pPr>
    </w:p>
    <w:p>
      <w:pPr>
        <w:ind w:right="140" w:firstLine="43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Depreciation</w:t>
      </w:r>
      <w:r>
        <w:rPr>
          <w:rFonts w:ascii="Times New Roman" w:cs="Times New Roman" w:eastAsia="Times New Roman" w:hAnsi="Times New Roman"/>
          <w:sz w:val="17"/>
          <w:szCs w:val="17"/>
          <w:color w:val="auto"/>
        </w:rPr>
        <w:t xml:space="preserve">” means, for each Taxable Year, an amount equal to the depreciation, amortization or other cost recovery deduction allowable for U.S. federal income tax purposes with respect to property for such Taxable Year, except that (a) with respect to any property the Book Value of which differs from its adjusted tax basis for U.S. federal income tax purposes and which difference is being eliminated by use of the remedial allocation method pursuant to Treasury Regulations Section 1.704-3(d), Depreciation for such Taxable Year shall be the amount of book basis recovered for such Taxable Year under the rules prescribed by Treasury Regulations Section 1.704-3(d)(2), and (b) with respect to any other property the Book Value of which differs from its adjusted tax basis at the beginning of such Taxable Year, Depreciation shall be an amount which bears the same ratio to such beginning Book Value as the U.S. federal income tax depreciation, amortization or other cost recovery deduction for such Taxable Year bears to such beginning adjusted tax basis;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adjusted tax basis of any property at the beginning of such Taxable Year is zero, Depreciation with respect to such property shall be determined with reference to such beginning value using any reasonable method selected by the Managing Member.</w:t>
      </w:r>
    </w:p>
    <w:p>
      <w:pPr>
        <w:spacing w:after="0" w:line="168" w:lineRule="exact"/>
        <w:rPr>
          <w:sz w:val="20"/>
          <w:szCs w:val="20"/>
          <w:color w:val="auto"/>
        </w:rPr>
      </w:pPr>
    </w:p>
    <w:p>
      <w:pPr>
        <w:jc w:val="both"/>
        <w:ind w:right="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xml:space="preserve">” means each distribution made by the Company to a Member, whether in cash, property or securities of the Company and whether by liquidating distribution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recapitalization or exchange of securities of the Company, and any subdivision (by Unit split or otherwise) or any combination (by reverse Unit split or otherwise) of any outstanding Units shall not be a Distribution.</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Economic Risk of Loss</w:t>
      </w:r>
      <w:r>
        <w:rPr>
          <w:rFonts w:ascii="Times New Roman" w:cs="Times New Roman" w:eastAsia="Times New Roman" w:hAnsi="Times New Roman"/>
          <w:sz w:val="18"/>
          <w:szCs w:val="18"/>
          <w:color w:val="auto"/>
        </w:rPr>
        <w:t>” has the meaning assigned to that term in Treasury Regulations Section 1.752-2(a).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4" w:right="539" w:bottom="1440" w:gutter="0" w:footer="0" w:header="0"/>
        </w:sectPr>
      </w:pPr>
    </w:p>
    <w:bookmarkStart w:id="123" w:name="page124"/>
    <w:bookmarkEnd w:id="1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set forth in the introduction.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Election of Exchange</w:t>
      </w:r>
      <w:r>
        <w:rPr>
          <w:rFonts w:ascii="Times New Roman" w:cs="Times New Roman" w:eastAsia="Times New Roman" w:hAnsi="Times New Roman"/>
          <w:sz w:val="18"/>
          <w:szCs w:val="18"/>
          <w:color w:val="auto"/>
        </w:rPr>
        <w:t>” has the meaning set forth in the Exchange Agreement.</w:t>
      </w:r>
    </w:p>
    <w:p>
      <w:pPr>
        <w:spacing w:after="0" w:line="22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an exchange of Paired Interests pursuant to, and in accordance with, the Exchange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1"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the exchange agreement dated as of or about the date hereof among the Company, Bakkt Pubco and the other Members of the Company from time to time party thereto, as amended from time to time.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Rate</w:t>
      </w:r>
      <w:r>
        <w:rPr>
          <w:rFonts w:ascii="Times New Roman" w:cs="Times New Roman" w:eastAsia="Times New Roman" w:hAnsi="Times New Roman"/>
          <w:sz w:val="18"/>
          <w:szCs w:val="18"/>
          <w:color w:val="auto"/>
        </w:rPr>
        <w:t>” has the meaning set forth in the Exchange Agreement.</w:t>
      </w:r>
    </w:p>
    <w:p>
      <w:pPr>
        <w:spacing w:after="0" w:line="221"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Group</w:t>
      </w:r>
      <w:r>
        <w:rPr>
          <w:rFonts w:ascii="Times New Roman" w:cs="Times New Roman" w:eastAsia="Times New Roman" w:hAnsi="Times New Roman"/>
          <w:sz w:val="18"/>
          <w:szCs w:val="18"/>
          <w:color w:val="auto"/>
        </w:rPr>
        <w:t xml:space="preserve">” means, as to any particular Person, (i) such Person’s spouse, such Person’s and such Person’s spouse’s parents and descendants (whether natural or adopted) of such Person and such Person’s spouse’s parents, (ii) any trust solely for the benefit of such Person and/or any of the Persons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(iii) any partnerships, corporations or limited liability companies where the only partners, shareholders or members are such Person and/or any of the Persons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xml:space="preserve">” means the Company’s annual accounting period established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Flow-Through Tax Return</w:t>
      </w:r>
      <w:r>
        <w:rPr>
          <w:rFonts w:ascii="Times New Roman" w:cs="Times New Roman" w:eastAsia="Times New Roman" w:hAnsi="Times New Roman"/>
          <w:sz w:val="18"/>
          <w:szCs w:val="18"/>
          <w:color w:val="auto"/>
        </w:rPr>
        <w:t>” means a Tax Return of the Company or any of its Subsidiaries that is of a type that reports income, gain, deduction or loss from the operation of a partnership or other pass-through entity and that could reflect items of income, gain, deduction or loss required to be included on a Tax Return of a Member (whether or not such items are actually reflected thereon).</w:t>
      </w:r>
    </w:p>
    <w:p>
      <w:pPr>
        <w:spacing w:after="0" w:line="170"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the United States of America or any other nation, any state or other political subdivision thereof, or any entity exercising executive, legislative, judicial, regulatory or administrative functions of government.</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80" w:top="264" w:right="55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any Person who holds a Unit, whether as a Member or as an unadmitted Assignee of a Member.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ICE</w:t>
      </w:r>
      <w:r>
        <w:rPr>
          <w:rFonts w:ascii="Times New Roman" w:cs="Times New Roman" w:eastAsia="Times New Roman" w:hAnsi="Times New Roman"/>
          <w:sz w:val="18"/>
          <w:szCs w:val="18"/>
          <w:color w:val="auto"/>
        </w:rPr>
        <w:t>” means Intercontinental Exchange, Inc., a Delaware corporation, together with its Affiliates, successors and assigns.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Income Tax</w:t>
      </w:r>
      <w:r>
        <w:rPr>
          <w:rFonts w:ascii="Times New Roman" w:cs="Times New Roman" w:eastAsia="Times New Roman" w:hAnsi="Times New Roman"/>
          <w:sz w:val="18"/>
          <w:szCs w:val="18"/>
          <w:color w:val="auto"/>
        </w:rPr>
        <w:t xml:space="preserve">” means (i) all Taxes based upon, measured by, or calculated with respect to gross or net income, gross or net receipts or profits (including franchise Taxes and any capital gains, alternative minimum, and net worth Taxes, but excluding ad valorem, property, excise, sales, use, real or personal property transfer or other similar Taxes), (ii)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(iii) withholding Taxes measured with reference to or as a substitute for any Tax included in </w:t>
      </w:r>
      <w:r>
        <w:rPr>
          <w:rFonts w:ascii="Times New Roman" w:cs="Times New Roman" w:eastAsia="Times New Roman" w:hAnsi="Times New Roman"/>
          <w:sz w:val="18"/>
          <w:szCs w:val="18"/>
          <w:u w:val="single" w:color="auto"/>
          <w:color w:val="auto"/>
        </w:rPr>
        <w:t>clauses</w:t>
      </w:r>
    </w:p>
    <w:p>
      <w:pPr>
        <w:spacing w:after="0" w:line="2" w:lineRule="exact"/>
        <w:rPr>
          <w:sz w:val="20"/>
          <w:szCs w:val="20"/>
          <w:color w:val="auto"/>
        </w:rPr>
      </w:pPr>
    </w:p>
    <w:p>
      <w:pPr>
        <w:ind w:left="220" w:hanging="213"/>
        <w:spacing w:after="0"/>
        <w:tabs>
          <w:tab w:leader="none" w:pos="220" w:val="left"/>
        </w:tabs>
        <w:numPr>
          <w:ilvl w:val="0"/>
          <w:numId w:val="1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w:t>
      </w:r>
    </w:p>
    <w:p>
      <w:pPr>
        <w:spacing w:after="0" w:line="198"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xml:space="preserve">” means (a) Bakkt Pubco, (b) any additional or substitute Managing Member, (c) any Person who is or was a Partnership Representative, officer or director of Bakkt Pubco or any additional or substitute Managing Member, (d) any Person that is required to be indemnified by Bakkt Pubco as an “indemnitee” in accordance with the Bakkt Pubco Charter or bylaws of Bakkt Pubco as in effect from time to time, (e) any officer or director of Bakkt Pubco or any additional or substitute Managing Member who is or was serving at the request of Bakkt Pubco or any additional or substitute Managing Member as an officer, director, employee, member, Member, Partnership Representative, agent, fiduciary or trustee of another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Person shall not be an Indemnitee by reason of providing, on a fee-for-services basis, trustee, fiduciary or custodial services,</w:t>
      </w:r>
    </w:p>
    <w:p>
      <w:pPr>
        <w:spacing w:after="0" w:line="2" w:lineRule="exact"/>
        <w:rPr>
          <w:sz w:val="20"/>
          <w:szCs w:val="20"/>
          <w:color w:val="auto"/>
        </w:rPr>
      </w:pPr>
    </w:p>
    <w:p>
      <w:pPr>
        <w:ind w:right="360" w:firstLine="7"/>
        <w:spacing w:after="0" w:line="256" w:lineRule="auto"/>
        <w:tabs>
          <w:tab w:leader="none" w:pos="22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officer of the Company, (g) any other Person the Managing Member in its sole discretion designates as an “Indemnitee” for purposes of this Agreement and (h) any heir, executor or administrator with respect to Persons named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w:t>
      </w:r>
    </w:p>
    <w:p>
      <w:pPr>
        <w:spacing w:after="0" w:line="178"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LLC Agreement</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Jointly Indemnifiable Claims</w:t>
      </w:r>
      <w:r>
        <w:rPr>
          <w:rFonts w:ascii="Times New Roman" w:cs="Times New Roman" w:eastAsia="Times New Roman" w:hAnsi="Times New Roman"/>
          <w:sz w:val="18"/>
          <w:szCs w:val="18"/>
          <w:color w:val="auto"/>
        </w:rPr>
        <w:t>” shall be broadly construed to mean, without limitation, any action, suit or proceeding for which an Indemnitee shall be entitled to indemnification or advancement of expenses from both the Indemnitee-Related Entities and the Company pursuant to applicable law, any agreement, certificate of incorporation, by-laws, partnership agreement, operating agreement, certificate of formation, certificate of limited partnership or comparable organizational documents of the Company or the Indemnitee-Related Entities, as applicable.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4" w:right="559" w:bottom="1440" w:gutter="0" w:footer="0" w:header="0"/>
        </w:sectPr>
      </w:pPr>
    </w:p>
    <w:bookmarkStart w:id="125" w:name="page126"/>
    <w:bookmarkEnd w:id="125"/>
    <w:p>
      <w:pPr>
        <w:ind w:right="42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7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 any sale of receivables with recourse against the Company, any Subsidiary or any Affiliate thereof, any filing or agreement to file a financing statement as debtor under the Uniform Commercial Code or any similar statute other than to reflect ownership by a third party of property leased to the Company, any Subsidiary or any Affiliate under a lease which is not in the nature of a conditional sale or title retention agreement, or any subordination arrangement in favor of another Person (other than any subordination arising in the ordinary course of business).</w:t>
      </w:r>
    </w:p>
    <w:p>
      <w:pPr>
        <w:spacing w:after="0" w:line="178"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Managing Member</w:t>
      </w:r>
      <w:r>
        <w:rPr>
          <w:rFonts w:ascii="Times New Roman" w:cs="Times New Roman" w:eastAsia="Times New Roman" w:hAnsi="Times New Roman"/>
          <w:sz w:val="18"/>
          <w:szCs w:val="18"/>
          <w:color w:val="auto"/>
        </w:rPr>
        <w:t>” means Bakkt Pubco or any successor managing member admitted to the Company in accordance with the terms of this Agreement, in its capacity as the managing member of the Company.</w:t>
      </w:r>
    </w:p>
    <w:p>
      <w:pPr>
        <w:spacing w:after="0" w:line="156"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 xml:space="preserve">” means each of the members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and any Person admitted to the Company as a Substituted Member or Additional Member, but only so long as such Person is shown on the Company’s books and records as the owner of one or more Units.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w:t>
      </w:r>
      <w:r>
        <w:rPr>
          <w:rFonts w:ascii="Times New Roman" w:cs="Times New Roman" w:eastAsia="Times New Roman" w:hAnsi="Times New Roman"/>
          <w:sz w:val="18"/>
          <w:szCs w:val="18"/>
          <w:color w:val="auto"/>
        </w:rPr>
        <w:t>” has the meaning assigned to the term “partner nonrecourse debt” in Treasury Regulations Section 1.704-2(b)(4).</w:t>
      </w:r>
    </w:p>
    <w:p>
      <w:pPr>
        <w:spacing w:after="0" w:line="221" w:lineRule="exact"/>
        <w:rPr>
          <w:sz w:val="20"/>
          <w:szCs w:val="20"/>
          <w:color w:val="auto"/>
        </w:rPr>
      </w:pPr>
    </w:p>
    <w:p>
      <w:pPr>
        <w:ind w:right="5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 Minimum Gain</w:t>
      </w:r>
      <w:r>
        <w:rPr>
          <w:rFonts w:ascii="Times New Roman" w:cs="Times New Roman" w:eastAsia="Times New Roman" w:hAnsi="Times New Roman"/>
          <w:sz w:val="18"/>
          <w:szCs w:val="18"/>
          <w:color w:val="auto"/>
        </w:rPr>
        <w:t>” has the meaning assigned to the term “partner nonrecourse debt minimum gain” in Treasury Regulations Section 1.704-2(i)(2).</w:t>
      </w:r>
    </w:p>
    <w:p>
      <w:pPr>
        <w:spacing w:after="0" w:line="156" w:lineRule="exact"/>
        <w:rPr>
          <w:sz w:val="20"/>
          <w:szCs w:val="20"/>
          <w:color w:val="auto"/>
        </w:rPr>
      </w:pPr>
    </w:p>
    <w:p>
      <w:pPr>
        <w:ind w:right="9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Deductions</w:t>
      </w:r>
      <w:r>
        <w:rPr>
          <w:rFonts w:ascii="Times New Roman" w:cs="Times New Roman" w:eastAsia="Times New Roman" w:hAnsi="Times New Roman"/>
          <w:sz w:val="18"/>
          <w:szCs w:val="18"/>
          <w:color w:val="auto"/>
        </w:rPr>
        <w:t>” has the meaning assigned to the term “partner nonrecourse deductions” in Treasury Regulations Section 1.704-2(i)(2).</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Gain</w:t>
      </w:r>
      <w:r>
        <w:rPr>
          <w:rFonts w:ascii="Times New Roman" w:cs="Times New Roman" w:eastAsia="Times New Roman" w:hAnsi="Times New Roman"/>
          <w:sz w:val="18"/>
          <w:szCs w:val="18"/>
          <w:color w:val="auto"/>
        </w:rPr>
        <w:t>” means the partnership minimum gain determined pursuant to Treasury Regulations Section 1.704-2(d).</w:t>
      </w:r>
    </w:p>
    <w:p>
      <w:pPr>
        <w:spacing w:after="0" w:line="221"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means, for each Taxable Year, an amount equal to the Company’s taxable income or loss for such Taxable Year, determined in accordance with Code Section 703(a) (for this purpose, all items of income, gain, loss, deduction or credit required to be stated separately pursuant to Code Section 703(a)(1) shall be included in taxable income or loss), with the following adjustments (without duplication):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4" w:right="519" w:bottom="1440" w:gutter="0" w:footer="0" w:header="0"/>
        </w:sectPr>
      </w:pPr>
    </w:p>
    <w:bookmarkStart w:id="126" w:name="page127"/>
    <w:bookmarkEnd w:id="126"/>
    <w:p>
      <w:pPr>
        <w:ind w:firstLine="990"/>
        <w:spacing w:after="0" w:line="278" w:lineRule="auto"/>
        <w:tabs>
          <w:tab w:leader="none" w:pos="122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income of the Company that is exempt from U.S. federal income tax and not otherwise taken into account in computing Net Profit and Net Loss pursuant to this definition of “</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added to such taxable income or loss;</w:t>
      </w:r>
    </w:p>
    <w:p>
      <w:pPr>
        <w:spacing w:after="0" w:line="162" w:lineRule="exact"/>
        <w:rPr>
          <w:rFonts w:ascii="Times New Roman" w:cs="Times New Roman" w:eastAsia="Times New Roman" w:hAnsi="Times New Roman"/>
          <w:sz w:val="18"/>
          <w:szCs w:val="18"/>
          <w:color w:val="auto"/>
        </w:rPr>
      </w:pPr>
    </w:p>
    <w:p>
      <w:pPr>
        <w:ind w:right="60" w:firstLine="990"/>
        <w:spacing w:after="0" w:line="263" w:lineRule="auto"/>
        <w:tabs>
          <w:tab w:leader="none" w:pos="123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expenditures of the Company described in Code Section 705(a)(2)(B) or treated as Code Section 705(a)(2)(B) expenditures pursuant to Treasury Regulations Section 1.704-1(b)(2)(iv)(i) and not otherwise taken into account in computing Net Profit or Net Loss pursuant to this definition of “</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subtracted from such taxable income or loss;</w:t>
      </w:r>
    </w:p>
    <w:p>
      <w:pPr>
        <w:spacing w:after="0" w:line="175" w:lineRule="exact"/>
        <w:rPr>
          <w:rFonts w:ascii="Times New Roman" w:cs="Times New Roman" w:eastAsia="Times New Roman" w:hAnsi="Times New Roman"/>
          <w:sz w:val="18"/>
          <w:szCs w:val="18"/>
          <w:color w:val="auto"/>
        </w:rPr>
      </w:pPr>
    </w:p>
    <w:p>
      <w:pPr>
        <w:ind w:right="120" w:firstLine="990"/>
        <w:spacing w:after="0" w:line="258" w:lineRule="auto"/>
        <w:tabs>
          <w:tab w:leader="none" w:pos="122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Book Value of any asset is adjusted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Book Value, the amount of such adjustment shall be treated as an item of gain (if the adjustment increases the Book Value of the asset) or an item of loss (if the adjustment decreases the Book Value of the asset) from the disposition of such asset and shall be taken into account for purposes of computing Net Profit or Net Loss;</w:t>
      </w:r>
    </w:p>
    <w:p>
      <w:pPr>
        <w:spacing w:after="0" w:line="179" w:lineRule="exact"/>
        <w:rPr>
          <w:rFonts w:ascii="Times New Roman" w:cs="Times New Roman" w:eastAsia="Times New Roman" w:hAnsi="Times New Roman"/>
          <w:sz w:val="18"/>
          <w:szCs w:val="18"/>
          <w:color w:val="auto"/>
        </w:rPr>
      </w:pPr>
    </w:p>
    <w:p>
      <w:pPr>
        <w:jc w:val="both"/>
        <w:ind w:right="340" w:firstLine="990"/>
        <w:spacing w:after="0" w:line="263" w:lineRule="auto"/>
        <w:tabs>
          <w:tab w:leader="none" w:pos="123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resulting from any disposition of property with respect to which gain or loss is recognized for U.S. federal income tax purposes shall be computed by reference to the Book Value of the property disposed of, notwithstanding that the adjusted tax basis of such property differs from its Book Value;</w:t>
      </w:r>
    </w:p>
    <w:p>
      <w:pPr>
        <w:spacing w:after="0" w:line="175"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depreciation, amortization, and other cost recovery deductions taken into account in computing such taxable income or loss, there shall be taken into account Depreciation for such Taxable Year;</w:t>
      </w:r>
    </w:p>
    <w:p>
      <w:pPr>
        <w:spacing w:after="0" w:line="162" w:lineRule="exact"/>
        <w:rPr>
          <w:rFonts w:ascii="Times New Roman" w:cs="Times New Roman" w:eastAsia="Times New Roman" w:hAnsi="Times New Roman"/>
          <w:sz w:val="18"/>
          <w:szCs w:val="18"/>
          <w:color w:val="auto"/>
        </w:rPr>
      </w:pPr>
    </w:p>
    <w:p>
      <w:pPr>
        <w:ind w:right="60" w:firstLine="990"/>
        <w:spacing w:after="0" w:line="255" w:lineRule="auto"/>
        <w:tabs>
          <w:tab w:leader="none" w:pos="120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adjustment to the adjusted tax basis of any Company asset pursuant to Code Section 734(b) or Section 743(b) is required pursuant to Treasury Regulations Section 1.704-1(b)(2)(iv)(m)(4) to be taken into account in determining Capital Accounts as a result of a distribution other than in liquidation of a Member’s Units, the amount of such adjustment shall be treated as an item of gain (if the adjustment increases the basis of the asset) or loss (if the adjustment decreases the basis of the asset) from the disposition of the asset and shall be taken into account for purposes of computing Net Profits or Net Losses; and</w:t>
      </w:r>
    </w:p>
    <w:p>
      <w:pPr>
        <w:spacing w:after="0" w:line="184"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items that are allocated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determined by applying rules analogous to those set forth in </w:t>
      </w:r>
      <w:r>
        <w:rPr>
          <w:rFonts w:ascii="Times New Roman" w:cs="Times New Roman" w:eastAsia="Times New Roman" w:hAnsi="Times New Roman"/>
          <w:sz w:val="18"/>
          <w:szCs w:val="18"/>
          <w:u w:val="single" w:color="auto"/>
          <w:color w:val="auto"/>
        </w:rPr>
        <w:t>clauses</w:t>
      </w:r>
    </w:p>
    <w:p>
      <w:pPr>
        <w:spacing w:after="0" w:line="25"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1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hereof but shall not be taken into account in computing Net Profits and Net Losses.</w:t>
      </w:r>
    </w:p>
    <w:p>
      <w:pPr>
        <w:spacing w:after="0" w:line="198"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Equity Incentive Plan</w:t>
      </w:r>
      <w:r>
        <w:rPr>
          <w:rFonts w:ascii="Times New Roman" w:cs="Times New Roman" w:eastAsia="Times New Roman" w:hAnsi="Times New Roman"/>
          <w:sz w:val="18"/>
          <w:szCs w:val="18"/>
          <w:color w:val="auto"/>
        </w:rPr>
        <w:t>” means the Bakkt Holdings, Inc. 2021 Omnibus Employee Incentive Plan adopted in connection with the Merger as of the Effective Time and any successor or replacement equity incentive plan of Bakkt Pubco.</w:t>
      </w:r>
    </w:p>
    <w:p>
      <w:pPr>
        <w:spacing w:after="0" w:line="156" w:lineRule="exact"/>
        <w:rPr>
          <w:sz w:val="20"/>
          <w:szCs w:val="20"/>
          <w:color w:val="auto"/>
        </w:rPr>
      </w:pPr>
    </w:p>
    <w:p>
      <w:pPr>
        <w:ind w:right="9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Noncompensatory Option</w:t>
      </w:r>
      <w:r>
        <w:rPr>
          <w:rFonts w:ascii="Times New Roman" w:cs="Times New Roman" w:eastAsia="Times New Roman" w:hAnsi="Times New Roman"/>
          <w:sz w:val="18"/>
          <w:szCs w:val="18"/>
          <w:color w:val="auto"/>
        </w:rPr>
        <w:t>” means a “noncompensatory option” within the meaning of Treasury Regulations Sections 1.721-2(f) and 1.761-3(b)(2).</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Deductions</w:t>
      </w:r>
      <w:r>
        <w:rPr>
          <w:rFonts w:ascii="Times New Roman" w:cs="Times New Roman" w:eastAsia="Times New Roman" w:hAnsi="Times New Roman"/>
          <w:sz w:val="18"/>
          <w:szCs w:val="18"/>
          <w:color w:val="auto"/>
        </w:rPr>
        <w:t>” has the meaning assigned that term in Treasury Regulations Section 1.704-2(b).</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127" w:name="page128"/>
    <w:bookmarkEnd w:id="1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Nonrepresented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means one Common Unit together with one share of Class V Common Stock.</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Representative</w:t>
      </w:r>
      <w:r>
        <w:rPr>
          <w:rFonts w:ascii="Times New Roman" w:cs="Times New Roman" w:eastAsia="Times New Roman" w:hAnsi="Times New Roman"/>
          <w:sz w:val="18"/>
          <w:szCs w:val="18"/>
          <w:color w:val="auto"/>
        </w:rPr>
        <w:t>” has the meaning set forth in Code Section 6223.</w:t>
      </w:r>
    </w:p>
    <w:p>
      <w:pPr>
        <w:spacing w:after="0" w:line="221"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means, with respect to any Member, the quotient obtained by dividing the number of Common Units then owned by such Member by the number of Common Units then owned by all of the Members, in each case, whether vested or unvested.</w:t>
      </w:r>
    </w:p>
    <w:p>
      <w:pPr>
        <w:spacing w:after="0" w:line="156"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xml:space="preserve">” means a Transfer (a) in the case of a Member that is a natural Person, pursuant to applicable laws of descent and distribution, (b) in the case of a Member that is a natural Person, to or among such Member’s Family Group, (c) in the case of a Member that is an entity, a Transfer to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 the restrictions, conditions, and obligations contained in this Agreement, the Stockholders Agreement and any other agreement to which such Member is a party in its capacity as such shall continue to be applicable to such securities after any such Permitted Transfer, (ii) the transferee(s) of such securities shall have agreed in writing to be bound by the provisions of such agreements, and (iii) unless the transferee was a Member prior to such Permitted Transfer or has been admitted as a Substituted Member, such Member shall have retained all voting Control over such securities. For the avoidance of doubt, Transfers by ICE of Units to its other Affiliates shall be deemed to be a “Permitted Transfer.”</w:t>
      </w:r>
    </w:p>
    <w:p>
      <w:pPr>
        <w:spacing w:after="0" w:line="180"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any corporation, partnership, limited liability company, trust, unincorporated organization, association, joint venture or any other entity or organization, regardless of whether a legally-recognized person.</w:t>
      </w:r>
    </w:p>
    <w:p>
      <w:pPr>
        <w:spacing w:after="0" w:line="156"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Equity Incentive Plan</w:t>
      </w:r>
      <w:r>
        <w:rPr>
          <w:rFonts w:ascii="Times New Roman" w:cs="Times New Roman" w:eastAsia="Times New Roman" w:hAnsi="Times New Roman"/>
          <w:sz w:val="18"/>
          <w:szCs w:val="18"/>
          <w:color w:val="auto"/>
        </w:rPr>
        <w:t>” means the Amended and Restated Bakkt Equity Incentive Plan, which was amended and restated effective as of May 15, 2020, and shall be further amended and restated as of the Effective Time, after which no additional awards may be made thereunder.</w:t>
      </w:r>
    </w:p>
    <w:p>
      <w:pPr>
        <w:spacing w:after="0" w:line="15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LLC Agreement</w:t>
      </w:r>
      <w:r>
        <w:rPr>
          <w:rFonts w:ascii="Times New Roman" w:cs="Times New Roman" w:eastAsia="Times New Roman" w:hAnsi="Times New Roman"/>
          <w:sz w:val="18"/>
          <w:szCs w:val="18"/>
          <w:color w:val="auto"/>
        </w:rPr>
        <w:t>” means that certain Second Amended and Restated Limited Liability Company Agreement, effective February 28, 2020, among the Company and each Member listed on Schedule I attached thereto and such additional Persons who became Members of the Company from time to time in accordance with the terms thereof.</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Member Requisite Consent</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Recapture Gain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4.3(j)</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80"/>
          </w:cols>
          <w:pgMar w:left="480" w:top="264" w:right="639" w:bottom="1440" w:gutter="0" w:footer="0" w:header="0"/>
        </w:sectPr>
      </w:pPr>
    </w:p>
    <w:bookmarkStart w:id="128" w:name="page129"/>
    <w:bookmarkEnd w:id="128"/>
    <w:p>
      <w:pPr>
        <w:ind w:right="100" w:firstLine="43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Related Person</w:t>
      </w:r>
      <w:r>
        <w:rPr>
          <w:rFonts w:ascii="Times New Roman" w:cs="Times New Roman" w:eastAsia="Times New Roman" w:hAnsi="Times New Roman"/>
          <w:sz w:val="18"/>
          <w:szCs w:val="18"/>
          <w:color w:val="auto"/>
        </w:rPr>
        <w:t xml:space="preserve">” of any Person means (a) any Affiliate of such Person, (b) any Person in which such Person (together with its Affiliates) hold(s) (individually or in the aggregate and directly or indirectly) at least a fifteen percent (15%) voting or economic interest, (c) any entity in which such Person hold(s) (directly or indirectly) any voting or economic interest, or (d) each director or officer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anything herein to the contrary, no Person shall be considered a Related Person of Bakkt Pubco.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Interest</w:t>
      </w:r>
      <w:r>
        <w:rPr>
          <w:rFonts w:ascii="Times New Roman" w:cs="Times New Roman" w:eastAsia="Times New Roman" w:hAnsi="Times New Roman"/>
          <w:sz w:val="18"/>
          <w:szCs w:val="18"/>
          <w:color w:val="auto"/>
        </w:rPr>
        <w:t xml:space="preserve">” means one or more Members (excluding the Managing Member and any Members controlled by the Managing Member) holding a majority of the Units then owned by all of the Members (excluding the Units held by the Managing Member and any Members Controlled by the Managing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no Person other than the Managing Member and/or Members controlled by the Managing Member hold Units, the “</w:t>
      </w:r>
      <w:r>
        <w:rPr>
          <w:rFonts w:ascii="Times New Roman" w:cs="Times New Roman" w:eastAsia="Times New Roman" w:hAnsi="Times New Roman"/>
          <w:sz w:val="18"/>
          <w:szCs w:val="18"/>
          <w:b w:val="1"/>
          <w:bCs w:val="1"/>
          <w:i w:val="1"/>
          <w:iCs w:val="1"/>
          <w:color w:val="auto"/>
        </w:rPr>
        <w:t>Required Interest</w:t>
      </w:r>
      <w:r>
        <w:rPr>
          <w:rFonts w:ascii="Times New Roman" w:cs="Times New Roman" w:eastAsia="Times New Roman" w:hAnsi="Times New Roman"/>
          <w:sz w:val="18"/>
          <w:szCs w:val="18"/>
          <w:color w:val="auto"/>
        </w:rPr>
        <w:t>” shall be deemed to mean the Managing Member.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means warrants, options or other rights to purchase or otherwise acquire Units or other Equity Securities in the Company.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 of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70" w:lineRule="exact"/>
        <w:rPr>
          <w:sz w:val="20"/>
          <w:szCs w:val="20"/>
          <w:color w:val="auto"/>
        </w:rPr>
      </w:pPr>
    </w:p>
    <w:p>
      <w:pPr>
        <w:ind w:right="3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and Exchange Commission</w:t>
      </w:r>
      <w:r>
        <w:rPr>
          <w:rFonts w:ascii="Times New Roman" w:cs="Times New Roman" w:eastAsia="Times New Roman" w:hAnsi="Times New Roman"/>
          <w:sz w:val="18"/>
          <w:szCs w:val="18"/>
          <w:color w:val="auto"/>
        </w:rPr>
        <w:t>” means the United States Securities and Exchange Commission, including any governmental body or agency succeeding to the functions thereof.</w:t>
      </w:r>
    </w:p>
    <w:p>
      <w:pPr>
        <w:spacing w:after="0" w:line="156"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Similar Law</w:t>
      </w:r>
      <w:r>
        <w:rPr>
          <w:rFonts w:ascii="Times New Roman" w:cs="Times New Roman" w:eastAsia="Times New Roman" w:hAnsi="Times New Roman"/>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Code Section 4975.</w:t>
      </w:r>
    </w:p>
    <w:p>
      <w:pPr>
        <w:spacing w:after="0" w:line="176"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Stockholders Agreement</w:t>
      </w:r>
      <w:r>
        <w:rPr>
          <w:rFonts w:ascii="Times New Roman" w:cs="Times New Roman" w:eastAsia="Times New Roman" w:hAnsi="Times New Roman"/>
          <w:sz w:val="18"/>
          <w:szCs w:val="18"/>
          <w:color w:val="auto"/>
        </w:rPr>
        <w:t>” means that certain Stockholders Agreement, dated as of [●], 2021, by and among Bakkt Pubco, VIH Sponsor and each of the other Persons party thereto from time to time, as may be amended, restated, supplemented or otherwise modified from time to time.</w:t>
      </w:r>
    </w:p>
    <w:p>
      <w:pPr>
        <w:spacing w:after="0" w:line="156"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another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the first Person or one or more of the other Subsidiaries of that Person or a combination thereof, or (b) if a limited liability company,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129" w:name="page130"/>
    <w:bookmarkEnd w:id="12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partnership, association or other business entity (other than a corporation), a majority of partnership or other similar ownership interest thereof is at the time owned or Controlled, directly or indirectly, by the first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 For the avoidance of doubt, the “Subsidiaries” of Bakkt Holding, Inc. will include the Company and its direct and indirect Subsidiaries.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Substituted Member</w:t>
      </w:r>
      <w:r>
        <w:rPr>
          <w:rFonts w:ascii="Times New Roman" w:cs="Times New Roman" w:eastAsia="Times New Roman" w:hAnsi="Times New Roman"/>
          <w:sz w:val="18"/>
          <w:szCs w:val="18"/>
          <w:color w:val="auto"/>
        </w:rPr>
        <w:t xml:space="preserve">” means a Person that is admitted as a Member to the Company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Distribution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Distribution Amount</w:t>
      </w:r>
      <w:r>
        <w:rPr>
          <w:rFonts w:ascii="Times New Roman" w:cs="Times New Roman" w:eastAsia="Times New Roman" w:hAnsi="Times New Roman"/>
          <w:sz w:val="18"/>
          <w:szCs w:val="18"/>
          <w:color w:val="auto"/>
        </w:rPr>
        <w:t>” means, with respect to any Fiscal Year, an amount equal to the aggregate amount of Tax Distributions with respect to such Fiscal Year that, if made on a pro rata basis in accordance with the Members’ Percentage Interests, would permit Bakkt Pubco to receive a Tax Distribution with respect to such Fiscal Year that is not less than the sum of (a) Bakkt Pubco’s U.S. federal, state, local and non-U.S. Income Tax liabilities plus (b) the amount necessary to satisfy Bakkt Pubco’s payment obligations pursuant to the Tax Receivable Agreement with respect to such Fiscal Year. The Managing Member may estimate this amount on a quarterly basis and reconcile the estimates as of the end of the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84"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federal, state, local or foreign income, sales and use, excise, franchise, real and personal property, gross receipt, capital stock, business and occupation, premium, disability, employment, payroll, or withholding tax or other tax, duty, fee, assessment or charge of any kind whatsoever in the nature of a tax imposed by any taxing authority, whether computed on a separate or consolidated, unitary or combined basis or in any other manner, whether disputed or not, and any interest or penalties related to the foregoing.</w:t>
      </w:r>
    </w:p>
    <w:p>
      <w:pPr>
        <w:spacing w:after="0" w:line="176"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means the Tax Receivable Agreement dated as of or about the date hereof among the Company, Bakkt Pubco and the other parties from time to time party thereto, as amended from time to time.</w:t>
      </w:r>
    </w:p>
    <w:p>
      <w:pPr>
        <w:spacing w:after="0" w:line="156"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and all reports, returns (including information returns and claims for refunds), declarations,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Taxable Year</w:t>
      </w:r>
      <w:r>
        <w:rPr>
          <w:rFonts w:ascii="Times New Roman" w:cs="Times New Roman" w:eastAsia="Times New Roman" w:hAnsi="Times New Roman"/>
          <w:sz w:val="18"/>
          <w:szCs w:val="18"/>
          <w:color w:val="auto"/>
        </w:rPr>
        <w:t xml:space="preserve">” means the Company’s accounting period for U.S. federal income tax purposes determined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Transaction</w:t>
      </w:r>
      <w:r>
        <w:rPr>
          <w:rFonts w:ascii="Times New Roman" w:cs="Times New Roman" w:eastAsia="Times New Roman" w:hAnsi="Times New Roman"/>
          <w:sz w:val="17"/>
          <w:szCs w:val="17"/>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“Termination Transaction” shall be deemed to exclude</w:t>
      </w:r>
    </w:p>
    <w:p>
      <w:pPr>
        <w:spacing w:after="0" w:line="1" w:lineRule="exact"/>
        <w:rPr>
          <w:sz w:val="20"/>
          <w:szCs w:val="20"/>
          <w:color w:val="auto"/>
        </w:rPr>
      </w:pPr>
    </w:p>
    <w:p>
      <w:pPr>
        <w:ind w:right="560" w:firstLine="7"/>
        <w:spacing w:after="0" w:line="256" w:lineRule="auto"/>
        <w:tabs>
          <w:tab w:leader="none" w:pos="25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Transfers of Equity Securities of Bakkt Pubco by any stockholder or other holder thereof (other than any such Transfers pursuant to a combination transaction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and (y) any Exchange.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right="180" w:firstLine="436"/>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means, in respect of any Common Unit, any direct or indirect transfer of ownership by sale, exchange, assignment, pledge, encumbrance, Lien, gift, donation, grant or other conveyance or disposition of any kind, whether voluntary or involuntary, including conveyances or dispositions by operation of law or legal process or otherwise (and hereby expressly includes, with respect to a Member, any voluntary or involuntary:</w:t>
      </w:r>
    </w:p>
    <w:p>
      <w:pPr>
        <w:ind w:right="60" w:firstLine="7"/>
        <w:spacing w:after="0" w:line="250" w:lineRule="auto"/>
        <w:tabs>
          <w:tab w:leader="none" w:pos="24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appointment of a receiver, trustee, liquidator, custodian or other similar official for such Member or all or any part of such Member’s property under any Law relating to bankruptcy, insolvency, reorganization, liquidation or other relief of debtors, including Title 11 of the United States Code, as amended; (b) gift, donation, transfer by will or intestacy or other disposition, whether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mortis causa</w:t>
      </w:r>
      <w:r>
        <w:rPr>
          <w:rFonts w:ascii="Times New Roman" w:cs="Times New Roman" w:eastAsia="Times New Roman" w:hAnsi="Times New Roman"/>
          <w:sz w:val="18"/>
          <w:szCs w:val="18"/>
          <w:color w:val="auto"/>
        </w:rPr>
        <w:t>; and (c) transfer or other disposition to a spouse or former spouse (including by reason of a separation agreement or divorce, equitable or community or marital property distribution, judicial decree or other court order relating to the division or partition of property between spouses or former spouses or other persons)).</w:t>
      </w:r>
    </w:p>
    <w:p>
      <w:pPr>
        <w:spacing w:after="0" w:line="183" w:lineRule="exact"/>
        <w:rPr>
          <w:sz w:val="20"/>
          <w:szCs w:val="20"/>
          <w:color w:val="auto"/>
        </w:rPr>
      </w:pPr>
    </w:p>
    <w:p>
      <w:pPr>
        <w:ind w:right="7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income tax regulations promulgated under the Code and any corresponding provisions of succeeding regulations.</w:t>
      </w:r>
    </w:p>
    <w:p>
      <w:pPr>
        <w:spacing w:after="0" w:line="156" w:lineRule="exact"/>
        <w:rPr>
          <w:sz w:val="20"/>
          <w:szCs w:val="20"/>
          <w:color w:val="auto"/>
        </w:rPr>
      </w:pPr>
    </w:p>
    <w:p>
      <w:pPr>
        <w:ind w:right="28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xml:space="preserve">” means a Company Interest of a Member or an Assignee in the Company representing a fractional part of the Company Interests of all Members and Assignees;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class or group of Units issued shall have the relative rights, powers and duties set forth in this Agreement and the Company Interest represented by such class or group of Units shall be determined in accordance with such relative rights, powers and duties.</w:t>
      </w:r>
    </w:p>
    <w:p>
      <w:pPr>
        <w:spacing w:after="0" w:line="152"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Upstream Securities</w:t>
      </w:r>
      <w:r>
        <w:rPr>
          <w:rFonts w:ascii="Times New Roman" w:cs="Times New Roman" w:eastAsia="Times New Roman" w:hAnsi="Times New Roman"/>
          <w:sz w:val="18"/>
          <w:szCs w:val="18"/>
          <w:color w:val="auto"/>
        </w:rPr>
        <w:t>” means Equity Securities of any type issued by Bakkt Pubco, including shares of common and preferred stock whether vested or unvested.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VIH Sponsor</w:t>
      </w:r>
      <w:r>
        <w:rPr>
          <w:rFonts w:ascii="Times New Roman" w:cs="Times New Roman" w:eastAsia="Times New Roman" w:hAnsi="Times New Roman"/>
          <w:sz w:val="18"/>
          <w:szCs w:val="18"/>
          <w:color w:val="auto"/>
        </w:rPr>
        <w:t>” means VPC Impact Acquisition Holdings Sponsor, LLC, a Delaware limited liability company.</w:t>
      </w:r>
    </w:p>
    <w:p>
      <w:pPr>
        <w:spacing w:after="0" w:line="221"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means, as applicable, (i) that certain Warrant to Purchase Class B Voting Units, issued to Starbucks Corporation on February 19, 2020, or (ii) that certain Warrant to Purchase Class C Voting Units, issued to The Boston Consulting Group, Inc., on May 19, 2020.</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MATTERS</w:t>
      </w:r>
    </w:p>
    <w:p>
      <w:pPr>
        <w:spacing w:after="0" w:line="198" w:lineRule="exact"/>
        <w:rPr>
          <w:sz w:val="20"/>
          <w:szCs w:val="20"/>
          <w:color w:val="auto"/>
        </w:rPr>
      </w:pPr>
    </w:p>
    <w:p>
      <w:pPr>
        <w:ind w:right="7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Formation of Company</w:t>
      </w:r>
      <w:r>
        <w:rPr>
          <w:rFonts w:ascii="Times New Roman" w:cs="Times New Roman" w:eastAsia="Times New Roman" w:hAnsi="Times New Roman"/>
          <w:sz w:val="18"/>
          <w:szCs w:val="18"/>
          <w:color w:val="auto"/>
        </w:rPr>
        <w:t>. The Company was formed as a limited liability company on July 31, 2018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Delaware Act.</w:t>
      </w:r>
    </w:p>
    <w:p>
      <w:pPr>
        <w:spacing w:after="0" w:line="156" w:lineRule="exact"/>
        <w:rPr>
          <w:sz w:val="20"/>
          <w:szCs w:val="20"/>
          <w:color w:val="auto"/>
        </w:rPr>
      </w:pPr>
    </w:p>
    <w:p>
      <w:pPr>
        <w:ind w:right="80"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Limited Liability Company Agreement</w:t>
      </w:r>
      <w:r>
        <w:rPr>
          <w:rFonts w:ascii="Times New Roman" w:cs="Times New Roman" w:eastAsia="Times New Roman" w:hAnsi="Times New Roman"/>
          <w:sz w:val="18"/>
          <w:szCs w:val="18"/>
          <w:color w:val="auto"/>
        </w:rPr>
        <w:t>. The Members hereby execute this Agreement for the purpose of establishing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affairs of the Company and the conduct of its business in accordance with the provisions of the Delaware Act. The Members hereby agree that during the term of the Company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rights and obligations of the Members with respect to the Company will be determined in accordance with the terms and conditions of this Agreement and the Delaware Act. To the extent that the rights, powers, duties, obligations and liabilities of any Member are different by reason of any provision of this Agreement than they would be in the absence of such provision, this Agreement shall, to the extent permitted by the Delaware Act,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notwithstanding the foregoing, no contractual appraisal rights, whether pursuant to the Delaware Act or otherwise, including Section 18-210 of the Delaware Act, shall apply or be incorporated into this Agreement.</w:t>
      </w:r>
    </w:p>
    <w:p>
      <w:pPr>
        <w:spacing w:after="0" w:line="187" w:lineRule="exact"/>
        <w:rPr>
          <w:sz w:val="20"/>
          <w:szCs w:val="20"/>
          <w:color w:val="auto"/>
        </w:rPr>
      </w:pPr>
    </w:p>
    <w:p>
      <w:pPr>
        <w:ind w:firstLine="982"/>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Name</w:t>
      </w:r>
      <w:r>
        <w:rPr>
          <w:rFonts w:ascii="Times New Roman" w:cs="Times New Roman" w:eastAsia="Times New Roman" w:hAnsi="Times New Roman"/>
          <w:sz w:val="17"/>
          <w:szCs w:val="17"/>
          <w:color w:val="auto"/>
        </w:rPr>
        <w:t>. The name of the Company shall be “Bakkt Opco Holdings, LLC” and all Company business shall be conducted 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 or in such other names that comply with applicable law as the Managing Member, in its sole discretion may select from time to time. Subject to the Delaware Act, the Managing Member, in its sole discretion may change the name of the Company (and amend this Agreement to reflect such change) at any time and from time to time without the consent of any other Person. Notification of any such change shall be given to all of the Members.</w:t>
      </w:r>
    </w:p>
    <w:p>
      <w:pPr>
        <w:spacing w:after="0" w:line="161" w:lineRule="exact"/>
        <w:rPr>
          <w:sz w:val="20"/>
          <w:szCs w:val="20"/>
          <w:color w:val="auto"/>
        </w:rPr>
      </w:pPr>
    </w:p>
    <w:p>
      <w:pPr>
        <w:ind w:right="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and business of the Company shall be to engage in any business which may lawfully be conducted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formed pursuant to the Delaware Act.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Principal Office; 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0"/>
        <w:spacing w:after="0" w:line="278" w:lineRule="auto"/>
        <w:tabs>
          <w:tab w:leader="none" w:pos="12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office of the Company shall be at 5660 New Northside Drive, Atlanta, GA 30328, or such other place as the Managing Member may from time to time designate.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4" w:right="519" w:bottom="1440" w:gutter="0" w:footer="0" w:header="0"/>
        </w:sectPr>
      </w:pPr>
    </w:p>
    <w:bookmarkStart w:id="132" w:name="page133"/>
    <w:bookmarkEnd w:id="13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may maintain offices at such other place or places as the Managing Member deems advisable. Notification of any such change shall be given to all of the Members. The address of the registered office of the Company in the State of Delaware shall be 3411 Silverside Road, Tatnall Building No. 104, Wilmington, County of New Castle, Delaware 19810, and the registered agent for service of process on the Company in the State of Delaware at such registered office shall be United Agent Group Inc.</w:t>
      </w:r>
    </w:p>
    <w:p>
      <w:pPr>
        <w:spacing w:after="0" w:line="180" w:lineRule="exact"/>
        <w:rPr>
          <w:sz w:val="20"/>
          <w:szCs w:val="20"/>
          <w:color w:val="auto"/>
        </w:rPr>
      </w:pPr>
    </w:p>
    <w:p>
      <w:pPr>
        <w:ind w:firstLine="990"/>
        <w:spacing w:after="0" w:line="251" w:lineRule="auto"/>
        <w:tabs>
          <w:tab w:leader="none" w:pos="123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188"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the Company commenced upon the filing of the Certificate in accordance with the Delaware Act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continue in existence until termination and dissolution thereof in accordance with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existence of the Company shall continue until cancellation of the Certificate in the manner required by the Delaware Act.</w:t>
      </w:r>
    </w:p>
    <w:p>
      <w:pPr>
        <w:spacing w:after="0" w:line="17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No State-Law Partnership</w:t>
      </w:r>
      <w:r>
        <w:rPr>
          <w:rFonts w:ascii="Times New Roman" w:cs="Times New Roman" w:eastAsia="Times New Roman" w:hAnsi="Times New Roman"/>
          <w:sz w:val="18"/>
          <w:szCs w:val="18"/>
          <w:color w:val="auto"/>
        </w:rPr>
        <w:t>. The Members intend that the Company not be a partnership (including, without limitation,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limited partnership) or joint venture, and that no Member be a partner or joint venturer of any other Member by virtue of this Agreement, for any purposes other than as set forth in the last sentence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78" w:lineRule="exact"/>
        <w:rPr>
          <w:sz w:val="20"/>
          <w:szCs w:val="20"/>
          <w:color w:val="auto"/>
        </w:rPr>
      </w:pPr>
    </w:p>
    <w:p>
      <w:pPr>
        <w:ind w:right="1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Company shall end on December 31 of each year or such other annual accounting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established by the Managing Member.</w:t>
      </w:r>
    </w:p>
    <w:p>
      <w:pPr>
        <w:spacing w:after="0" w:line="156" w:lineRule="exact"/>
        <w:rPr>
          <w:sz w:val="20"/>
          <w:szCs w:val="20"/>
          <w:color w:val="auto"/>
        </w:rPr>
      </w:pPr>
    </w:p>
    <w:p>
      <w:pPr>
        <w:jc w:val="both"/>
        <w:ind w:right="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Powers of the Company</w:t>
      </w:r>
      <w:r>
        <w:rPr>
          <w:rFonts w:ascii="Times New Roman" w:cs="Times New Roman" w:eastAsia="Times New Roman" w:hAnsi="Times New Roman"/>
          <w:sz w:val="18"/>
          <w:szCs w:val="18"/>
          <w:color w:val="auto"/>
        </w:rPr>
        <w:t>. Subject to the limitations set forth in this Agreement, the Company will possess and may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of the powers and privileges granted to it by the Delaware Act including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480" w:top="268" w:right="579" w:bottom="1440" w:gutter="0" w:footer="0" w:header="0"/>
        </w:sectPr>
      </w:pPr>
    </w:p>
    <w:bookmarkStart w:id="133" w:name="page134"/>
    <w:bookmarkEnd w:id="133"/>
    <w:p>
      <w:pPr>
        <w:ind w:right="80"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2.10 </w:t>
      </w:r>
      <w:r>
        <w:rPr>
          <w:rFonts w:ascii="Times New Roman" w:cs="Times New Roman" w:eastAsia="Times New Roman" w:hAnsi="Times New Roman"/>
          <w:sz w:val="18"/>
          <w:szCs w:val="18"/>
          <w:b w:val="1"/>
          <w:bCs w:val="1"/>
          <w:u w:val="single" w:color="auto"/>
          <w:color w:val="auto"/>
        </w:rPr>
        <w:t>Members; Reclassification; Admission of New Members</w:t>
      </w:r>
      <w:r>
        <w:rPr>
          <w:rFonts w:ascii="Times New Roman" w:cs="Times New Roman" w:eastAsia="Times New Roman" w:hAnsi="Times New Roman"/>
          <w:sz w:val="18"/>
          <w:szCs w:val="18"/>
          <w:color w:val="auto"/>
        </w:rPr>
        <w:t>. Each of the Persons listed in the books and records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as a Member, as the same may be amended from time to time in accordance with this Agreement, by virtue of its execution of the Prior LLC Agreement or this Agreement, is admitted as a Member of the Company. The rights, duties and liabilities of the Members shall be as provided in the Delaware Act, except as is otherwise expressly provided herein, and the Members consent to the variation of such rights, duties and liabilities as provided herein. Subject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with respect to Substituted Members, a Person may be admitted from time to time as a new Member with the written consent of the Managing Member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upon exercise of a Warrant by the holder thereof and the execution and delivery a joinder to this Agreement pursuant to which such holder agrees to become a party to this Agreement with respect to the Equity Securities issued upon exercise of the Warrant, such holder shall be admitted to the Company as a “Member”.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No Member shall have the right to resign as a member of the Company other than following the Transfer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Units owned by such Member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Investment Representations of Members</w:t>
      </w:r>
      <w:r>
        <w:rPr>
          <w:rFonts w:ascii="Times New Roman" w:cs="Times New Roman" w:eastAsia="Times New Roman" w:hAnsi="Times New Roman"/>
          <w:sz w:val="18"/>
          <w:szCs w:val="18"/>
          <w:color w:val="auto"/>
        </w:rPr>
        <w:t>. Each Member hereby represents, warrants and acknowledges to the Company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 such Member has such knowledge and experience in financial and business matters and is capable of evaluating the merits and risks of 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in the Company and is making an informed investment decision with respect thereto; (b) such Member is acquiring interests in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investment only and not with a view to, or for resale in connection with, any distribution to the public or public offering thereof; and (c)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delivery and performance of this Agreement have been duly authorized by such Member.</w:t>
      </w:r>
    </w:p>
    <w:p>
      <w:pPr>
        <w:spacing w:after="0" w:line="198"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Schedule of Members</w:t>
      </w:r>
      <w:r>
        <w:rPr>
          <w:rFonts w:ascii="Times New Roman" w:cs="Times New Roman" w:eastAsia="Times New Roman" w:hAnsi="Times New Roman"/>
          <w:sz w:val="18"/>
          <w:szCs w:val="18"/>
          <w:color w:val="auto"/>
        </w:rPr>
        <w:t>. The Company shall maintain a schedule, from time to time amended or supplemented, setting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address of each Member, and the number of Common Units or Equity Securities in the Company owned by such Member (such schedule, the “</w:t>
      </w:r>
      <w:r>
        <w:rPr>
          <w:rFonts w:ascii="Times New Roman" w:cs="Times New Roman" w:eastAsia="Times New Roman" w:hAnsi="Times New Roman"/>
          <w:sz w:val="18"/>
          <w:szCs w:val="18"/>
          <w:b w:val="1"/>
          <w:bCs w:val="1"/>
          <w:i w:val="1"/>
          <w:iCs w:val="1"/>
          <w:color w:val="auto"/>
        </w:rPr>
        <w:t>Schedule of Members</w:t>
      </w:r>
      <w:r>
        <w:rPr>
          <w:rFonts w:ascii="Times New Roman" w:cs="Times New Roman" w:eastAsia="Times New Roman" w:hAnsi="Times New Roman"/>
          <w:sz w:val="18"/>
          <w:szCs w:val="18"/>
          <w:color w:val="auto"/>
        </w:rPr>
        <w:t xml:space="preserve">”). The Schedule of Members, as amended and supplemented from time to time, shall be the definitive record of ownership of each Common Unit or other Equity Security in the Company. All Members acknowledge, and hereby agree, that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is confidential to the Company and that each Member is only entitled to view the portion of the Schedule of Members representing his, her or its Company Interest. The Company shall be entitled to recognize the exclusive right of a Person registered on its records as the owner of Common Units or other Equity Securities in the Company for all purposes and shall not be bound to recognize any equitable or other claim to or interest in Common Units or other Equity Securities in the Company on the part of any other Person, whether or not it shall have express or other notice thereof, except as otherwise provided by the Delaware Act and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4" w:right="49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CONTRIBUTIONS</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firstLine="990"/>
        <w:spacing w:after="0" w:line="258" w:lineRule="auto"/>
        <w:tabs>
          <w:tab w:leader="none" w:pos="11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Limited liability company interests in the Company shall be represented by Common Units, or such other securities of the Company, in each case as the Managing Member may establish in its discretion in accordance with the terms and subject to the restrictions hereof. As of immediately following the Effective Time, each Member shall hold the number of Common Units set forth opposite such Member’s name on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0" w:right="60" w:firstLine="990"/>
        <w:spacing w:after="0" w:line="258" w:lineRule="auto"/>
        <w:tabs>
          <w:tab w:leader="none" w:pos="11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made Capital Contributions or provided other consideration to the Company in exchange for the Units specified thereon. Each Member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delivered to the Company a properly executed Internal Revenue Service Form W-8 or W-9, as applicable. Each Member acknowledges and agrees that portions of this Agreement, including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may be redacted or information herein may otherwise be aggregated to prevent disclosure of confidential information.</w:t>
      </w:r>
    </w:p>
    <w:p>
      <w:pPr>
        <w:spacing w:after="0" w:line="179" w:lineRule="exact"/>
        <w:rPr>
          <w:rFonts w:ascii="Times New Roman" w:cs="Times New Roman" w:eastAsia="Times New Roman" w:hAnsi="Times New Roman"/>
          <w:sz w:val="18"/>
          <w:szCs w:val="18"/>
          <w:color w:val="auto"/>
        </w:rPr>
      </w:pPr>
    </w:p>
    <w:p>
      <w:pPr>
        <w:ind w:left="-40" w:right="200" w:firstLine="990"/>
        <w:spacing w:after="0" w:line="278" w:lineRule="auto"/>
        <w:tabs>
          <w:tab w:leader="none" w:pos="11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shall be required or, permitted to (i) make any Capital Contribution other than in respect of the Merger Consideration as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or (ii) loan any money or property to the Company or borrow any money or property from the Company.</w:t>
      </w:r>
    </w:p>
    <w:p>
      <w:pPr>
        <w:spacing w:after="0" w:line="162" w:lineRule="exact"/>
        <w:rPr>
          <w:rFonts w:ascii="Times New Roman" w:cs="Times New Roman" w:eastAsia="Times New Roman" w:hAnsi="Times New Roman"/>
          <w:sz w:val="18"/>
          <w:szCs w:val="18"/>
          <w:color w:val="auto"/>
        </w:rPr>
      </w:pPr>
    </w:p>
    <w:p>
      <w:pPr>
        <w:ind w:left="-40" w:firstLine="990"/>
        <w:spacing w:after="0" w:line="251" w:lineRule="auto"/>
        <w:tabs>
          <w:tab w:leader="none" w:pos="11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Common Units resulting from the conversion, by virtue of the Merger, of Incentive Units (which are held by Bakkt Management) into the right to receive the Merger Consideration may be subject to vesting and forfeiture provisions pursuant to the Merger Agreement, the Prior Equity Incentive Plan and award agreements and notices issued thereunder. As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such Common Units shall initially be held by Bakkt Management, which shall hold such Common Units on behalf of Participants, but in the future all or a portion of such Common Units may be distributed from time to time directly to Participants, either in connection with the liquidation of Bakkt Management or otherwise. In the event of such a distribution of a Common Unit by Bakkt Management to a Participant, (i) the Participant shall automatically become a Member, (ii)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shall be amended to reflect the addition of the Participant as a Member and the resulting adjustment in the number of Common Units held by Bakkt Management and the Participant, respectively, and (iii) the vesting and forfeiture provisions applicable to the distributed Common Units shall continue to apply to all such Participants.</w:t>
      </w:r>
    </w:p>
    <w:p>
      <w:pPr>
        <w:spacing w:after="0" w:line="1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Authorization and Issuance of Additional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990"/>
        <w:spacing w:after="0" w:line="278" w:lineRule="auto"/>
        <w:tabs>
          <w:tab w:leader="none" w:pos="11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not, without the prior written consent of a Required Interest, (i) create any new class or series of Units, or other Equity Securities of the Company, (ii) issue additional Units or other Equity Securities of the Company to any Member 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40"/>
          </w:cols>
          <w:pgMar w:left="520" w:top="264" w:right="539" w:bottom="1440" w:gutter="0" w:footer="0" w:header="0"/>
        </w:sectPr>
      </w:pPr>
    </w:p>
    <w:bookmarkStart w:id="135" w:name="page136"/>
    <w:bookmarkEnd w:id="135"/>
    <w:p>
      <w:pPr>
        <w:ind w:right="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Person (other than Units issued pursuant to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this Agreement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Merger Agreement), (iii) amend the privileges, preference, duties, liabilities, obligations and rights of any existing Units, or (iv) retire or redeem any previously issued Units or other Equity Securities of the Company (other than in connection with an Exchange or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this Agreement).</w:t>
      </w:r>
    </w:p>
    <w:p>
      <w:pPr>
        <w:spacing w:after="0" w:line="175" w:lineRule="exact"/>
        <w:rPr>
          <w:sz w:val="20"/>
          <w:szCs w:val="20"/>
          <w:color w:val="auto"/>
        </w:rPr>
      </w:pPr>
    </w:p>
    <w:p>
      <w:pPr>
        <w:ind w:firstLine="990"/>
        <w:spacing w:after="0" w:line="249" w:lineRule="auto"/>
        <w:tabs>
          <w:tab w:leader="none" w:pos="123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Exchange Agreement, the Company shall undertake all actions, including an issuance, reclassification, distribution, division or recapitalization, with respect to the Common Units, to maintain at all times a one-to-one ratio between the number of Common Units owned by Bakkt Pubco, directly or indirectly, and the number of outstanding shares of Class A Common Stock, disregarding, for purposes of maintaining the one-to-one ratio, (i) options, rights or securities of Bakkt Pubco issued under the New Equity Incentive Plan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of the foregoing cases, the issuance of Class A Common Stock in connection with the conversion, exercise or exchange of such options, rights or securities shall not be disregarded for purposes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(ii) treasury stock, (iii) preferred stock or other debt or equity securities (including warrants, options or rights) issued by Bakkt Pubco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of the foregoing cases, the issuance of Class A Common Stock in connection with the conversion, exercise or exchange of such preferred stock or other debt or equity securities (including such warrants, options or rights) shall not be disregarded for purposes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or (iv) the issuance and distribution to holders of shares of Class A Common Stock of rights to purchase Upstream Securities of Bakkt Pubco under a “poison pill” or similar shareholders rights plan (it being understood that upon exchange of Paired Interests for Class A Common Stock pursuant to the Exchange Agreement, such Class A Common Stock would be issued together with a corresponding right). In the event Bakkt Pubco issues, transfers or delivers from treasury stock or repurchases Class A Common Stock in a transaction not contemplated in this Agreement or the Exchange Agreement, Bakkt Pubco shall take all actions such that, after giving effect to all such issuances, transfers, deliveries or repurchases, the number of outstanding Common Units owned by Bakkt Pubco will equal on a one-for-one basis the aggregate number of outstanding shares of Class A Common Stock.</w:t>
      </w:r>
    </w:p>
    <w:p>
      <w:pPr>
        <w:spacing w:after="0" w:line="199" w:lineRule="exact"/>
        <w:rPr>
          <w:rFonts w:ascii="Times New Roman" w:cs="Times New Roman" w:eastAsia="Times New Roman" w:hAnsi="Times New Roman"/>
          <w:sz w:val="18"/>
          <w:szCs w:val="18"/>
          <w:color w:val="auto"/>
        </w:rPr>
      </w:pPr>
    </w:p>
    <w:p>
      <w:pPr>
        <w:ind w:right="180" w:firstLine="990"/>
        <w:spacing w:after="0" w:line="254" w:lineRule="auto"/>
        <w:tabs>
          <w:tab w:leader="none" w:pos="12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Exchange Agreement, the Company shall undertake all actions, including an issuance, a reclassification, distribution, division or recapitalization, with respect to the Common Units, to maintain at all times a one-to-one ratio between the number of outstanding shares of Class V Common Stock held by any Person and the number of Common Units owned by such Person. In the event Bakkt Pubco repurchases Class V Common Stock in a transaction not contemplated in this Agreement or the Exchange Agreement, Bakkt Pubco shall take all actions such that, after giving effect to all such repurchases, the number of outstanding shares of Class V Common Stock held by any Person will equal on a one-to-one basis the number of Common Units owned by such Person.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136" w:name="page137"/>
    <w:bookmarkEnd w:id="136"/>
    <w:p>
      <w:pPr>
        <w:ind w:firstLine="990"/>
        <w:spacing w:after="0" w:line="252" w:lineRule="auto"/>
        <w:tabs>
          <w:tab w:leader="none" w:pos="12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Company shall not undertake any subdivision (by any Common Unit split, Common Unit distribution, reclassification, recapitalization or similar event) or combination (by reverse Common Unit split, reclassification, recapitalization or similar event) of the Common Units that is not accompanied by an identical subdivision or combination of each of the Class A Common Stock and Class V Common Stock (and the Company and Bakkt Pubco shall take all necessary action) so that at all times there is (x) a one-to-one ratio between the number of Common Units owned by Bakkt Pubco and the number of outstanding shares of Class A Common Stock (subject to the first sentence of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(or such other Equity Security of Bakkt Pubco in which the Class A Common Stock may be converted or changed, as contemplated by Section 2.2 of the Exchange Agreement), and (y) a one-to-one ratio between the number of Common Units owned by Members other than Bakkt Pubco and the number of outstanding shares of Class V Common Stock.</w:t>
      </w:r>
    </w:p>
    <w:p>
      <w:pPr>
        <w:spacing w:after="0" w:line="187" w:lineRule="exact"/>
        <w:rPr>
          <w:rFonts w:ascii="Times New Roman" w:cs="Times New Roman" w:eastAsia="Times New Roman" w:hAnsi="Times New Roman"/>
          <w:sz w:val="18"/>
          <w:szCs w:val="18"/>
          <w:color w:val="auto"/>
        </w:rPr>
      </w:pPr>
    </w:p>
    <w:p>
      <w:pPr>
        <w:ind w:right="40" w:firstLine="990"/>
        <w:spacing w:after="0" w:line="254" w:lineRule="auto"/>
        <w:tabs>
          <w:tab w:leader="none" w:pos="122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only be permitted to issue additional Common Units or other Equity Securities in the Company to the Persons and on the terms and conditions provided for in the Merger Agreement and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this Agreement. Subject to the foregoing, the Managing Member may cause the Company to issue additional Common Units authorized under this Agreement at such times and upon such terms as the Managing Member shall determine and the Managing Member shall, and is hereby authorized to, promptly amend this Agreement and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as necessary in connection with the issuance of additional Common Units and admission of additional Members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without the requirement of any consent or acknowledgement of any other Member.</w:t>
      </w:r>
    </w:p>
    <w:p>
      <w:pPr>
        <w:spacing w:after="0" w:line="183" w:lineRule="exact"/>
        <w:rPr>
          <w:rFonts w:ascii="Times New Roman" w:cs="Times New Roman" w:eastAsia="Times New Roman" w:hAnsi="Times New Roman"/>
          <w:sz w:val="18"/>
          <w:szCs w:val="18"/>
          <w:color w:val="auto"/>
        </w:rPr>
      </w:pPr>
    </w:p>
    <w:p>
      <w:pPr>
        <w:jc w:val="both"/>
        <w:ind w:right="40" w:firstLine="990"/>
        <w:spacing w:after="0" w:line="255" w:lineRule="auto"/>
        <w:tabs>
          <w:tab w:leader="none" w:pos="120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Bakkt Pubco issues a share of Class A Common Stock or a share of other capital stock of Bakkt Pubco (other than Class V Common Stock and other than Class A Common Stock issued in connection with an Exchange (as defined in the Exchange Agreement)) for cash or other consideration (including capital stock or assets of another Person), the net proceeds received by Bakkt Pubco with respect to such share, if any, shall be concurrently transferred to the Company in exchange for a corresponding number of Common Units (determined based upon the Exchange Rate then in effect).</w:t>
      </w:r>
    </w:p>
    <w:p>
      <w:pPr>
        <w:spacing w:after="0" w:line="184" w:lineRule="exact"/>
        <w:rPr>
          <w:rFonts w:ascii="Times New Roman" w:cs="Times New Roman" w:eastAsia="Times New Roman" w:hAnsi="Times New Roman"/>
          <w:sz w:val="18"/>
          <w:szCs w:val="18"/>
          <w:color w:val="auto"/>
        </w:rPr>
      </w:pPr>
    </w:p>
    <w:p>
      <w:pPr>
        <w:ind w:right="20" w:firstLine="990"/>
        <w:spacing w:after="0" w:line="252" w:lineRule="auto"/>
        <w:tabs>
          <w:tab w:leader="none" w:pos="12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shares of Class A Common Stock issued by Bakkt Pubco, including any securities issued pursuant to the New Equity Incentive Plan or any other equity incentive program, are subject to vesting or forfeiture provisions, then the Common Units that are issued by the Company to Bakkt Pubco in connection therewith in accordance with the preceding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subject to vesting or forfeiture on the same basis; if any of such shares of Class A Common Stock vest or are forfeited, then a corresponding number of the Common Units (determined based upon the Exchange Rate then in effect) issued by the Company in accordance therewith shall automatically vest or be forfeited. Any cash or property held by Bakkt Pubco or the Company or on any of such Person’s behalf in respect of dividends paid on restricted shares of Class A Common Stock that fail to vest shall be returned to the Company upon the forfeiture of such restricted shares of Class A Common Stock.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xml:space="preserve"> shall set forth the number of Common Units subject to forfeiture or vesting.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Non-certificated Units; Certificates; Lost, Stolen or Destroyed Certificates; Registration and Transfer of Common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80" w:top="268" w:right="519" w:bottom="1440" w:gutter="0" w:footer="0" w:header="0"/>
        </w:sectPr>
      </w:pPr>
    </w:p>
    <w:bookmarkStart w:id="137" w:name="page138"/>
    <w:bookmarkEnd w:id="137"/>
    <w:p>
      <w:pPr>
        <w:ind w:firstLine="990"/>
        <w:spacing w:after="0" w:line="255" w:lineRule="auto"/>
        <w:tabs>
          <w:tab w:leader="none" w:pos="12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Common Units shall not be certificated unless otherwise determined by the Managing Member. If the Managing Member determines that one or more Common Units shall be certificated, each such certificate shall be signed by or in the name of the Company and any officer designated by the Managing Member. Such certificate shall be in such form (and shall contain such legends) as the Managing Member may determine. Any or all of such signatures on any certificate representing one or more Common Units may be an electronic signature, engraved or printed, to the extent permitted by applicable Law.</w:t>
      </w:r>
    </w:p>
    <w:p>
      <w:pPr>
        <w:spacing w:after="0" w:line="184" w:lineRule="exact"/>
        <w:rPr>
          <w:rFonts w:ascii="Times New Roman" w:cs="Times New Roman" w:eastAsia="Times New Roman" w:hAnsi="Times New Roman"/>
          <w:sz w:val="18"/>
          <w:szCs w:val="18"/>
          <w:color w:val="auto"/>
        </w:rPr>
      </w:pPr>
    </w:p>
    <w:p>
      <w:pPr>
        <w:ind w:right="80" w:firstLine="990"/>
        <w:spacing w:after="0" w:line="255" w:lineRule="auto"/>
        <w:tabs>
          <w:tab w:leader="none" w:pos="12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Common Units are certificated, the Managing Member may direct that a new certificate representing one or more Common Units be issued in place of any certificate theretofore issued by the Company alleged to have been lost, stolen or destroyed, upon delivery to the Managing Member of an affidavit of the owner or owners of such certificate, setting forth such allegation. The Managing Member may require the owner of such lost, stolen or destroyed certificate, or such owner’s legal representative, to give the Company a bond sufficient to indemnity it against any claim that may be made against it on account of the alleged loss, theft or destruction of any such certificate or the issuance of any such new certificate.</w:t>
      </w:r>
    </w:p>
    <w:p>
      <w:pPr>
        <w:spacing w:after="0" w:line="184" w:lineRule="exact"/>
        <w:rPr>
          <w:rFonts w:ascii="Times New Roman" w:cs="Times New Roman" w:eastAsia="Times New Roman" w:hAnsi="Times New Roman"/>
          <w:sz w:val="18"/>
          <w:szCs w:val="18"/>
          <w:color w:val="auto"/>
        </w:rPr>
      </w:pPr>
    </w:p>
    <w:p>
      <w:pPr>
        <w:ind w:right="100" w:firstLine="990"/>
        <w:spacing w:after="0" w:line="255" w:lineRule="auto"/>
        <w:tabs>
          <w:tab w:leader="none" w:pos="12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to the Company or the transfer agent of the Company, if any, of a certificate for one or more Common Units, duly endorsed or accompanied by appropriate evidence of succession, assignment or authority to transfer, in compliance with the provisions hereof, the Company shall issue a new certificate representing one or more Common Units to the Person entitled thereto, cancel the old certificate and record the transaction upon its books. Subject to the provisions of this Agreement, the Managing Member may prescribe such additional rules and regulations as it may deem appropriate relating to the issue, Transfer and registration of Common Units.</w:t>
      </w:r>
    </w:p>
    <w:p>
      <w:pPr>
        <w:spacing w:after="0" w:line="180" w:lineRule="exact"/>
        <w:rPr>
          <w:sz w:val="20"/>
          <w:szCs w:val="20"/>
          <w:color w:val="auto"/>
        </w:rPr>
      </w:pPr>
    </w:p>
    <w:p>
      <w:pPr>
        <w:ind w:right="26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Purchase or Redemption of Shares of Class A Common Stock</w:t>
      </w:r>
      <w:r>
        <w:rPr>
          <w:rFonts w:ascii="Times New Roman" w:cs="Times New Roman" w:eastAsia="Times New Roman" w:hAnsi="Times New Roman"/>
          <w:sz w:val="18"/>
          <w:szCs w:val="18"/>
          <w:color w:val="auto"/>
        </w:rPr>
        <w:t>. If, at any time, any shares of Class A Common Stock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or redeemed by Bakkt Pubco for cash, then the Managing Member shall cause the Company, immediately prior to such purchase or redemption of Class A Common Stock, to redeem a corresponding number of Common Units held by Bakkt Pubco, at an aggregate redemption price equal to the aggregate purchase or redemption price of the shares of Class A Common Stock being purchased or redeemed by Bakkt Pubco (plus any expenses related thereto) and upon such other terms as are the same for the shares of Class A Common Stock being purchased or redeemed by Bakkt Pubco.</w:t>
      </w:r>
    </w:p>
    <w:p>
      <w:pPr>
        <w:spacing w:after="0" w:line="178" w:lineRule="exact"/>
        <w:rPr>
          <w:sz w:val="20"/>
          <w:szCs w:val="20"/>
          <w:color w:val="auto"/>
        </w:rPr>
      </w:pPr>
    </w:p>
    <w:p>
      <w:pPr>
        <w:ind w:right="180" w:firstLine="982"/>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3.5 </w:t>
      </w:r>
      <w:r>
        <w:rPr>
          <w:rFonts w:ascii="Times New Roman" w:cs="Times New Roman" w:eastAsia="Times New Roman" w:hAnsi="Times New Roman"/>
          <w:sz w:val="17"/>
          <w:szCs w:val="17"/>
          <w:b w:val="1"/>
          <w:bCs w:val="1"/>
          <w:u w:val="single" w:color="auto"/>
          <w:color w:val="auto"/>
        </w:rPr>
        <w:t>Bakkt Pubco Equity Plans</w:t>
      </w:r>
      <w:r>
        <w:rPr>
          <w:rFonts w:ascii="Times New Roman" w:cs="Times New Roman" w:eastAsia="Times New Roman" w:hAnsi="Times New Roman"/>
          <w:sz w:val="17"/>
          <w:szCs w:val="17"/>
          <w:color w:val="auto"/>
        </w:rPr>
        <w:t>. If at any time Bakkt Pubco issues one or more shares of Class A Common Stock in connection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 the New Equity Incentive Plan or any other equity incentive program, whether such share or shares are issued upon exercise (including cashless exercise) of an option, settlement of a restricted stock unit, as restricted stock or otherwise, the Managing Member shall cause the Company to issue a corresponding number of Common Units, registered in the name of Bakkt Pubco (determined based upon the Exchange Rate then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Bakkt Pubco shall be required to contribute all (but not less than all) of the net proceeds (if any) received by Bakkt Pubco from or otherwise in connection with such issuance of one or more shares of Class A Common Stock, including the exercise price of any option exercised, to the Company.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80" w:top="268" w:right="499" w:bottom="1440" w:gutter="0" w:footer="0" w:header="0"/>
        </w:sectPr>
      </w:pPr>
    </w:p>
    <w:bookmarkStart w:id="138" w:name="page139"/>
    <w:bookmarkEnd w:id="138"/>
    <w:p>
      <w:pPr>
        <w:ind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3.6 </w:t>
      </w:r>
      <w:r>
        <w:rPr>
          <w:rFonts w:ascii="Times New Roman" w:cs="Times New Roman" w:eastAsia="Times New Roman" w:hAnsi="Times New Roman"/>
          <w:sz w:val="18"/>
          <w:szCs w:val="18"/>
          <w:b w:val="1"/>
          <w:bCs w:val="1"/>
          <w:u w:val="single" w:color="auto"/>
          <w:color w:val="auto"/>
        </w:rPr>
        <w:t>Registered Members</w:t>
      </w:r>
      <w:r>
        <w:rPr>
          <w:rFonts w:ascii="Times New Roman" w:cs="Times New Roman" w:eastAsia="Times New Roman" w:hAnsi="Times New Roman"/>
          <w:sz w:val="18"/>
          <w:szCs w:val="18"/>
          <w:color w:val="auto"/>
        </w:rPr>
        <w:t>. The Company shall be entitled to recognize the exclusive right of a Person registered on its records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 of Common Units for all purposes and shall not be bound to recognize any equitable or other claim to or interest in Common Units on the part of any other Person, whether or not it shall have express or other notice thereof, except as otherwise provided by the Delaware Act or other applicable Law.</w:t>
      </w:r>
    </w:p>
    <w:p>
      <w:pPr>
        <w:spacing w:after="0" w:line="176" w:lineRule="exact"/>
        <w:rPr>
          <w:sz w:val="20"/>
          <w:szCs w:val="20"/>
          <w:color w:val="auto"/>
        </w:rPr>
      </w:pPr>
    </w:p>
    <w:p>
      <w:pPr>
        <w:ind w:right="1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Capital Accounts</w:t>
      </w:r>
      <w:r>
        <w:rPr>
          <w:rFonts w:ascii="Times New Roman" w:cs="Times New Roman" w:eastAsia="Times New Roman" w:hAnsi="Times New Roman"/>
          <w:sz w:val="18"/>
          <w:szCs w:val="18"/>
          <w:color w:val="auto"/>
        </w:rPr>
        <w:t>. The Company shall maintain a separate Capital Account for each Member according to the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Regulations Section 1.704-1(b)(2)(iv). For this purpose, the Company may (in the discretion of the Managing Member), upon the occurrence of the events specified in Treasury Regulations Section 1.704-1(b)(2)(iv)(f), increase or decrease the Capital Accounts in accordance with the rules of such regulation and Treasury Regulations Section 1.704-1(b)(2)(iv)(g) to reflect a revaluation of Company property.</w:t>
      </w:r>
    </w:p>
    <w:p>
      <w:pPr>
        <w:spacing w:after="0" w:line="176" w:lineRule="exact"/>
        <w:rPr>
          <w:sz w:val="20"/>
          <w:szCs w:val="20"/>
          <w:color w:val="auto"/>
        </w:rPr>
      </w:pPr>
    </w:p>
    <w:p>
      <w:pPr>
        <w:jc w:val="both"/>
        <w:ind w:right="620" w:firstLine="982"/>
        <w:spacing w:after="0" w:line="313" w:lineRule="auto"/>
        <w:rPr>
          <w:sz w:val="20"/>
          <w:szCs w:val="20"/>
          <w:color w:val="auto"/>
        </w:rPr>
      </w:pPr>
      <w:r>
        <w:rPr>
          <w:rFonts w:ascii="Times New Roman" w:cs="Times New Roman" w:eastAsia="Times New Roman" w:hAnsi="Times New Roman"/>
          <w:sz w:val="17"/>
          <w:szCs w:val="17"/>
          <w:b w:val="1"/>
          <w:bCs w:val="1"/>
          <w:color w:val="auto"/>
        </w:rPr>
        <w:t xml:space="preserve">Section 3.8 </w:t>
      </w:r>
      <w:r>
        <w:rPr>
          <w:rFonts w:ascii="Times New Roman" w:cs="Times New Roman" w:eastAsia="Times New Roman" w:hAnsi="Times New Roman"/>
          <w:sz w:val="17"/>
          <w:szCs w:val="17"/>
          <w:b w:val="1"/>
          <w:bCs w:val="1"/>
          <w:u w:val="single" w:color="auto"/>
          <w:color w:val="auto"/>
        </w:rPr>
        <w:t>Negative Capital Accounts</w:t>
      </w:r>
      <w:r>
        <w:rPr>
          <w:rFonts w:ascii="Times New Roman" w:cs="Times New Roman" w:eastAsia="Times New Roman" w:hAnsi="Times New Roman"/>
          <w:sz w:val="17"/>
          <w:szCs w:val="17"/>
          <w:color w:val="auto"/>
        </w:rPr>
        <w:t>. No Member shall be required to pay to any other Member or the Company any deficit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negative balance which may exist from time to time in such Member’s Capital Account (including upon and after dissolution of the Company).</w:t>
      </w:r>
    </w:p>
    <w:p>
      <w:pPr>
        <w:spacing w:after="0" w:line="132"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No Withdrawal</w:t>
      </w:r>
      <w:r>
        <w:rPr>
          <w:rFonts w:ascii="Times New Roman" w:cs="Times New Roman" w:eastAsia="Times New Roman" w:hAnsi="Times New Roman"/>
          <w:sz w:val="18"/>
          <w:szCs w:val="18"/>
          <w:color w:val="auto"/>
        </w:rPr>
        <w:t>. No Person shall be entitled to withdraw any part of such Person’s Capital Contribution or Capital Account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any Distribution from the Company, except as expressly provided herein.</w:t>
      </w:r>
    </w:p>
    <w:p>
      <w:pPr>
        <w:spacing w:after="0" w:line="156" w:lineRule="exact"/>
        <w:rPr>
          <w:sz w:val="20"/>
          <w:szCs w:val="20"/>
          <w:color w:val="auto"/>
        </w:rPr>
      </w:pPr>
    </w:p>
    <w:p>
      <w:pPr>
        <w:ind w:right="7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Loans From Members</w:t>
      </w:r>
      <w:r>
        <w:rPr>
          <w:rFonts w:ascii="Times New Roman" w:cs="Times New Roman" w:eastAsia="Times New Roman" w:hAnsi="Times New Roman"/>
          <w:sz w:val="18"/>
          <w:szCs w:val="18"/>
          <w:color w:val="auto"/>
        </w:rPr>
        <w:t>. Loans by Members to the Company shall not be considered Capital Contributions.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no Member may make a loan or advance funds to the Company without the consent of the Managing Member.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AND ALLOCATIONS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Distributions.</w:t>
      </w:r>
    </w:p>
    <w:p>
      <w:pPr>
        <w:spacing w:after="0" w:line="225" w:lineRule="exact"/>
        <w:rPr>
          <w:sz w:val="20"/>
          <w:szCs w:val="20"/>
          <w:color w:val="auto"/>
        </w:rPr>
      </w:pPr>
    </w:p>
    <w:p>
      <w:pPr>
        <w:ind w:right="80" w:firstLine="990"/>
        <w:spacing w:after="0" w:line="263" w:lineRule="auto"/>
        <w:tabs>
          <w:tab w:leader="none" w:pos="12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the Delaware Act and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Managing Member, in its sole discretion, may authorize Distributions to the Members, which Distributions shall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Members’ respective Percentage Interests as of the record date of the Distribution designated by the Managing Member.</w:t>
      </w:r>
    </w:p>
    <w:p>
      <w:pPr>
        <w:spacing w:after="0" w:line="175" w:lineRule="exact"/>
        <w:rPr>
          <w:rFonts w:ascii="Times New Roman" w:cs="Times New Roman" w:eastAsia="Times New Roman" w:hAnsi="Times New Roman"/>
          <w:sz w:val="18"/>
          <w:szCs w:val="18"/>
          <w:color w:val="auto"/>
        </w:rPr>
      </w:pPr>
    </w:p>
    <w:p>
      <w:pPr>
        <w:ind w:right="40" w:firstLine="990"/>
        <w:spacing w:after="0" w:line="278" w:lineRule="auto"/>
        <w:tabs>
          <w:tab w:leader="none" w:pos="12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Distribution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to the Persons shown on the Company’s books and records as Members as of the record date of such Distribution.</w:t>
      </w:r>
    </w:p>
    <w:p>
      <w:pPr>
        <w:spacing w:after="0" w:line="162" w:lineRule="exact"/>
        <w:rPr>
          <w:rFonts w:ascii="Times New Roman" w:cs="Times New Roman" w:eastAsia="Times New Roman" w:hAnsi="Times New Roman"/>
          <w:sz w:val="18"/>
          <w:szCs w:val="18"/>
          <w:color w:val="auto"/>
        </w:rPr>
      </w:pPr>
    </w:p>
    <w:p>
      <w:pPr>
        <w:ind w:right="60" w:firstLine="990"/>
        <w:spacing w:after="0" w:line="255" w:lineRule="auto"/>
        <w:tabs>
          <w:tab w:leader="none" w:pos="12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all amounts otherwise distributable pursuant to this Agreement (other than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with respect to each unvested Unit shall be retained by the Company (collectively, the “</w:t>
      </w:r>
      <w:r>
        <w:rPr>
          <w:rFonts w:ascii="Times New Roman" w:cs="Times New Roman" w:eastAsia="Times New Roman" w:hAnsi="Times New Roman"/>
          <w:sz w:val="18"/>
          <w:szCs w:val="18"/>
          <w:b w:val="1"/>
          <w:bCs w:val="1"/>
          <w:i w:val="1"/>
          <w:iCs w:val="1"/>
          <w:color w:val="auto"/>
        </w:rPr>
        <w:t>Retained Amounts</w:t>
      </w:r>
      <w:r>
        <w:rPr>
          <w:rFonts w:ascii="Times New Roman" w:cs="Times New Roman" w:eastAsia="Times New Roman" w:hAnsi="Times New Roman"/>
          <w:sz w:val="18"/>
          <w:szCs w:val="18"/>
          <w:color w:val="auto"/>
        </w:rPr>
        <w:t xml:space="preserve">”). Prior to making any distribution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the Company will distribute the Retained Amounts with respect to each previously unvested Unit that has become a vested Unit to the Holder of such Unit. Retained Amounts in respect of unvested Units that are forfeited prior to vesting shall be forfeited by the Holder of such Unit, and no distribution of such Retained Amounts in respect of such forfeited Units shall be made.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0"/>
          </w:cols>
          <w:pgMar w:left="480" w:top="264" w:right="519" w:bottom="1440" w:gutter="0" w:footer="0" w:header="0"/>
        </w:sectPr>
      </w:pPr>
    </w:p>
    <w:bookmarkStart w:id="139" w:name="page140"/>
    <w:bookmarkEnd w:id="139"/>
    <w:p>
      <w:pPr>
        <w:ind w:firstLine="990"/>
        <w:spacing w:after="0" w:line="250" w:lineRule="auto"/>
        <w:tabs>
          <w:tab w:leader="none" w:pos="12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 other provision of this Agreement to the contrary, to the fullest extent permitted by applicable Law and consistent with the Company’s obligations to its creditors as reasonably determined by the Managing Member, the Managing Member shall, to the extent of Available Cash, cause to be distributed to the Members with respect to their Common Units in proportion to their respective Percentage Interests on an annual basis an aggregate amount that equals the Tax Distribution Amount (each, a “</w:t>
      </w:r>
      <w:r>
        <w:rPr>
          <w:rFonts w:ascii="Times New Roman" w:cs="Times New Roman" w:eastAsia="Times New Roman" w:hAnsi="Times New Roman"/>
          <w:sz w:val="18"/>
          <w:szCs w:val="18"/>
          <w:b w:val="1"/>
          <w:bCs w:val="1"/>
          <w:i w:val="1"/>
          <w:iCs w:val="1"/>
          <w:color w:val="auto"/>
        </w:rPr>
        <w:t>Tax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portion of a Tax Distribution made with respect to the amounts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Tax Distribution Amount may be distributed reasonably promptly before a payment is required to be made pursuant to the Tax Receivable Agreement. If, on the date of a Tax Distribution, there are insufficient funds on hand to distribute to the Members the full amount of the Tax Distributions to which such Members are otherwise entitled, distributions pursuant to this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 Notwithstanding the foregoing, the Managing Member may cause distributions under this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to be made on a quarterly basis based upon estimates of the Tax Distribution Amount (but only to the extent of the amounts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and reconcile such quarterly determinations with its determination of the total amount of Tax Distributions to be made for a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87" w:lineRule="exact"/>
        <w:rPr>
          <w:sz w:val="20"/>
          <w:szCs w:val="20"/>
          <w:color w:val="auto"/>
        </w:rPr>
      </w:pPr>
    </w:p>
    <w:p>
      <w:pPr>
        <w:ind w:right="60"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Allocations</w:t>
      </w:r>
      <w:r>
        <w:rPr>
          <w:rFonts w:ascii="Times New Roman" w:cs="Times New Roman" w:eastAsia="Times New Roman" w:hAnsi="Times New Roman"/>
          <w:sz w:val="18"/>
          <w:szCs w:val="18"/>
          <w:color w:val="auto"/>
        </w:rPr>
        <w:t>. After giving effect to the allocations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Net Profits and Net Losses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to achieve the resulting Capital Account balances described below, any allocable items of gross income, gain, loss and expense that would otherwise be includable in the computation of Net Profits and Net Losses) for each Taxable Year shall be allocated among the Members during such Taxable Year, in such a manner as shall cause the Capital Accounts of the Members (as adjusted to reflect all allocations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all distributions through the end of such Taxable Year) to equal, as nearly as possible, (a) the amount such Members would receive if all assets of the Company on hand at the end of such Taxable Year were sold for cash equal to their Book Values, all liabilities of the Company were satisfied in cash in accordance with their terms (limited in the case of non-recourse liabilities to the Book Value of the property securing such liabilities), and all remaining or resulting cash (including any withheld amounts) were distributed to the Members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minus (b) such Member’s share of Minimum Gain and Member Nonrecourse Debt Minimum Gain, computed immediately prior to the hypothetical sale of assets.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Special Allocations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990"/>
        <w:spacing w:after="0" w:line="277" w:lineRule="auto"/>
        <w:tabs>
          <w:tab w:leader="none" w:pos="122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 of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if there is a net decrease in Minimum Gain during any Taxable Year, each Member shall be allocated items of Company income and gain for such Taxable Year (and, if necessary, subsequent Taxable Years) in the manner and amounts provided in Treasury Regulations Sections 1.704-2(f)(6), (g)(2) and (j)(2)(i). For purposes of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each Member’s Adjusted Capital Account shall be determined and the allocation of income or gain required hereunder shall be effected, prior to the</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0"/>
          </w:cols>
          <w:pgMar w:left="480" w:top="268" w:right="539" w:bottom="1440" w:gutter="0" w:footer="0" w:header="0"/>
        </w:sectPr>
      </w:pPr>
    </w:p>
    <w:bookmarkStart w:id="140" w:name="page141"/>
    <w:bookmarkEnd w:id="140"/>
    <w:p>
      <w:pPr>
        <w:ind w:right="6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application of any other allocations pursuant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with respect to such Taxable Year. This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is intended to comply with the partnership Minimum Gain chargeback requirement in Treasury Regulations Section 1.704-2(f) and shall be interpreted consistently therewith.</w:t>
      </w:r>
    </w:p>
    <w:p>
      <w:pPr>
        <w:spacing w:after="0" w:line="140" w:lineRule="exact"/>
        <w:rPr>
          <w:sz w:val="20"/>
          <w:szCs w:val="20"/>
          <w:color w:val="auto"/>
        </w:rPr>
      </w:pPr>
    </w:p>
    <w:p>
      <w:pPr>
        <w:ind w:right="20" w:firstLine="990"/>
        <w:spacing w:after="0" w:line="252" w:lineRule="auto"/>
        <w:tabs>
          <w:tab w:leader="none" w:pos="12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if there is a net decrease in Member Nonrecourse Debt Minimum Gain during any Taxable Year, any Member with a share of Member Nonrecourse Debt Minimum Gain at the beginning of such Taxable Year shall be allocated items of Company income and gain for such Taxable Year (and, if necessary, subsequent Taxable Years) in the manner and amounts provided in Treasury Regulations Section 1.704-2(i)(4) and (j)(2)(ii). For purposes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above, with respect to such Taxable Year.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is intended to comply with the partner nonrecourse debt minimum gain chargeback requirement in Treasury Regulations Section 1.704-2(i)(4) and shall be interpreted consistently therewith.</w:t>
      </w:r>
    </w:p>
    <w:p>
      <w:pPr>
        <w:spacing w:after="0" w:line="187" w:lineRule="exact"/>
        <w:rPr>
          <w:rFonts w:ascii="Times New Roman" w:cs="Times New Roman" w:eastAsia="Times New Roman" w:hAnsi="Times New Roman"/>
          <w:sz w:val="18"/>
          <w:szCs w:val="18"/>
          <w:color w:val="auto"/>
        </w:rPr>
      </w:pPr>
    </w:p>
    <w:p>
      <w:pPr>
        <w:ind w:right="240" w:firstLine="990"/>
        <w:spacing w:after="0" w:line="255" w:lineRule="auto"/>
        <w:tabs>
          <w:tab w:leader="none" w:pos="12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above,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such Treasury Regulations, the deficit balance, if any, in its Adjusted Capital Account created by such adjustments, allocations or distributions as quickly as possible unless such deficit balance is otherwise eliminated pursuant to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500" w:firstLine="990"/>
        <w:spacing w:after="0" w:line="263" w:lineRule="auto"/>
        <w:tabs>
          <w:tab w:leader="none" w:pos="12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allocation of Net Loss shall be made to a Member if it would cause or increase an Adjusted Capital Account Deficit of such Member. Allocations of Net Loss that would be made to a Member but for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xml:space="preserve"> shall instead be made to other Members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the extent not inconsistent with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40" w:firstLine="990"/>
        <w:spacing w:after="0" w:line="258" w:lineRule="auto"/>
        <w:tabs>
          <w:tab w:leader="none" w:pos="12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Member has an Adjusted Capital Account Deficit at the end of any Taxable Year, such Member shall be specially allocated items of Company gross income and gain in the amount of such excess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 xml:space="preserve"> shall be made only if and to the extent that such Member would have an Adjusted Capital Account Deficit after all other allocations provided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 xml:space="preserve"> were not in this Agreement.</w:t>
      </w:r>
    </w:p>
    <w:p>
      <w:pPr>
        <w:spacing w:after="0" w:line="179" w:lineRule="exact"/>
        <w:rPr>
          <w:rFonts w:ascii="Times New Roman" w:cs="Times New Roman" w:eastAsia="Times New Roman" w:hAnsi="Times New Roman"/>
          <w:sz w:val="18"/>
          <w:szCs w:val="18"/>
          <w:color w:val="auto"/>
        </w:rPr>
      </w:pPr>
    </w:p>
    <w:p>
      <w:pPr>
        <w:ind w:right="60" w:firstLine="990"/>
        <w:spacing w:after="0" w:line="278" w:lineRule="auto"/>
        <w:tabs>
          <w:tab w:leader="none" w:pos="12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Deductions for any Taxable Year shall be allocated to the Members ratably among such Members based upon the number of Units held by each Holder.</w:t>
      </w:r>
    </w:p>
    <w:p>
      <w:pPr>
        <w:spacing w:after="0" w:line="162" w:lineRule="exact"/>
        <w:rPr>
          <w:rFonts w:ascii="Times New Roman" w:cs="Times New Roman" w:eastAsia="Times New Roman" w:hAnsi="Times New Roman"/>
          <w:sz w:val="18"/>
          <w:szCs w:val="18"/>
          <w:color w:val="auto"/>
        </w:rPr>
      </w:pPr>
    </w:p>
    <w:p>
      <w:pPr>
        <w:ind w:firstLine="990"/>
        <w:spacing w:after="0" w:line="255" w:lineRule="auto"/>
        <w:tabs>
          <w:tab w:leader="none" w:pos="12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Nonrecourse Deductions for any Taxable Year shall be allocated 100% to the Member that bears the Economic Risk of Loss with respect to the Member Nonrecourse Debt to which such Member Nonrecourse Deductions are attributable in accordance with Treasury Regulations Section 1.704-2(i). If more than one Member bears the Economic Risk of Loss with respect to a Member Nonrecourse Debt, Member Nonrecourse Deductions attributable thereto shall be allocated between or among such Members in accordance with the ratios in which they share such Economic Risk of Loss.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0"/>
          </w:cols>
          <w:pgMar w:left="480" w:top="268" w:right="539" w:bottom="1440" w:gutter="0" w:footer="0" w:header="0"/>
        </w:sectPr>
      </w:pPr>
    </w:p>
    <w:bookmarkStart w:id="141" w:name="page142"/>
    <w:bookmarkEnd w:id="141"/>
    <w:p>
      <w:pPr>
        <w:ind w:right="80" w:firstLine="990"/>
        <w:spacing w:after="0" w:line="278" w:lineRule="auto"/>
        <w:tabs>
          <w:tab w:leader="none" w:pos="1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any Holder of unvested Units forfeits all or a portion of such Units, such Holder shall be allocated items of loss and deduction in the year of such forfeiture in an amount equal to the portion of such Holder’s Capital Account attributable to such forfeited Units.</w:t>
      </w:r>
    </w:p>
    <w:p>
      <w:pPr>
        <w:spacing w:after="0" w:line="162" w:lineRule="exact"/>
        <w:rPr>
          <w:rFonts w:ascii="Times New Roman" w:cs="Times New Roman" w:eastAsia="Times New Roman" w:hAnsi="Times New Roman"/>
          <w:sz w:val="18"/>
          <w:szCs w:val="18"/>
          <w:color w:val="auto"/>
        </w:rPr>
      </w:pPr>
    </w:p>
    <w:p>
      <w:pPr>
        <w:ind w:right="260" w:firstLine="990"/>
        <w:spacing w:after="0" w:line="266" w:lineRule="auto"/>
        <w:tabs>
          <w:tab w:leader="none" w:pos="119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 adjustment to the adjusted tax basis of any Company asset pursuant to Code Section 734(b) or Section 743(b) is required pursuant to Treasury Regulations Section 1.704-1(b)(2)(iv)(m)(2) or Section 1.704-1(b)(2)(iv)(m)(4) to be taken into account in determining Capital Accounts as the result of a distribution to a Member in complete liquidation of its Company Interest,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1.704-1(b)(2)(iv)(m)(4) applies.</w:t>
      </w:r>
    </w:p>
    <w:p>
      <w:pPr>
        <w:spacing w:after="0" w:line="198" w:lineRule="exact"/>
        <w:rPr>
          <w:rFonts w:ascii="Times New Roman" w:cs="Times New Roman" w:eastAsia="Times New Roman" w:hAnsi="Times New Roman"/>
          <w:sz w:val="17"/>
          <w:szCs w:val="17"/>
          <w:color w:val="auto"/>
        </w:rPr>
      </w:pPr>
    </w:p>
    <w:p>
      <w:pPr>
        <w:ind w:right="120" w:firstLine="990"/>
        <w:spacing w:after="0" w:line="252" w:lineRule="auto"/>
        <w:tabs>
          <w:tab w:leader="none" w:pos="11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Curative Allocation</w:t>
      </w:r>
      <w:r>
        <w:rPr>
          <w:rFonts w:ascii="Times New Roman" w:cs="Times New Roman" w:eastAsia="Times New Roman" w:hAnsi="Times New Roman"/>
          <w:sz w:val="18"/>
          <w:szCs w:val="18"/>
          <w:color w:val="auto"/>
        </w:rPr>
        <w:t xml:space="preserve">. The allocations set forth in </w:t>
      </w:r>
      <w:r>
        <w:rPr>
          <w:rFonts w:ascii="Times New Roman" w:cs="Times New Roman" w:eastAsia="Times New Roman" w:hAnsi="Times New Roman"/>
          <w:sz w:val="18"/>
          <w:szCs w:val="18"/>
          <w:u w:val="single" w:color="auto"/>
          <w:color w:val="auto"/>
        </w:rPr>
        <w:t>Section 4.3(a)-(i)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4.3(h)</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deduction or credit pursuant to this </w:t>
      </w:r>
      <w:r>
        <w:rPr>
          <w:rFonts w:ascii="Times New Roman" w:cs="Times New Roman" w:eastAsia="Times New Roman" w:hAnsi="Times New Roman"/>
          <w:sz w:val="18"/>
          <w:szCs w:val="18"/>
          <w:u w:val="single" w:color="auto"/>
          <w:color w:val="auto"/>
        </w:rPr>
        <w:t>Section 4.3(j)</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Regulatory Allocations), but subject to the Code and the Treasury Regulations, the Managing Member shall make such offsetting special allocations of Company income, gain, loss, deduction or credit in whatever manner it determines appropriate so that, after such offsetting allocations are made, each Member’s Capital Account balance is, to the extent possible, equal to the Capital Account balance such Member would have had if the Regulatory Allocations were not part of the Agreement. In exercising its discretion under this </w:t>
      </w:r>
      <w:r>
        <w:rPr>
          <w:rFonts w:ascii="Times New Roman" w:cs="Times New Roman" w:eastAsia="Times New Roman" w:hAnsi="Times New Roman"/>
          <w:sz w:val="18"/>
          <w:szCs w:val="18"/>
          <w:u w:val="single" w:color="auto"/>
          <w:color w:val="auto"/>
        </w:rPr>
        <w:t>Section 4.3(j)</w:t>
      </w:r>
      <w:r>
        <w:rPr>
          <w:rFonts w:ascii="Times New Roman" w:cs="Times New Roman" w:eastAsia="Times New Roman" w:hAnsi="Times New Roman"/>
          <w:sz w:val="18"/>
          <w:szCs w:val="18"/>
          <w:color w:val="auto"/>
        </w:rPr>
        <w:t>, the Managing Member shall take into account future Regulatory Allocations that, although not yet made, are likely to offset other Regulatory Allocations previously made.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Tax Allocations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308" w:lineRule="auto"/>
        <w:tabs>
          <w:tab w:leader="none" w:pos="1225"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each item of income, gain, loss, deduction and credit of the Company for U.S. federal income tax purposes shall be allocated among the Members in the same manner as such items are allocated for book purposes under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ind w:firstLine="990"/>
        <w:spacing w:after="0" w:line="253" w:lineRule="auto"/>
        <w:tabs>
          <w:tab w:leader="none" w:pos="123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recognize that there may be a difference between the Book Value of a Company asset and the asset’s adjusted tax basis at the time of the property’s contribution or revaluation pursuant to this Agreement. In such a case, all items of tax depreciation, cost recovery, depletion, amortization, and gain or loss with respect to such asset shall be allocated among the Members to take into account the disparities between the Book Values and the adjusted tax basis with respect to such properties in accordance with the traditional method described in Treasury Regulation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1.704-3(b);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tax items not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480" w:top="268" w:right="499" w:bottom="1440" w:gutter="0" w:footer="0" w:header="0"/>
        </w:sectPr>
      </w:pPr>
    </w:p>
    <w:bookmarkStart w:id="142" w:name="page143"/>
    <w:bookmarkEnd w:id="142"/>
    <w:p>
      <w:pPr>
        <w:ind w:right="26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required to be allocated under Code Sections 704(b) or 704(c) shall be allocated in the same manner as such gain or loss would be allocated for book purposes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0"/>
        <w:spacing w:after="0" w:line="258" w:lineRule="auto"/>
        <w:tabs>
          <w:tab w:leader="none" w:pos="122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items of income, gain, loss, deduction and credit allocated to the Members in accordance with the provisions hereof and basis allocations recognized by the Company for U.S. federal income tax purposes shall be determined without regard to any election under Code Section 754 which may be made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such allocations, once made, shall be adjusted as necessary or appropriate to take into account the adjustments permitted by Code Sections 734 and 743.</w:t>
      </w:r>
    </w:p>
    <w:p>
      <w:pPr>
        <w:spacing w:after="0" w:line="179" w:lineRule="exact"/>
        <w:rPr>
          <w:rFonts w:ascii="Times New Roman" w:cs="Times New Roman" w:eastAsia="Times New Roman" w:hAnsi="Times New Roman"/>
          <w:sz w:val="18"/>
          <w:szCs w:val="18"/>
          <w:color w:val="auto"/>
        </w:rPr>
      </w:pPr>
    </w:p>
    <w:p>
      <w:pPr>
        <w:ind w:right="300" w:firstLine="990"/>
        <w:spacing w:after="0" w:line="263" w:lineRule="auto"/>
        <w:tabs>
          <w:tab w:leader="none" w:pos="12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if any portion of taxable gain recognized from the disposition of property by the Company represents the “recapture” of previously allocated deductions by virtue of the application of Code Section 1(h)(1)(D), 1245 or 1250 (“</w:t>
      </w:r>
      <w:r>
        <w:rPr>
          <w:rFonts w:ascii="Times New Roman" w:cs="Times New Roman" w:eastAsia="Times New Roman" w:hAnsi="Times New Roman"/>
          <w:sz w:val="18"/>
          <w:szCs w:val="18"/>
          <w:b w:val="1"/>
          <w:bCs w:val="1"/>
          <w:i w:val="1"/>
          <w:iCs w:val="1"/>
          <w:color w:val="auto"/>
        </w:rPr>
        <w:t>Recapture Gain</w:t>
      </w:r>
      <w:r>
        <w:rPr>
          <w:rFonts w:ascii="Times New Roman" w:cs="Times New Roman" w:eastAsia="Times New Roman" w:hAnsi="Times New Roman"/>
          <w:sz w:val="18"/>
          <w:szCs w:val="18"/>
          <w:color w:val="auto"/>
        </w:rPr>
        <w:t>”), such Recapture Gain shall be allocated as follows:</w:t>
      </w:r>
    </w:p>
    <w:p>
      <w:pPr>
        <w:spacing w:after="0" w:line="68" w:lineRule="exact"/>
        <w:rPr>
          <w:rFonts w:ascii="Times New Roman" w:cs="Times New Roman" w:eastAsia="Times New Roman" w:hAnsi="Times New Roman"/>
          <w:sz w:val="18"/>
          <w:szCs w:val="18"/>
          <w:color w:val="auto"/>
        </w:rPr>
      </w:pPr>
    </w:p>
    <w:p>
      <w:pPr>
        <w:jc w:val="both"/>
        <w:ind w:left="980" w:right="140" w:firstLine="407"/>
        <w:spacing w:after="0" w:line="258" w:lineRule="auto"/>
        <w:tabs>
          <w:tab w:leader="none" w:pos="159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Members in proportion to the lesser of each Member’s (A) allocable share of the total taxable gain recognized from the disposition of such property and (B) share of depreciation or amortization with respect to such property (as determined in the manner provided under Treasury Regulations Sections 1.1245-1(e)(2) and (3)), until each such Member has been allocated Recapture Gain equal to such lesser amount.</w:t>
      </w:r>
    </w:p>
    <w:p>
      <w:pPr>
        <w:spacing w:after="0" w:line="72" w:lineRule="exact"/>
        <w:rPr>
          <w:rFonts w:ascii="Times New Roman" w:cs="Times New Roman" w:eastAsia="Times New Roman" w:hAnsi="Times New Roman"/>
          <w:sz w:val="18"/>
          <w:szCs w:val="18"/>
          <w:color w:val="auto"/>
        </w:rPr>
      </w:pPr>
    </w:p>
    <w:p>
      <w:pPr>
        <w:ind w:left="980" w:firstLine="407"/>
        <w:spacing w:after="0" w:line="255" w:lineRule="auto"/>
        <w:tabs>
          <w:tab w:leader="none" w:pos="163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the balance of Recapture Gain shall be allocated among the Members whose allocable shares of total taxable gain from the disposition of such property exceed their shares of depreciation or amortization with respect to such property (as determined in the manner provided under Treasury Regulations Sections 1.1245-1(e)(2) and (3)), in proportion to their shares of total taxable gain (including Recapture Gain) from the disposition of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Member shall be allocated Recapture Gain under this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 xml:space="preserve"> in excess of the total taxable gain otherwise allocated to such Member from such disposition.</w:t>
      </w:r>
    </w:p>
    <w:p>
      <w:pPr>
        <w:spacing w:after="0" w:line="77" w:lineRule="exact"/>
        <w:rPr>
          <w:rFonts w:ascii="Times New Roman" w:cs="Times New Roman" w:eastAsia="Times New Roman" w:hAnsi="Times New Roman"/>
          <w:sz w:val="18"/>
          <w:szCs w:val="18"/>
          <w:color w:val="auto"/>
        </w:rPr>
      </w:pPr>
    </w:p>
    <w:p>
      <w:pPr>
        <w:ind w:left="980" w:right="320" w:firstLine="407"/>
        <w:spacing w:after="0" w:line="278" w:lineRule="auto"/>
        <w:tabs>
          <w:tab w:leader="none" w:pos="168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Code, any tax credits of the Company shall be allocated among the Members ratably based upon the number of Units held by each Holder.</w:t>
      </w:r>
    </w:p>
    <w:p>
      <w:pPr>
        <w:spacing w:after="0" w:line="16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recapture of tax credits shall be allocated among the Members in the same ratio as the applicable tax credits were allocated to the</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Members.</w:t>
      </w:r>
    </w:p>
    <w:p>
      <w:pPr>
        <w:spacing w:after="0" w:line="202" w:lineRule="exact"/>
        <w:rPr>
          <w:rFonts w:ascii="Times New Roman" w:cs="Times New Roman" w:eastAsia="Times New Roman" w:hAnsi="Times New Roman"/>
          <w:sz w:val="17"/>
          <w:szCs w:val="17"/>
          <w:color w:val="auto"/>
        </w:rPr>
      </w:pPr>
    </w:p>
    <w:p>
      <w:pPr>
        <w:ind w:right="560" w:firstLine="990"/>
        <w:spacing w:after="0" w:line="263" w:lineRule="auto"/>
        <w:tabs>
          <w:tab w:leader="none" w:pos="12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exercise of a Warrant to acquire an interest in the Company, a Capital Account reallocation is required under Treasury Regulations Section 1.704-1(b)(2)(iv)(s)(3), the Company shall make corrective allocations pursuant to Treasury Regulations Section 1.704-1(b)(4)(x).</w:t>
      </w:r>
    </w:p>
    <w:p>
      <w:pPr>
        <w:spacing w:after="0" w:line="175" w:lineRule="exact"/>
        <w:rPr>
          <w:rFonts w:ascii="Times New Roman" w:cs="Times New Roman" w:eastAsia="Times New Roman" w:hAnsi="Times New Roman"/>
          <w:sz w:val="18"/>
          <w:szCs w:val="18"/>
          <w:color w:val="auto"/>
        </w:rPr>
      </w:pPr>
    </w:p>
    <w:p>
      <w:pPr>
        <w:ind w:right="100" w:firstLine="990"/>
        <w:spacing w:after="0" w:line="278" w:lineRule="auto"/>
        <w:tabs>
          <w:tab w:leader="none" w:pos="12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 Member’s proportional share of the Company’s “excess non-recourse liabilities” within the meaning of Treasury Regulations Section 1.752-3(a)(3), each Member’s interest in income and gain shall be in proportion to the Units held by such Member.</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80" w:top="268" w:right="539" w:bottom="1440" w:gutter="0" w:footer="0" w:header="0"/>
        </w:sectPr>
      </w:pPr>
    </w:p>
    <w:bookmarkStart w:id="143" w:name="page144"/>
    <w:bookmarkEnd w:id="143"/>
    <w:p>
      <w:pPr>
        <w:ind w:right="120" w:firstLine="990"/>
        <w:spacing w:after="0" w:line="259" w:lineRule="auto"/>
        <w:tabs>
          <w:tab w:leader="none" w:pos="12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there is a change in any Member’s Percentage Interests during any Fiscal Year, the principles of Code Section 706(d) shall apply in allocating items of income, gain, loss, deduction and credit for such Fiscal Year to account for the variation. For purposes of applying Code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706(d), the Managing Member may adopt any method or convention permitted under applicable Treasury Regulations.</w:t>
      </w:r>
    </w:p>
    <w:p>
      <w:pPr>
        <w:spacing w:after="0" w:line="202" w:lineRule="exact"/>
        <w:rPr>
          <w:rFonts w:ascii="Times New Roman" w:cs="Times New Roman" w:eastAsia="Times New Roman" w:hAnsi="Times New Roman"/>
          <w:sz w:val="18"/>
          <w:szCs w:val="18"/>
          <w:color w:val="auto"/>
        </w:rPr>
      </w:pPr>
    </w:p>
    <w:p>
      <w:pPr>
        <w:jc w:val="both"/>
        <w:ind w:right="80" w:firstLine="990"/>
        <w:spacing w:after="0" w:line="263" w:lineRule="auto"/>
        <w:tabs>
          <w:tab w:leader="none" w:pos="11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Allocations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solely for purposes of U.S. federal, state and local taxes and shall not affect, or in any way be taken into account in computing, any Member’s Capital Account or share of Net Profits, Net Losses, Distributions or other Company items pursuant to any provision of this Agreement.</w:t>
      </w:r>
    </w:p>
    <w:p>
      <w:pPr>
        <w:spacing w:after="0" w:line="171"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Indemnification and Reimbursement for Payments on Behalf of a Member</w:t>
      </w:r>
      <w:r>
        <w:rPr>
          <w:rFonts w:ascii="Times New Roman" w:cs="Times New Roman" w:eastAsia="Times New Roman" w:hAnsi="Times New Roman"/>
          <w:sz w:val="18"/>
          <w:szCs w:val="18"/>
          <w:color w:val="auto"/>
        </w:rPr>
        <w:t>. If the Company is obligated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to a Governmental Entity (or otherwise makes a payment to a Governmental Entity) that is specifically attributable to a Member (or former Member) or a Member’s (or former Member’s) status as such (including, without limitation, U.S. federal withholding taxes, any imputed underpayment as determined under Code Section 6225, state personal property taxes, and state unincorporated business taxes), but not including any such amounts attributable to a Member’s (or former Member’s) status as an employee of the Company or its Subsidiaries, then such Person shall indemnify the Company in full for the entire amount paid (including interest, penalties and related expenses). The Managing Member may offset Distributions to which a Person is otherwise entitled under this Agreement against such Person’s obligation to indemnify the Company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 Member’s obligation to indemnify the Company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shall survive the termination, dissolution, liquidation and winding up of the Company and the termination of such Member’s interest, and for purposes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Company shall be treated as continuing in existence. The Company may pursue and enforce all rights and remedies it may have against each Member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including instituting a lawsuit to collect such contribution with interest calculated at a rate equal to the Base Rate plus three (3) percentage points per annum (but not in excess of the highest rate per annum permitted by law).</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Records and Accounting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0"/>
        <w:spacing w:after="0" w:line="278" w:lineRule="auto"/>
        <w:tabs>
          <w:tab w:leader="none" w:pos="122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appropriate books and records with respect to the Company’s business, including all books and records necessary to provide any information, lists and copies of documents required to be provided pursuant to applicable laws.</w:t>
      </w:r>
    </w:p>
    <w:p>
      <w:pPr>
        <w:spacing w:after="0" w:line="162" w:lineRule="exact"/>
        <w:rPr>
          <w:rFonts w:ascii="Times New Roman" w:cs="Times New Roman" w:eastAsia="Times New Roman" w:hAnsi="Times New Roman"/>
          <w:sz w:val="18"/>
          <w:szCs w:val="18"/>
          <w:color w:val="auto"/>
        </w:rPr>
      </w:pPr>
    </w:p>
    <w:p>
      <w:pPr>
        <w:ind w:right="80" w:firstLine="990"/>
        <w:spacing w:after="0" w:line="263" w:lineRule="auto"/>
        <w:tabs>
          <w:tab w:leader="none" w:pos="123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limited by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each Member shall have the right to inspect at the offices of the Company, for a purpose reasonably related to such Member’s interest as a Member in the Company, upon reasonable written demand stating the purpose of such demand and at such Member’s own expense: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80"/>
          </w:cols>
          <w:pgMar w:left="480" w:top="268" w:right="539" w:bottom="1440" w:gutter="0" w:footer="0" w:header="0"/>
        </w:sectPr>
      </w:pPr>
    </w:p>
    <w:bookmarkStart w:id="144" w:name="page145"/>
    <w:bookmarkEnd w:id="144"/>
    <w:p>
      <w:pPr>
        <w:ind w:left="1600" w:hanging="213"/>
        <w:spacing w:after="0"/>
        <w:tabs>
          <w:tab w:leader="none" w:pos="16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copy of the Certificate and this Agreement and all amendments thereto; and</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their becoming available, copies of the Company’s U.S. federal income tax returns for the three most recent years.</w:t>
      </w:r>
    </w:p>
    <w:p>
      <w:pPr>
        <w:spacing w:after="0" w:line="232" w:lineRule="exact"/>
        <w:rPr>
          <w:rFonts w:ascii="Times New Roman" w:cs="Times New Roman" w:eastAsia="Times New Roman" w:hAnsi="Times New Roman"/>
          <w:sz w:val="17"/>
          <w:szCs w:val="17"/>
          <w:color w:val="auto"/>
        </w:rPr>
      </w:pPr>
    </w:p>
    <w:p>
      <w:pPr>
        <w:ind w:firstLine="990"/>
        <w:spacing w:after="0" w:line="253" w:lineRule="auto"/>
        <w:tabs>
          <w:tab w:leader="none" w:pos="122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information as to the Common Units held by any other Member. With respect to any schedules, annexes or exhibits to this Agreement, each Member (other than Bakkt Pubco) shall only be entitled to receive and review any such schedules, annexes and exhibits relating to such Member and shall not be entitled to receive or review any schedules, annexes or exhibits relating to any other Member (other than Bakkt Pubco).</w:t>
      </w:r>
    </w:p>
    <w:p>
      <w:pPr>
        <w:spacing w:after="0" w:line="180" w:lineRule="exact"/>
        <w:rPr>
          <w:sz w:val="20"/>
          <w:szCs w:val="20"/>
          <w:color w:val="auto"/>
        </w:rPr>
      </w:pPr>
    </w:p>
    <w:p>
      <w:pPr>
        <w:ind w:right="34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Transmission of Communications</w:t>
      </w:r>
      <w:r>
        <w:rPr>
          <w:rFonts w:ascii="Times New Roman" w:cs="Times New Roman" w:eastAsia="Times New Roman" w:hAnsi="Times New Roman"/>
          <w:sz w:val="18"/>
          <w:szCs w:val="18"/>
          <w:color w:val="auto"/>
        </w:rPr>
        <w:t>. Each Person that owns or Controls Units on behalf of, or for the benefit of,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Persons shall be responsible for conveying any report, notice or other communication received from the Managing Member to such other Person or Persons.</w:t>
      </w:r>
    </w:p>
    <w:p>
      <w:pPr>
        <w:spacing w:after="0" w:line="170" w:lineRule="exact"/>
        <w:rPr>
          <w:sz w:val="20"/>
          <w:szCs w:val="20"/>
          <w:color w:val="auto"/>
        </w:rPr>
      </w:pPr>
    </w:p>
    <w:p>
      <w:pPr>
        <w:ind w:right="28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Governmental Consents and Filings</w:t>
      </w:r>
      <w:r>
        <w:rPr>
          <w:rFonts w:ascii="Times New Roman" w:cs="Times New Roman" w:eastAsia="Times New Roman" w:hAnsi="Times New Roman"/>
          <w:sz w:val="18"/>
          <w:szCs w:val="18"/>
          <w:color w:val="auto"/>
        </w:rPr>
        <w:t>. Each Member hereby represents and warrants that no consent, approval, order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or registration, qualification, designation, declaration or filing with, any federal, state or local governmental authority or regulatory authority is required on the part of the Member in connection with the consummation of the transactions contemplated by this Agreement or to hold Units.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Authority of the Managing Member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4" w:lineRule="auto"/>
        <w:tabs>
          <w:tab w:leader="none" w:pos="122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shall conduct, direct and exercise full control over all activities of the Company. All management powers over the business and affairs of the Company shall be vested in the Managing Member. The Managing Member shall have the power to bind or take any action on behalf of the Company, or to exercise in its sole discretion any rights and powers (including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or by virtue of its holding the equity interests of any Subsidiary thereof.</w:t>
      </w:r>
    </w:p>
    <w:p>
      <w:pPr>
        <w:spacing w:after="0" w:line="183" w:lineRule="exact"/>
        <w:rPr>
          <w:rFonts w:ascii="Times New Roman" w:cs="Times New Roman" w:eastAsia="Times New Roman" w:hAnsi="Times New Roman"/>
          <w:sz w:val="18"/>
          <w:szCs w:val="18"/>
          <w:color w:val="auto"/>
        </w:rPr>
      </w:pPr>
    </w:p>
    <w:p>
      <w:pPr>
        <w:ind w:right="20" w:firstLine="990"/>
        <w:spacing w:after="0" w:line="278" w:lineRule="auto"/>
        <w:tabs>
          <w:tab w:leader="none" w:pos="12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in connection with the performance of its duties as the Managing Member of the Company under this Agreement, the Members and the Managing Member acknowledge that the Managing Member will take action</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60"/>
          </w:cols>
          <w:pgMar w:left="480" w:top="268" w:right="559" w:bottom="1440" w:gutter="0" w:footer="0" w:header="0"/>
        </w:sectPr>
      </w:pPr>
    </w:p>
    <w:bookmarkStart w:id="145" w:name="page146"/>
    <w:bookmarkEnd w:id="14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through the Bakkt Pubco Board and the officers of Bakkt Pubco, and that the members of the Bakkt Pubco Board and such officers of Bakkt Pubco will owe fiduciary duties to the stockholders of the Bakkt Pubco in respect of any such actions taken or omitted in connection with the performance of the Managing Member’s duties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in the foregoing shall abrogate or diminish the rights of the Holders of Common Units under this Agreement or applicable law.</w:t>
      </w:r>
    </w:p>
    <w:p>
      <w:pPr>
        <w:spacing w:after="0" w:line="180" w:lineRule="exact"/>
        <w:rPr>
          <w:sz w:val="20"/>
          <w:szCs w:val="20"/>
          <w:color w:val="auto"/>
        </w:rPr>
      </w:pPr>
    </w:p>
    <w:p>
      <w:pPr>
        <w:ind w:right="120" w:firstLine="990"/>
        <w:spacing w:after="0" w:line="308" w:lineRule="auto"/>
        <w:tabs>
          <w:tab w:leader="none" w:pos="122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foregoing provisions of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the Managing Member shall have the general power to manage or cause the management of the Company (which may be delegated to officers of the Company) to, directly or indirectly, undertake any of the following:</w:t>
      </w:r>
    </w:p>
    <w:p>
      <w:pPr>
        <w:spacing w:after="0" w:line="33" w:lineRule="exact"/>
        <w:rPr>
          <w:rFonts w:ascii="Times New Roman" w:cs="Times New Roman" w:eastAsia="Times New Roman" w:hAnsi="Times New Roman"/>
          <w:sz w:val="17"/>
          <w:szCs w:val="17"/>
          <w:color w:val="auto"/>
        </w:rPr>
      </w:pPr>
    </w:p>
    <w:p>
      <w:pPr>
        <w:ind w:left="1600" w:hanging="213"/>
        <w:spacing w:after="0"/>
        <w:tabs>
          <w:tab w:leader="none" w:pos="16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and prepare a business plan each year which will set forth the operating goals and plans for the Company;</w:t>
      </w:r>
    </w:p>
    <w:p>
      <w:pPr>
        <w:spacing w:after="0" w:line="113" w:lineRule="exact"/>
        <w:rPr>
          <w:rFonts w:ascii="Times New Roman" w:cs="Times New Roman" w:eastAsia="Times New Roman" w:hAnsi="Times New Roman"/>
          <w:sz w:val="18"/>
          <w:szCs w:val="18"/>
          <w:color w:val="auto"/>
        </w:rPr>
      </w:pPr>
    </w:p>
    <w:p>
      <w:pPr>
        <w:ind w:left="980" w:right="100" w:firstLine="407"/>
        <w:spacing w:after="0" w:line="278" w:lineRule="auto"/>
        <w:tabs>
          <w:tab w:leader="none" w:pos="163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or to authorize the execution and delivery of contracts, deeds, leases, licenses, instruments of transfer and other documents on behalf of the Company;</w:t>
      </w:r>
    </w:p>
    <w:p>
      <w:pPr>
        <w:spacing w:after="0" w:line="55" w:lineRule="exact"/>
        <w:rPr>
          <w:rFonts w:ascii="Times New Roman" w:cs="Times New Roman" w:eastAsia="Times New Roman" w:hAnsi="Times New Roman"/>
          <w:sz w:val="18"/>
          <w:szCs w:val="18"/>
          <w:color w:val="auto"/>
        </w:rPr>
      </w:pPr>
    </w:p>
    <w:p>
      <w:pPr>
        <w:ind w:left="980" w:right="220" w:firstLine="407"/>
        <w:spacing w:after="0" w:line="278" w:lineRule="auto"/>
        <w:tabs>
          <w:tab w:leader="none" w:pos="168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55"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enforce limits of authority and internal controls with respect to all personnel and functions;</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attorneys, consultants and accountants for the Company;</w:t>
      </w:r>
    </w:p>
    <w:p>
      <w:pPr>
        <w:spacing w:after="0" w:line="113"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or cause to be developed accounting procedures for the maintenance of the Company’s books of account; and</w:t>
      </w:r>
    </w:p>
    <w:p>
      <w:pPr>
        <w:spacing w:after="0" w:line="113" w:lineRule="exact"/>
        <w:rPr>
          <w:rFonts w:ascii="Times New Roman" w:cs="Times New Roman" w:eastAsia="Times New Roman" w:hAnsi="Times New Roman"/>
          <w:sz w:val="18"/>
          <w:szCs w:val="18"/>
          <w:color w:val="auto"/>
        </w:rPr>
      </w:pPr>
    </w:p>
    <w:p>
      <w:pPr>
        <w:ind w:left="1740" w:hanging="353"/>
        <w:spacing w:after="0"/>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such other acts as shall be authorized in this Agreement.</w:t>
      </w:r>
    </w:p>
    <w:p>
      <w:pPr>
        <w:spacing w:after="0" w:line="217" w:lineRule="exact"/>
        <w:rPr>
          <w:sz w:val="20"/>
          <w:szCs w:val="20"/>
          <w:color w:val="auto"/>
        </w:rPr>
      </w:pPr>
    </w:p>
    <w:p>
      <w:pPr>
        <w:ind w:right="7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Actions of the Managing Member</w:t>
      </w:r>
      <w:r>
        <w:rPr>
          <w:rFonts w:ascii="Times New Roman" w:cs="Times New Roman" w:eastAsia="Times New Roman" w:hAnsi="Times New Roman"/>
          <w:sz w:val="18"/>
          <w:szCs w:val="18"/>
          <w:color w:val="auto"/>
        </w:rPr>
        <w:t>. The Managing Member may act (a) through meetings and written consents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 through any Person or Persons to whom authority and duties have been delegated pursuant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The Managing Member shall not be entitled to any compensation for services rendered to the Company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Managing Member except as expressly provided in this Agreement.</w:t>
      </w:r>
    </w:p>
    <w:p>
      <w:pPr>
        <w:spacing w:after="0" w:line="156"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Members acknowledge and agree that the Managing Member’s Class A Common Stock will be publicly 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therefore the Managing Member will have access to the public capital markets and that such status and the services performed by the Managing Member will inure to the benefit of the Company and all Members; therefore, the Managing Member shall be reimbursed by the Company for any reasonable out-of-pocket expenses incurred on behalf of or for the benefit of the Company, including all fees, expenses and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80"/>
          </w:cols>
          <w:pgMar w:left="480" w:top="268" w:right="539" w:bottom="1440" w:gutter="0" w:footer="0" w:header="0"/>
        </w:sectPr>
      </w:pPr>
    </w:p>
    <w:bookmarkStart w:id="146" w:name="page147"/>
    <w:bookmarkEnd w:id="146"/>
    <w:p>
      <w:pPr>
        <w:ind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costs associated with being a public company (including public reporting obligations, proxy statements, stockholder meetings, compensation and meeting costs of any board of directors or similar body, any salary, bonus, incentive compensation and other amounts paid to any Person including Affiliates of the Managing Member to perform services for the Company, stock exchange fees, transfer agent fees, SEC and FINRA filing fees and offering expenses, litigation costs and damages arising from litigation and accounting and legal costs) and maintaining its corporate existence. To the extent practicable, expenses incurred by the Managing Member on behalf of or for the benefit of the Company shall be billed directly to and paid by the Company. Notwithstanding the foregoing, the Company shall not pay or bear any Income Tax obligations of the Managing Member or any obligations of the Managing Member under the Tax Receivable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nothing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reduce the amount of any Tax Distribution to which the Managing Member is entitled pursuant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Reimbursements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in addition to any reimbursement to Bakkt Pubco as a result of indemnification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color w:val="auto"/>
        </w:rPr>
        <w:t>. The Managing Member may, from time to time, delegate to one or more Persons such authority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duties as the Managing Member may deem advisable. In addition, the Managing Member may assign titles (including, without limitation, chief executive officer, president, principal, vice president, secretary, assistant secretary, treasurer or assistant treasurer) and delegate certain authority and duties to such Persons as the same may be amended, restated or otherwise modified from time to time. Any number of titles may be held by the same individual. The salaries or other compensation, if any, of such agents of the Company shall be fixed from time to time by the Managing Member. Any delegation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may be revoked at any time by the Managing Member in its sole discretion.</w:t>
      </w:r>
    </w:p>
    <w:p>
      <w:pPr>
        <w:spacing w:after="0" w:line="178"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 Managing Member hereby delegates the following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to the following respective officers of the Company:</w:t>
      </w:r>
    </w:p>
    <w:p>
      <w:pPr>
        <w:spacing w:after="0" w:line="160" w:lineRule="exact"/>
        <w:rPr>
          <w:sz w:val="20"/>
          <w:szCs w:val="20"/>
          <w:color w:val="auto"/>
        </w:rPr>
      </w:pPr>
    </w:p>
    <w:p>
      <w:pPr>
        <w:ind w:firstLine="990"/>
        <w:spacing w:after="0" w:line="255" w:lineRule="auto"/>
        <w:tabs>
          <w:tab w:leader="none" w:pos="12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Term of Office</w:t>
      </w:r>
      <w:r>
        <w:rPr>
          <w:rFonts w:ascii="Times New Roman" w:cs="Times New Roman" w:eastAsia="Times New Roman" w:hAnsi="Times New Roman"/>
          <w:sz w:val="18"/>
          <w:szCs w:val="18"/>
          <w:color w:val="auto"/>
        </w:rPr>
        <w:t>. The officers of the Company shall consist of a Chief Executive Officer, a Chief Financial Officer, a Chief Operating Officer and a Secretary, and there may be a Chairperson, a Vice Chairperson, one or more Presidents, one or more Vice Presidents, one or more Assistant Secretaries, a Treasurer (and one or more Assistant Treasurers), and such other officers as may be appointed by the Managing Member. Each of such officers will not be subject to periodic elections by the Managing Member, but will hold office until the earlier of his or her death, resignation, retirement, disqualification or removal from office. Two or more offices may be held by the same Person.</w:t>
      </w:r>
    </w:p>
    <w:p>
      <w:pPr>
        <w:spacing w:after="0" w:line="184" w:lineRule="exact"/>
        <w:rPr>
          <w:rFonts w:ascii="Times New Roman" w:cs="Times New Roman" w:eastAsia="Times New Roman" w:hAnsi="Times New Roman"/>
          <w:sz w:val="18"/>
          <w:szCs w:val="18"/>
          <w:color w:val="auto"/>
        </w:rPr>
      </w:pPr>
    </w:p>
    <w:p>
      <w:pPr>
        <w:ind w:right="280" w:firstLine="990"/>
        <w:spacing w:after="0" w:line="263" w:lineRule="auto"/>
        <w:tabs>
          <w:tab w:leader="none" w:pos="123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elected or appointed by the Managing Member may be removed at any time by the Managing Member, for or without cause. Such removal will be without prejudice to the contract rights pursuant to an employment or other agreement, if any, of the Person so removed. Election or appointment of an officer will not of itself create contract rights.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68" w:right="499" w:bottom="1440" w:gutter="0" w:footer="0" w:header="0"/>
        </w:sectPr>
      </w:pPr>
    </w:p>
    <w:bookmarkStart w:id="147" w:name="page148"/>
    <w:bookmarkEnd w:id="147"/>
    <w:p>
      <w:pPr>
        <w:ind w:right="560" w:firstLine="990"/>
        <w:spacing w:after="0" w:line="278" w:lineRule="auto"/>
        <w:tabs>
          <w:tab w:leader="none" w:pos="12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whenever any vacancy shall occur in any office of any officer by death, resignation, removal, increase in the number of officers of the Company or otherwise, such vacancy shall be filled by the Managing Member.</w:t>
      </w:r>
    </w:p>
    <w:p>
      <w:pPr>
        <w:spacing w:after="0" w:line="162" w:lineRule="exact"/>
        <w:rPr>
          <w:rFonts w:ascii="Times New Roman" w:cs="Times New Roman" w:eastAsia="Times New Roman" w:hAnsi="Times New Roman"/>
          <w:sz w:val="18"/>
          <w:szCs w:val="18"/>
          <w:color w:val="auto"/>
        </w:rPr>
      </w:pPr>
    </w:p>
    <w:p>
      <w:pPr>
        <w:ind w:right="100" w:firstLine="990"/>
        <w:spacing w:after="0" w:line="263" w:lineRule="auto"/>
        <w:tabs>
          <w:tab w:leader="none" w:pos="123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compensation of all officers of the Company shall be determined by the Managing Member and may be altered by the Managing Member or such committee from time to time, except as otherwise provided by contract, and no officer shall be prevented from receiving such compensation by reason of the fact such officer is also a member of the Managing Member.</w:t>
      </w:r>
    </w:p>
    <w:p>
      <w:pPr>
        <w:spacing w:after="0" w:line="175" w:lineRule="exact"/>
        <w:rPr>
          <w:rFonts w:ascii="Times New Roman" w:cs="Times New Roman" w:eastAsia="Times New Roman" w:hAnsi="Times New Roman"/>
          <w:sz w:val="18"/>
          <w:szCs w:val="18"/>
          <w:color w:val="auto"/>
        </w:rPr>
      </w:pPr>
    </w:p>
    <w:p>
      <w:pPr>
        <w:ind w:right="80" w:firstLine="990"/>
        <w:spacing w:after="0" w:line="255" w:lineRule="auto"/>
        <w:tabs>
          <w:tab w:leader="none" w:pos="12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officers of the Company shall have such titles and powers and perform such duties as shall be determined from time to time by the Managing Member and otherwise as shall customarily pertain to such offices. In its sole discretion, the Managing Member may choose not to fill any office for any period as it may deem advisable. All officers and other persons providing services to or for the benefit of the Company shall be subject to the supervision and direction of the Managing Member. No officer of the Company, in its capacity as such, shall be considered a Managing Member of the Company by agreement, as a result of the performance of its duties hereunder or otherwise.</w:t>
      </w:r>
    </w:p>
    <w:p>
      <w:pPr>
        <w:spacing w:after="0" w:line="180" w:lineRule="exact"/>
        <w:rPr>
          <w:sz w:val="20"/>
          <w:szCs w:val="20"/>
          <w:color w:val="auto"/>
        </w:rPr>
      </w:pPr>
    </w:p>
    <w:p>
      <w:pPr>
        <w:jc w:val="both"/>
        <w:ind w:right="10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Purchase of Equity Securities</w:t>
      </w:r>
      <w:r>
        <w:rPr>
          <w:rFonts w:ascii="Times New Roman" w:cs="Times New Roman" w:eastAsia="Times New Roman" w:hAnsi="Times New Roman"/>
          <w:sz w:val="18"/>
          <w:szCs w:val="18"/>
          <w:color w:val="auto"/>
        </w:rPr>
        <w:t>. Subject to the provisions of this Agreement, the Managing Member may cause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or otherwise acquire Equity Securities, or may purchase or otherwise acquire Equity Securities on behalf of the Company. As long as such Equity Securities are owned by or on behalf of the Company, such Equity Securities will not be considered outstanding for any purpose.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0" w:lineRule="auto"/>
        <w:tabs>
          <w:tab w:leader="none" w:pos="12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or in an agreement entered into by such Person and the Company, neither the Managing Member nor any of such Managing Member’s Affiliates shall be liable to the Company or to any Member for any act or omission performed or omitted by such Managing Member in its capacity as the Managing Member pursuant to authority granted to such Person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herein, such limitation of liability shall not apply to the extent the act or omission was attributable to such Person’s gross negligence, willful misconduct or knowing violation of Law or for any present or future breaches of any representations, warranties or covenants by such Person or its Affiliates contained herein or in Other Agreements with the Company. The Managing Member may exercise any of the powers granted to it by this Agreement and perform any of the duties imposed upon it hereunder either directly or by or through its agents, and neither the Managing Member nor any of such Managing Member’s Affiliates shall be responsible for any misconduct or negligence on the part of any such agent appointed by the Managing Member (so long as such agent was selected in good faith and with reasonable care);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limit any responsibility the Managing Member may have as a result of a breach of fiduciary duties to its stockholders in connection with any such action.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thereof to liability to the Company or any Member.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480" w:top="268" w:right="519" w:bottom="1440" w:gutter="0" w:footer="0" w:header="0"/>
        </w:sectPr>
      </w:pPr>
    </w:p>
    <w:bookmarkStart w:id="148" w:name="page149"/>
    <w:bookmarkEnd w:id="148"/>
    <w:p>
      <w:pPr>
        <w:ind w:firstLine="990"/>
        <w:spacing w:after="0" w:line="278" w:lineRule="auto"/>
        <w:tabs>
          <w:tab w:leader="none" w:pos="123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Notwithstanding anything to the contrary herein,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not affect the liability or duties of any officer of the Company or any of its Subsidiaries in his or her capacity as such.</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RIGHTS AND OBLIGATIONS OF MEMBERS</w:t>
      </w:r>
    </w:p>
    <w:p>
      <w:pPr>
        <w:spacing w:after="0" w:line="198" w:lineRule="exact"/>
        <w:rPr>
          <w:sz w:val="20"/>
          <w:szCs w:val="20"/>
          <w:color w:val="auto"/>
        </w:rPr>
      </w:pPr>
    </w:p>
    <w:p>
      <w:pPr>
        <w:ind w:firstLine="982"/>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7.1 </w:t>
      </w:r>
      <w:r>
        <w:rPr>
          <w:rFonts w:ascii="Times New Roman" w:cs="Times New Roman" w:eastAsia="Times New Roman" w:hAnsi="Times New Roman"/>
          <w:sz w:val="17"/>
          <w:szCs w:val="17"/>
          <w:b w:val="1"/>
          <w:bCs w:val="1"/>
          <w:u w:val="single" w:color="auto"/>
          <w:color w:val="auto"/>
        </w:rPr>
        <w:t>Limitation of Liability of Members and Managing Member</w:t>
      </w:r>
      <w:r>
        <w:rPr>
          <w:rFonts w:ascii="Times New Roman" w:cs="Times New Roman" w:eastAsia="Times New Roman" w:hAnsi="Times New Roman"/>
          <w:sz w:val="17"/>
          <w:szCs w:val="17"/>
          <w:color w:val="auto"/>
        </w:rPr>
        <w:t>. Except as provided in this Agreement, in an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entered by such Person and the Company, or in the Delaware Act, the debts, obligations and liabilities of the Company, whether arising in contract, tort or otherwise, shall be solely the debts, obligations and liabilities of the Company and no Member, including the Managing Member, shall be obligated personally for any such debts, obligation or liability solely by reason of being a Member or acting as a Managing Member of the Company or any combination thereof. Except as otherwise provided in this Agreement, a Member’s liability (in its capacity as such) for Company liabilities and Net Losses shall be limited to the payment of its respective Capital Contributions as and when due (which, in accordance with the definition of Capital Contribution, may be deemed to have been made) and other payments as expressly provided by the Agreement. If and to the extent a Member’s Capital Contribution shall be fully paid or deemed paid, such Member shall not, except as required by the express provisions of the Delaware Act regarding repayment of sums wrongfully distributed to Members, be required to make any further contributions;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Member shall be required to return to the Company any Distribution made to it in clear and manifest accounting or similar error. The immediately preceding sentence shall constitute a compromise to which all Members have consented within the meaning of the Delaware Act.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79" w:lineRule="exact"/>
        <w:rPr>
          <w:sz w:val="20"/>
          <w:szCs w:val="20"/>
          <w:color w:val="auto"/>
        </w:rPr>
      </w:pPr>
    </w:p>
    <w:p>
      <w:pPr>
        <w:ind w:right="40" w:firstLine="98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7.2 </w:t>
      </w:r>
      <w:r>
        <w:rPr>
          <w:rFonts w:ascii="Times New Roman" w:cs="Times New Roman" w:eastAsia="Times New Roman" w:hAnsi="Times New Roman"/>
          <w:sz w:val="17"/>
          <w:szCs w:val="17"/>
          <w:b w:val="1"/>
          <w:bCs w:val="1"/>
          <w:u w:val="single" w:color="auto"/>
          <w:color w:val="auto"/>
        </w:rPr>
        <w:t>Lack of Authority</w:t>
      </w:r>
      <w:r>
        <w:rPr>
          <w:rFonts w:ascii="Times New Roman" w:cs="Times New Roman" w:eastAsia="Times New Roman" w:hAnsi="Times New Roman"/>
          <w:sz w:val="17"/>
          <w:szCs w:val="17"/>
          <w:color w:val="auto"/>
        </w:rPr>
        <w:t>. No Member in its capacity as such (other than the Managing Member, in its capacity as such) has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authority or power to act for or on behalf of the Company, to do any act that would be binding on the Company or to make any expenditure on behalf of the Company, and except as expressly provided herein, the Common Units do not confer any rights upon the Members to participate in the affairs of the Company described in this Agreement. The Members hereby consent to the exercise by the Managing Member of the powers conferred on them by law and this Agreement. Except as expressly provided herein (and other than a Member’s voting rights in its capacity as a stockholder of Bakkt Holding, Inc.),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Delaware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by separate agreement with the Company, no Member who is not also the Managing Member (and acting in such capacity)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80"/>
          </w:cols>
          <w:pgMar w:left="480" w:top="268" w:right="539" w:bottom="1440" w:gutter="0" w:footer="0" w:header="0"/>
        </w:sectPr>
      </w:pPr>
    </w:p>
    <w:bookmarkStart w:id="149" w:name="page150"/>
    <w:bookmarkEnd w:id="149"/>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80"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No Right of Partition</w:t>
      </w:r>
      <w:r>
        <w:rPr>
          <w:rFonts w:ascii="Times New Roman" w:cs="Times New Roman" w:eastAsia="Times New Roman" w:hAnsi="Times New Roman"/>
          <w:sz w:val="18"/>
          <w:szCs w:val="18"/>
          <w:color w:val="auto"/>
        </w:rPr>
        <w:t>. No Member shall have the right to seek or obtain partition by court decree or operation of law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property, or the right to own or use particular or individual assets of the Company.</w:t>
      </w:r>
    </w:p>
    <w:p>
      <w:pPr>
        <w:spacing w:after="0" w:line="156"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Members Right to Act</w:t>
      </w:r>
      <w:r>
        <w:rPr>
          <w:rFonts w:ascii="Times New Roman" w:cs="Times New Roman" w:eastAsia="Times New Roman" w:hAnsi="Times New Roman"/>
          <w:sz w:val="18"/>
          <w:szCs w:val="18"/>
          <w:color w:val="auto"/>
        </w:rPr>
        <w:t>. For matters that expressly require the approval of the Members (rather than the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Member on behalf of the Members), any action required or permitted to be taken by the Members pursuant to this Agreement shall be taken if the Required Interest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180"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Outside Activities of the Managing Member</w:t>
      </w:r>
      <w:r>
        <w:rPr>
          <w:rFonts w:ascii="Times New Roman" w:cs="Times New Roman" w:eastAsia="Times New Roman" w:hAnsi="Times New Roman"/>
          <w:sz w:val="18"/>
          <w:szCs w:val="18"/>
          <w:color w:val="auto"/>
        </w:rPr>
        <w:t>. The Managing Member shall not, directly or indirectly, enter into or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business or operations, other than in connection with (a) the ownership, acquisition and disposition of Common Units, (b) the management of the business and affairs of the Company and its Subsidiaries, (c) the operation of Bakkt Pubco as a reporting company with a class (or classes) of securities registered under Section 12 of the U.S. Securities Exchange Act of 1934, and listed on a securities exchange, (d) the offering, sale, syndication, private placement or public offering of stock, bonds, securities or other interests, (e) financing or refinancing of any type related to the Company, its Subsidiaries or their assets or activities, and (f) such activities as are incidental to the foregoing; provided, however, that, except as otherwise provided herein, the net proceeds of any financing raised by Bakkt Pubco pursuant to the preceding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shall be made available to the Company, whether as Capital Contributions, loans or otherwise, as appropriate, and, provided further, that Bakkt Pubco may, in its sole and absolute discretion, from time to time hold or acquire assets in its own name or otherwise other than through the Company and its Subsidiaries so long as Bakkt Pubco takes commercially reasonable measures to ensure that the economic benefits and burdens of such assets are otherwise vested in the Company or its Subsidiaries, through assignment, mortgage loan or otherwise or, if it is not commercially reasonable to vest such economic interests in the Company or any of its Subsidiaries, the Members shall negotiate in good faith to amend this Agreement to reflect such activities and the direct ownership of assets by Bakkt Pubco. Nothing contained herein shall be deemed to prohibit Bakkt Pubco from executing any guarantee of indebtedness of the Company or its Subsidiaries.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480" w:top="268" w:right="519" w:bottom="1440" w:gutter="0" w:footer="0" w:header="0"/>
        </w:sectPr>
      </w:pPr>
    </w:p>
    <w:bookmarkStart w:id="150" w:name="page151"/>
    <w:bookmarkEnd w:id="150"/>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Preparation of Tax Returns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0"/>
        <w:spacing w:after="0" w:line="268" w:lineRule="auto"/>
        <w:tabs>
          <w:tab w:leader="none" w:pos="1225"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arrange for the preparation and timely filing of all Tax Returns required to be filed by the Company. Each Member will, upon request, supply to the Company all pertinent information in its possession relating to the operations of the Company necessary to enable the Company’s Tax Returns to be prepared and filed. The Company will provide copies of each Member’s U.S. federal and applicable state tax Schedule K-1s within one hundred eighty (180) days after the end of each Taxable Year. Upon written request of a Member, the Company will provide within five</w:t>
      </w:r>
    </w:p>
    <w:p>
      <w:pPr>
        <w:spacing w:after="0" w:line="1" w:lineRule="exact"/>
        <w:rPr>
          <w:rFonts w:ascii="Times New Roman" w:cs="Times New Roman" w:eastAsia="Times New Roman" w:hAnsi="Times New Roman"/>
          <w:sz w:val="17"/>
          <w:szCs w:val="17"/>
          <w:color w:val="auto"/>
        </w:rPr>
      </w:pPr>
    </w:p>
    <w:p>
      <w:pPr>
        <w:ind w:right="540" w:firstLine="7"/>
        <w:spacing w:after="0" w:line="274" w:lineRule="auto"/>
        <w:tabs>
          <w:tab w:leader="none" w:pos="252"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(i) estimated amounts to be included on such Member’s federal tax Schedule K-1 for the prior Taxable Year and (ii) a list of jurisdictions where the Company intends to file Tax Returns with respect to Income Taxes for the prior Taxable Year;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not be required to supply such estimated amounts and list of jurisdictions prior to ninety (90) days after the end of a Taxable Year.</w:t>
      </w:r>
    </w:p>
    <w:p>
      <w:pPr>
        <w:spacing w:after="0" w:line="167" w:lineRule="exact"/>
        <w:rPr>
          <w:rFonts w:ascii="Times New Roman" w:cs="Times New Roman" w:eastAsia="Times New Roman" w:hAnsi="Times New Roman"/>
          <w:sz w:val="17"/>
          <w:szCs w:val="17"/>
          <w:color w:val="auto"/>
        </w:rPr>
      </w:pPr>
    </w:p>
    <w:p>
      <w:pPr>
        <w:ind w:right="100" w:firstLine="990"/>
        <w:spacing w:after="0" w:line="254" w:lineRule="auto"/>
        <w:tabs>
          <w:tab w:leader="none" w:pos="123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taxable period during which ICE owns more than twenty-percent (20%) of the Common Units, the Managing Member shall provide to ICE a draft of any U.S. federal and other material Flow-Through Tax Return of the Company or any of its Subsidiaries for any Taxable Year beginning after December 31, 2019 (together with all supporting documentation) for its review and reasonable comment no later than fifteen (15) days prior to the date on which copies of each Member’s U.S. federal and applicable state tax Schedule K-1s are to be delivered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and the Managing Member shall consider in good faith all reasonable comments received from ICE with respect thereto and shall not cause such Tax Return to be filed without the consent of ICE, such consent not to be unreasonably withheld, conditioned or delayed.</w:t>
      </w:r>
    </w:p>
    <w:p>
      <w:pPr>
        <w:spacing w:after="0" w:line="180"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Tax Elections</w:t>
      </w:r>
      <w:r>
        <w:rPr>
          <w:rFonts w:ascii="Times New Roman" w:cs="Times New Roman" w:eastAsia="Times New Roman" w:hAnsi="Times New Roman"/>
          <w:sz w:val="18"/>
          <w:szCs w:val="18"/>
          <w:color w:val="auto"/>
        </w:rPr>
        <w:t>. The Taxable Year shall be the Fiscal Year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unless the Managing Member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otherwise in its sole discretion and in compliance with applicable laws. Except as otherwise expressly provided in this Agreement, the Managing Member shall, in its sole discretion, determine whether to make or revoke any available election pursuant to the Code; provided the Managing Member shall cause the Company to make an election pursuant to Code Section 754 for the taxable year that includes the date hereof. Each Member will upon request supply any information necessary to give proper effect to any such election.</w:t>
      </w:r>
    </w:p>
    <w:p>
      <w:pPr>
        <w:spacing w:after="0" w:line="180"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Tax Classifications</w:t>
      </w:r>
      <w:r>
        <w:rPr>
          <w:rFonts w:ascii="Times New Roman" w:cs="Times New Roman" w:eastAsia="Times New Roman" w:hAnsi="Times New Roman"/>
          <w:sz w:val="18"/>
          <w:szCs w:val="18"/>
          <w:color w:val="auto"/>
        </w:rPr>
        <w:t>. The Company shall be classified as a partnership for U.S. federal income tax purposes. Each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that it shall not: (a) treat, on such Member’s individual income Tax Returns, any item of income, gain, loss, deduction or credit relating to such Member’s interest in the Company in a manner inconsistent with the treatment of such item by the Company as reflected on the Schedule K-1 or other information statement furnished by the Company to such Member for use in preparing its income Tax Return;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event a Member has in place, or otherwise adopts, mark-to-market accounting, such accounting methodology shall not be deemed to be inconsistent with the treatment of such item by the Company as reflected on the Schedule K-1 or other information statement furnished by the Company to such Members; or (b) file any claim for refund relating to any such item based on, or which would result in, such inconsistent treatment.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80" w:top="264" w:right="499" w:bottom="1440" w:gutter="0" w:footer="0" w:header="0"/>
        </w:sectPr>
      </w:pPr>
    </w:p>
    <w:bookmarkStart w:id="151" w:name="page152"/>
    <w:bookmarkEnd w:id="151"/>
    <w:p>
      <w:pPr>
        <w:ind w:lef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8.4 </w:t>
      </w:r>
      <w:r>
        <w:rPr>
          <w:rFonts w:ascii="Times New Roman" w:cs="Times New Roman" w:eastAsia="Times New Roman" w:hAnsi="Times New Roman"/>
          <w:sz w:val="18"/>
          <w:szCs w:val="18"/>
          <w:b w:val="1"/>
          <w:bCs w:val="1"/>
          <w:u w:val="single" w:color="auto"/>
          <w:color w:val="auto"/>
        </w:rPr>
        <w:t>Tax Controversies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90"/>
        <w:spacing w:after="0" w:line="249" w:lineRule="auto"/>
        <w:tabs>
          <w:tab w:leader="none" w:pos="12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ICE is hereby designated the Partnership Representative of the Company with respect to all Taxable Years ending on or prior to December 31, 2020, and Bakkt Pubco is hereby designated the Partnership Representative of the Company with respect to all Taxable Years beginning after December 31, 2020. In such capacity, the Partnership Representative is hereby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Each Member agrees to be bound by the decisions and elections made by the Partnership Representative with respect to such examinations, controversies or administrative or judicial proceedings. Each Member and former Member shall provide such information as shall reasonably be requested by the Partnership Representative in order to reduce the amount of the Company’s liability for any imputed underpayment in accordance with the procedures under Code Section 6225(c). The Partnership Representative shall keep the Managing Member or ICE, as applicable, fully informed of the progress of any examinations, audits or other proceedings, it being agreed that no Holder of Units (other than Bakkt Pubco and ICE) shall have any right to participate in any such examinations, audits or other proceedings. If an audit results in an imputed underpayment by the Company as determined under Code Section 6225, the Partnership Representative may make the election under Code Section 6226(a). If such an election is made, the Company shall furnish to each Member for the year under audit a statement reflecting the Member’s or former Member’s share of the adjusted items as determined in the notice of final partnership adjustment, and each such Member shall take such adjustment into account as required under Code Section 6226(b) and shall be liable for any related interest, penalty, addition to tax or additional amount. If such an election is not made, each person that was a Member of the Company during the taxable period to which such liability relates will indemnify and hold harmless the Company for such person’s allocable share of the amount of such tax liability, including any interest and penalties associated therewith, as reasonably determined by the Partnership Representative,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Company shall reimburse and indemnify the Partnership Representative for any expenses, including reasonable legal and accounting fees, claims, liabilities, losses and damages that the Partnership Representative incurs in connection with its obligations as the Partnership Representative. For the avoidance of doubt, any former Member’s obligation to provide information to the Partnership Representative pursuant to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survive the termination of such Member’s interest.</w:t>
      </w:r>
    </w:p>
    <w:p>
      <w:pPr>
        <w:spacing w:after="0" w:line="197" w:lineRule="exact"/>
        <w:rPr>
          <w:rFonts w:ascii="Times New Roman" w:cs="Times New Roman" w:eastAsia="Times New Roman" w:hAnsi="Times New Roman"/>
          <w:sz w:val="18"/>
          <w:szCs w:val="18"/>
          <w:color w:val="auto"/>
        </w:rPr>
      </w:pPr>
    </w:p>
    <w:p>
      <w:pPr>
        <w:ind w:left="-20" w:right="20" w:firstLine="990"/>
        <w:spacing w:after="0" w:line="258" w:lineRule="auto"/>
        <w:tabs>
          <w:tab w:leader="none" w:pos="12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shall promptly notify ICE in writing of the receipt of any written proposed assessment or the commencement of any Tax audit, demand, claim or administrative or judicial proceeding that relates to the Taxes of, or Tax Returns required to be filed by, the Company or any of its Subsidiaries (a “</w:t>
      </w:r>
      <w:r>
        <w:rPr>
          <w:rFonts w:ascii="Times New Roman" w:cs="Times New Roman" w:eastAsia="Times New Roman" w:hAnsi="Times New Roman"/>
          <w:sz w:val="18"/>
          <w:szCs w:val="18"/>
          <w:b w:val="1"/>
          <w:bCs w:val="1"/>
          <w:i w:val="1"/>
          <w:iCs w:val="1"/>
          <w:color w:val="auto"/>
        </w:rPr>
        <w:t>Contest</w:t>
      </w:r>
      <w:r>
        <w:rPr>
          <w:rFonts w:ascii="Times New Roman" w:cs="Times New Roman" w:eastAsia="Times New Roman" w:hAnsi="Times New Roman"/>
          <w:sz w:val="18"/>
          <w:szCs w:val="18"/>
          <w:color w:val="auto"/>
        </w:rPr>
        <w:t>”), if such Contest relates to a taxable period beginning on or prior to the date hereof. ICE shall have the right, at the Company’s cost and expense (to the extent such costs and expenses are reasonable), to elect to control the conduct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0"/>
          </w:cols>
          <w:pgMar w:left="500" w:top="264" w:right="499" w:bottom="1440" w:gutter="0" w:footer="0" w:header="0"/>
        </w:sectPr>
      </w:pPr>
    </w:p>
    <w:bookmarkStart w:id="152" w:name="page153"/>
    <w:bookmarkEnd w:id="15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 such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ICE shall elect to control such Contest within thirty (30) days of receipt of notice thereof; (ii) if ICE elects to control such Contest, the Managing Member shall be entitled to participate (at the Company’s expense) in such Contest; and (iii) ICE shall not settle such Contest without first obtaining the Managing Member’s prior written consent (which consent shall not be unreasonably withheld, delayed or conditioned). Notwithstanding anything in this Agreement to the contrary, the Managing Member shall have the exclusive right to control any Contest that ICE elects not to control or fails to elect to control within the time period set forth in </w:t>
      </w:r>
      <w:r>
        <w:rPr>
          <w:rFonts w:ascii="Times New Roman" w:cs="Times New Roman" w:eastAsia="Times New Roman" w:hAnsi="Times New Roman"/>
          <w:sz w:val="18"/>
          <w:szCs w:val="18"/>
          <w:u w:val="single" w:color="auto"/>
          <w:color w:val="auto"/>
        </w:rPr>
        <w:t>Section 8.4(b)(i)</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40" w:firstLine="982"/>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8.5 </w:t>
      </w:r>
      <w:r>
        <w:rPr>
          <w:rFonts w:ascii="Times New Roman" w:cs="Times New Roman" w:eastAsia="Times New Roman" w:hAnsi="Times New Roman"/>
          <w:sz w:val="17"/>
          <w:szCs w:val="17"/>
          <w:b w:val="1"/>
          <w:bCs w:val="1"/>
          <w:u w:val="single" w:color="auto"/>
          <w:color w:val="auto"/>
        </w:rPr>
        <w:t>Certain Actions</w:t>
      </w:r>
      <w:r>
        <w:rPr>
          <w:rFonts w:ascii="Times New Roman" w:cs="Times New Roman" w:eastAsia="Times New Roman" w:hAnsi="Times New Roman"/>
          <w:sz w:val="17"/>
          <w:szCs w:val="17"/>
          <w:color w:val="auto"/>
        </w:rPr>
        <w:t>. Notwithstanding anything to the contrary in this Agreement, none of Bakkt Pubco or any of its Affiliates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Company and its Subsidiaries) shall, without the prior written consent of ICE, (i) make, change or revoke any Tax election (other an election under Code Section 754) affecting a taxable period (or portion thereof) of the Company or its Subsidiaries ending on or before the date hereof,</w:t>
      </w:r>
    </w:p>
    <w:p>
      <w:pPr>
        <w:ind w:right="20" w:firstLine="7"/>
        <w:spacing w:after="0" w:line="249" w:lineRule="auto"/>
        <w:tabs>
          <w:tab w:leader="none" w:pos="26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refile or otherwise modify (or grant an extension of any applicable statute of limitations with respect to) any Tax Return of the Company or its Subsidiaries relating to a taxable period (or portion thereof) ending on or before the date hereof, (iii) file or request any ruling with respect to Taxes or Tax Returns of the Company or its Subsidiaries, or enter into any voluntary disclosure with any Governmental Entity regarding any Tax or Tax Returns of the Company or its Subsidiaries, in each case relating to a taxable period (or portion thereof) ending on or before the date hereof or (iv) take any action that results in any increased Tax liability or reduction of any Tax attributes of any Member in respect of a taxable period ending on or before the date hereof.</w:t>
      </w:r>
    </w:p>
    <w:p>
      <w:pPr>
        <w:spacing w:after="0" w:line="187" w:lineRule="exact"/>
        <w:rPr>
          <w:sz w:val="20"/>
          <w:szCs w:val="20"/>
          <w:color w:val="auto"/>
        </w:rPr>
      </w:pPr>
    </w:p>
    <w:p>
      <w:pPr>
        <w:ind w:right="1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Merger Agreement Conflicts</w:t>
      </w:r>
      <w:r>
        <w:rPr>
          <w:rFonts w:ascii="Times New Roman" w:cs="Times New Roman" w:eastAsia="Times New Roman" w:hAnsi="Times New Roman"/>
          <w:sz w:val="18"/>
          <w:szCs w:val="18"/>
          <w:color w:val="auto"/>
        </w:rPr>
        <w:t>. For the avoidance of doubt, to the extent there is any inconsistency between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provisions of Section 6.1 of the Merger Agreement, the provisions of Section 6.1 of the Merger Agreement shall control.</w:t>
      </w: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 ON TRANSFER OF UNITS; CERTAIN TRANSFERS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Transfers by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68" w:lineRule="auto"/>
        <w:tabs>
          <w:tab w:leader="none" w:pos="122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agreed to in writing between the Managing Member and the applicable Member and reflected in the books and records of the Company or as otherwise provided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and Article III of the Stockholders Agreement, no Member or Assignee thereof may Transfer all or any portion of its Common Units or other interest in the Company (or beneficial interest therein) without the prior consent of the Managing Member, which consent may be given or withheld, or made subject to such conditions (including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 Member’s sole discretion in respect of Common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Common Units that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20"/>
          </w:cols>
          <w:pgMar w:left="480" w:top="266" w:right="599" w:bottom="1440" w:gutter="0" w:footer="0" w:header="0"/>
        </w:sectPr>
      </w:pPr>
    </w:p>
    <w:bookmarkStart w:id="153" w:name="page154"/>
    <w:bookmarkEnd w:id="15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 not in accordance with, or subsequently violates, this Agreement or Article III of the Stockholders Agreement shall be, to the fullest extent permitted by law, null and void. If a Member transfers all or a portion of its Common Units or other interest in the Company to a transferee in compliance with each of this Agreement and the Stockholders Agreement, the Member shall cause the transfer of an equal number of shares of Class V Common Stock to such transferee upon its admittance to the Company as a Member.</w:t>
      </w:r>
    </w:p>
    <w:p>
      <w:pPr>
        <w:spacing w:after="0" w:line="180" w:lineRule="exact"/>
        <w:rPr>
          <w:sz w:val="20"/>
          <w:szCs w:val="20"/>
          <w:color w:val="auto"/>
        </w:rPr>
      </w:pPr>
    </w:p>
    <w:p>
      <w:pPr>
        <w:ind w:firstLine="990"/>
        <w:spacing w:after="0" w:line="255" w:lineRule="auto"/>
        <w:tabs>
          <w:tab w:leader="none" w:pos="12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otherwise to the contrary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each Member may Transfer Common Units in an Exchange pursuant to, and in accordance with,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such policies conflict with the terms of the Exchange Agreement, the provisions of the Exchange Agreement shall apply in lieu thereof to any Exchange to the extent of such conflict.</w:t>
      </w:r>
    </w:p>
    <w:p>
      <w:pPr>
        <w:spacing w:after="0" w:line="184" w:lineRule="exact"/>
        <w:rPr>
          <w:rFonts w:ascii="Times New Roman" w:cs="Times New Roman" w:eastAsia="Times New Roman" w:hAnsi="Times New Roman"/>
          <w:sz w:val="18"/>
          <w:szCs w:val="18"/>
          <w:color w:val="auto"/>
        </w:rPr>
      </w:pPr>
    </w:p>
    <w:p>
      <w:pPr>
        <w:ind w:right="280" w:firstLine="990"/>
        <w:spacing w:after="0" w:line="278" w:lineRule="auto"/>
        <w:tabs>
          <w:tab w:leader="none" w:pos="122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otherwise to the contrary in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but subject to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and Article III of the Stockholders Agreement, (i) an individual Member may Transfer all or any portion of his or her Common Units in a Permitted Transfer and (ii) the Managing Member may implement other policies and procedures to permit the Transfer of Common Units by the other Members for personal estate planning purposes and any such Transfer effected in compliance with such policies and procedures shall require prior written notice to the Managing Member.</w:t>
      </w:r>
    </w:p>
    <w:p>
      <w:pPr>
        <w:spacing w:after="0" w:line="160" w:lineRule="exact"/>
        <w:rPr>
          <w:sz w:val="20"/>
          <w:szCs w:val="20"/>
          <w:color w:val="auto"/>
        </w:rPr>
      </w:pPr>
    </w:p>
    <w:p>
      <w:pPr>
        <w:ind w:right="80"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Market Stand-Off</w:t>
      </w:r>
      <w:r>
        <w:rPr>
          <w:rFonts w:ascii="Times New Roman" w:cs="Times New Roman" w:eastAsia="Times New Roman" w:hAnsi="Times New Roman"/>
          <w:sz w:val="18"/>
          <w:szCs w:val="18"/>
          <w:color w:val="auto"/>
        </w:rPr>
        <w:t>. Notwithstanding anything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contrary, during the period commencing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ending on the six (6) month anniversary of the date hereof (in respect of all other Members and Holders of Units who derive their chain of ownership through a Transfer from such other Member), the Members and all subsequent Holders of Units who derive their chain of ownership through a Transfer from a Member (each an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xml:space="preserve">”) shall not (i) lend, offer, pledge, sell, contract to sell, sell any option or contract to purchase, purchase any option or contract to sell, grant any option, right or warrant to purchase, or otherwise Transfer or dispose of, directly or indirectly, any Common Units, including Common Units issued or delivered after the Closing pursuant to the Merger Agreement, (ii) enter into any swap or other arrangement that transfers to another, in whole or in part, any of the economic consequences of ownership of any Common Units, (iii) establish or increase any put equivalent position or liquidation with respect to, or decrease a call equivalent position within the meaning of Section 15 of the Exchange Act with respect to, any Common Units, (iv) Transfer any Common Units in violation of the Stockholders Agreement (or which would be a violation of the Stockholders Agreement if such Owner were a party thereto in the capacity as a “Bakkt Equity Holder” or a “Permitted Transferee” thereof (each, as defined in the Stockholders Agreement)), or (v) publicly disclose the intention to do any of the foregoing, whether any such transaction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 is to be settled by delivery of Common Units in cash or otherwise. The foregoing sentence shall not apply to the Transfer of any or all of the Common Units owned by a Member in a Permitted Transfer in accordance with each of this Agreement and the Stockholders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it shall be a condition to such Transfer (in addition to any other requirements hereunder) that the transferee executes and delivers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480" w:top="268" w:right="499" w:bottom="1440" w:gutter="0" w:footer="0" w:header="0"/>
        </w:sectPr>
      </w:pPr>
    </w:p>
    <w:bookmarkStart w:id="154" w:name="page155"/>
    <w:bookmarkEnd w:id="154"/>
    <w:p>
      <w:pPr>
        <w:ind w:right="3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to the Company an agreement stating that the transferee is receiving and holding the Common Units subject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Article III of the Stockholders Agreement, and there shall be no further Transfer of such Common Units except in accordance with each of this Agreement and the Stockholders Agreement.</w:t>
      </w:r>
    </w:p>
    <w:p>
      <w:pPr>
        <w:spacing w:after="0" w:line="171" w:lineRule="exact"/>
        <w:rPr>
          <w:sz w:val="20"/>
          <w:szCs w:val="20"/>
          <w:color w:val="auto"/>
        </w:rPr>
      </w:pPr>
    </w:p>
    <w:p>
      <w:pPr>
        <w:ind w:right="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b w:val="1"/>
          <w:bCs w:val="1"/>
          <w:u w:val="single" w:color="auto"/>
          <w:color w:val="auto"/>
        </w:rPr>
        <w:t>Restricted Units Legend</w:t>
      </w:r>
      <w:r>
        <w:rPr>
          <w:rFonts w:ascii="Times New Roman" w:cs="Times New Roman" w:eastAsia="Times New Roman" w:hAnsi="Times New Roman"/>
          <w:sz w:val="18"/>
          <w:szCs w:val="18"/>
          <w:color w:val="auto"/>
        </w:rPr>
        <w:t>. The Units have not been registered under the Securities Act and, therefore, in addition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Transfer contained in this Agreement, cannot be sold unless subsequently registered under the Securities Act or an exemption from such registration is then available. In the event that Units are ever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77" w:lineRule="exact"/>
        <w:rPr>
          <w:sz w:val="20"/>
          <w:szCs w:val="20"/>
          <w:color w:val="auto"/>
        </w:rPr>
      </w:pPr>
    </w:p>
    <w:p>
      <w:pPr>
        <w:ind w:left="980" w:right="980"/>
        <w:spacing w:after="0" w:line="25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MAY NOT BE SOLD OR TRANSFERRED IN THE ABSENCE OF AN EFFECTIVE REGISTRATION STATEMENT UNDER THE ACT OR AN EXEMPTION FROM REGISTRATION THEREUNDER. THE SECURITIES REPRESENTED BY THIS CERTIFICATE ARE ALSO SUBJECT TO ADDITIONAL RESTRICTIONS ON TRANSFER SPECIFIED IN THE THIRD AMENDED AND RESTATED LIMITED LIABILITY COMPANY AGREEMENT OF THE COMPANY, BY AND AMONG THE COMPANY AND ITS MEMBERS AND AS MAY BE AMENDED AND MODIFIED FROM TIME TO TIME. A COPY OF SUCH AGREEMENT IS ON FILE AT THE PRINCIPAL OFFICE OF THE COMPANY. SUCH RESTRICTIONS ARE BINDING ON THE TRANSFEREES OF SUCH UNITS.”</w:t>
      </w:r>
    </w:p>
    <w:p>
      <w:pPr>
        <w:spacing w:after="0" w:line="19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u w:val="single" w:color="auto"/>
          <w:color w:val="auto"/>
        </w:rPr>
        <w:t>Further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71" w:lineRule="auto"/>
        <w:tabs>
          <w:tab w:leader="none" w:pos="122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Units issued from time to time after the date of this Agreement, including Common Units issued under equity incentive plans of the Company or Bakkt Pubco (or upon settlement of awards granted under such plans), may be subject to such additional or other terms and conditions, including with regard to vesting, forfeiture, minimum retained ownership and Transfer, as may be agreed between Bakkt Pubco and the applicable Member and reflected in the books and records of the Company. Such requirements, provisions and restrictions need not be uniform and may be waived or released by Bakkt Pubco in its sole discretion with respect to all or a portion of the Common Units owned by any one or more Members at any time and from time to time, and shall not constitute the breach of any duty hereunder or otherwise existing at law, in equity or otherwise.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480" w:top="268" w:right="539" w:bottom="1440" w:gutter="0" w:footer="0" w:header="0"/>
        </w:sectPr>
      </w:pPr>
    </w:p>
    <w:bookmarkStart w:id="155" w:name="page156"/>
    <w:bookmarkEnd w:id="155"/>
    <w:p>
      <w:pPr>
        <w:ind w:right="120" w:firstLine="990"/>
        <w:spacing w:after="0" w:line="278" w:lineRule="auto"/>
        <w:tabs>
          <w:tab w:leader="none" w:pos="12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 contrary provision in this Agreement, in no event may any Transfer of a Common Unit be made by any Member or Assignee if the Managing Member determines that:</w:t>
      </w:r>
    </w:p>
    <w:p>
      <w:pPr>
        <w:spacing w:after="0" w:line="55"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made to any Person who lacks the legal right, power or capacity to own such Common Unit;</w:t>
      </w:r>
    </w:p>
    <w:p>
      <w:pPr>
        <w:spacing w:after="0" w:line="113" w:lineRule="exact"/>
        <w:rPr>
          <w:rFonts w:ascii="Times New Roman" w:cs="Times New Roman" w:eastAsia="Times New Roman" w:hAnsi="Times New Roman"/>
          <w:sz w:val="18"/>
          <w:szCs w:val="18"/>
          <w:color w:val="auto"/>
        </w:rPr>
      </w:pPr>
    </w:p>
    <w:p>
      <w:pPr>
        <w:ind w:left="980" w:right="180" w:firstLine="407"/>
        <w:spacing w:after="0" w:line="258" w:lineRule="auto"/>
        <w:tabs>
          <w:tab w:leader="none" w:pos="163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an Exchange, such Transfer would require the registration of such transferred Common Unit pursuant to any applicable U.S. federal or state securities laws (including the Securities Act or the Exchange Act) or other non-U.S. securities laws (including Canadian provincial or territorial securities laws) or would constitute a non-exempt distribution pursuant to applicable provincial or state securities laws;</w:t>
      </w:r>
    </w:p>
    <w:p>
      <w:pPr>
        <w:spacing w:after="0" w:line="72" w:lineRule="exact"/>
        <w:rPr>
          <w:rFonts w:ascii="Times New Roman" w:cs="Times New Roman" w:eastAsia="Times New Roman" w:hAnsi="Times New Roman"/>
          <w:sz w:val="18"/>
          <w:szCs w:val="18"/>
          <w:color w:val="auto"/>
        </w:rPr>
      </w:pPr>
    </w:p>
    <w:p>
      <w:pPr>
        <w:jc w:val="both"/>
        <w:ind w:left="980" w:right="60" w:firstLine="407"/>
        <w:spacing w:after="0" w:line="258" w:lineRule="auto"/>
        <w:tabs>
          <w:tab w:leader="none" w:pos="16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cause (A) all or any portion of the assets of the Company to (x) constitute “plan assets” (under ERISA, the Code or any applicable Similar Law) of any existing or contemplated Member, or (y) be subject to the provisions of ERISA, Section 4975 of the Code or any applicable Similar Law, or (B) Bakkt Pubco to become a fiduciary with respect to any existing or contemplated Member, pursuant to ERISA, any applicable Similar Law, or otherwise;</w:t>
      </w:r>
    </w:p>
    <w:p>
      <w:pPr>
        <w:spacing w:after="0" w:line="72" w:lineRule="exact"/>
        <w:rPr>
          <w:rFonts w:ascii="Times New Roman" w:cs="Times New Roman" w:eastAsia="Times New Roman" w:hAnsi="Times New Roman"/>
          <w:sz w:val="18"/>
          <w:szCs w:val="18"/>
          <w:color w:val="auto"/>
        </w:rPr>
      </w:pPr>
    </w:p>
    <w:p>
      <w:pPr>
        <w:ind w:left="980" w:right="100" w:firstLine="407"/>
        <w:spacing w:after="0" w:line="263" w:lineRule="auto"/>
        <w:tabs>
          <w:tab w:leader="none" w:pos="167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the Managing Member, the Company does not receive such legal and/or tax opinions and written instruments (including copies of any instruments of Transfer and such Assignee’s consent to be bound by this Agreement as an Assignee) that are in a form satisfactory to the Managing Member, as determined in the Managing Member’s sole discretion; or</w:t>
      </w:r>
    </w:p>
    <w:p>
      <w:pPr>
        <w:spacing w:after="0" w:line="68" w:lineRule="exact"/>
        <w:rPr>
          <w:rFonts w:ascii="Times New Roman" w:cs="Times New Roman" w:eastAsia="Times New Roman" w:hAnsi="Times New Roman"/>
          <w:sz w:val="18"/>
          <w:szCs w:val="18"/>
          <w:color w:val="auto"/>
        </w:rPr>
      </w:pPr>
    </w:p>
    <w:p>
      <w:pPr>
        <w:ind w:left="980" w:firstLine="407"/>
        <w:spacing w:after="0" w:line="278" w:lineRule="auto"/>
        <w:tabs>
          <w:tab w:leader="none" w:pos="162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reasonably determines that such Transfer would pose a material risk that the Company would be treated as a “publicly traded partnership” within the meaning of Code Section 7704 and the Treasury Regulations promulgated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All determinations with respect to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be made by the Managing Member in its sole discretion.</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To the fullest extent permitted by law, any Transfer in violation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198" w:lineRule="exact"/>
        <w:rPr>
          <w:sz w:val="20"/>
          <w:szCs w:val="20"/>
          <w:color w:val="auto"/>
        </w:rPr>
      </w:pPr>
    </w:p>
    <w:p>
      <w:pPr>
        <w:ind w:right="1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9.5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Prior to Transferring any Units (other than Transfers to the Company), the Transferring Holder of such Units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the prospective transferee to be bound by this Agreement, and any other agreements executed by Holders of Units relating to such Units in the aggregate (including, without limitation, the Stockholders Agreement) (collectively, the “</w:t>
      </w:r>
      <w:r>
        <w:rPr>
          <w:rFonts w:ascii="Times New Roman" w:cs="Times New Roman" w:eastAsia="Times New Roman" w:hAnsi="Times New Roman"/>
          <w:sz w:val="18"/>
          <w:szCs w:val="18"/>
          <w:b w:val="1"/>
          <w:bCs w:val="1"/>
          <w:i w:val="1"/>
          <w:iCs w:val="1"/>
          <w:color w:val="auto"/>
        </w:rPr>
        <w:t>Other Agreements</w:t>
      </w:r>
      <w:r>
        <w:rPr>
          <w:rFonts w:ascii="Times New Roman" w:cs="Times New Roman" w:eastAsia="Times New Roman" w:hAnsi="Times New Roman"/>
          <w:sz w:val="18"/>
          <w:szCs w:val="18"/>
          <w:color w:val="auto"/>
        </w:rPr>
        <w:t>”) and to execute and deliver to the Company and the other Holders of Units counterparts of this Agreement and the applicable Other Agreements.</w:t>
      </w:r>
    </w:p>
    <w:p>
      <w:pPr>
        <w:spacing w:after="0" w:line="176" w:lineRule="exact"/>
        <w:rPr>
          <w:sz w:val="20"/>
          <w:szCs w:val="20"/>
          <w:color w:val="auto"/>
        </w:rPr>
      </w:pPr>
    </w:p>
    <w:p>
      <w:pPr>
        <w:ind w:right="4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9.6 </w:t>
      </w:r>
      <w:r>
        <w:rPr>
          <w:rFonts w:ascii="Times New Roman" w:cs="Times New Roman" w:eastAsia="Times New Roman" w:hAnsi="Times New Roman"/>
          <w:sz w:val="18"/>
          <w:szCs w:val="18"/>
          <w:b w:val="1"/>
          <w:bCs w:val="1"/>
          <w:u w:val="single" w:color="auto"/>
          <w:color w:val="auto"/>
        </w:rPr>
        <w:t>Assignee’s Rights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the transferee in any Permitted Transfer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only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and only will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480" w:top="268" w:right="519" w:bottom="1440" w:gutter="0" w:footer="0" w:header="0"/>
        </w:sectPr>
      </w:pPr>
    </w:p>
    <w:bookmarkStart w:id="156" w:name="page157"/>
    <w:bookmarkEnd w:id="15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receive, to the extent transferred, the distributions and allocations of income, gain, loss, deduction, credit or similar item to which the Member which transferred its Common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Common Units to one or more Assignees until such time as the Assignee(s) is admitted to the Company as a Member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b w:val="1"/>
          <w:bCs w:val="1"/>
          <w:u w:val="single" w:color="auto"/>
          <w:color w:val="auto"/>
        </w:rPr>
        <w:t>Admissions, Resignations and Removals.</w:t>
      </w:r>
    </w:p>
    <w:p>
      <w:pPr>
        <w:spacing w:after="0" w:line="225" w:lineRule="exact"/>
        <w:rPr>
          <w:sz w:val="20"/>
          <w:szCs w:val="20"/>
          <w:color w:val="auto"/>
        </w:rPr>
      </w:pPr>
    </w:p>
    <w:p>
      <w:pPr>
        <w:ind w:right="80" w:firstLine="990"/>
        <w:spacing w:after="0" w:line="274" w:lineRule="auto"/>
        <w:tabs>
          <w:tab w:leader="none" w:pos="122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may be admitted to the Company as an additional Managing Member or a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 The Members shall not have the right to remove or replace Bakkt Pubco or any other Managing Member.</w:t>
      </w:r>
    </w:p>
    <w:p>
      <w:pPr>
        <w:spacing w:after="0" w:line="168" w:lineRule="exact"/>
        <w:rPr>
          <w:rFonts w:ascii="Times New Roman" w:cs="Times New Roman" w:eastAsia="Times New Roman" w:hAnsi="Times New Roman"/>
          <w:sz w:val="17"/>
          <w:szCs w:val="17"/>
          <w:color w:val="auto"/>
        </w:rPr>
      </w:pPr>
    </w:p>
    <w:p>
      <w:pPr>
        <w:ind w:right="60" w:firstLine="990"/>
        <w:spacing w:after="0" w:line="263" w:lineRule="auto"/>
        <w:tabs>
          <w:tab w:leader="none" w:pos="12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will be removed or entitled to resign from being a Member of the Company except in accordance with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Any additional Managing Member or substitute Managing Member admitted as a Managing Member of the Company pursuant to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is hereby authorized to, and shall, continue the Company without dissolution.</w:t>
      </w:r>
    </w:p>
    <w:p>
      <w:pPr>
        <w:spacing w:after="0" w:line="175"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the Delaware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171" w:lineRule="exact"/>
        <w:rPr>
          <w:sz w:val="20"/>
          <w:szCs w:val="20"/>
          <w:color w:val="auto"/>
        </w:rPr>
      </w:pPr>
    </w:p>
    <w:p>
      <w:pPr>
        <w:ind w:right="2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9.8 </w:t>
      </w:r>
      <w:r>
        <w:rPr>
          <w:rFonts w:ascii="Times New Roman" w:cs="Times New Roman" w:eastAsia="Times New Roman" w:hAnsi="Times New Roman"/>
          <w:sz w:val="18"/>
          <w:szCs w:val="18"/>
          <w:b w:val="1"/>
          <w:bCs w:val="1"/>
          <w:u w:val="single" w:color="auto"/>
          <w:color w:val="auto"/>
        </w:rPr>
        <w:t>Admission of Assignees as Substitute Members</w:t>
      </w:r>
      <w:r>
        <w:rPr>
          <w:rFonts w:ascii="Times New Roman" w:cs="Times New Roman" w:eastAsia="Times New Roman" w:hAnsi="Times New Roman"/>
          <w:sz w:val="18"/>
          <w:szCs w:val="18"/>
          <w:color w:val="auto"/>
        </w:rPr>
        <w:t>. An Assignee will become a Substituted Member only if and when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conditions is satisfied:</w:t>
      </w:r>
    </w:p>
    <w:p>
      <w:pPr>
        <w:spacing w:after="0" w:line="160" w:lineRule="exact"/>
        <w:rPr>
          <w:sz w:val="20"/>
          <w:szCs w:val="20"/>
          <w:color w:val="auto"/>
        </w:rPr>
      </w:pPr>
    </w:p>
    <w:p>
      <w:pPr>
        <w:ind w:right="460" w:firstLine="990"/>
        <w:spacing w:after="0" w:line="278" w:lineRule="auto"/>
        <w:tabs>
          <w:tab w:leader="none" w:pos="12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consents in writing to such admission, which consent may be given or withheld, or made subject to such conditions as are determined by the Managing Member, in each case in the Managing Member’s sole discretion;</w:t>
      </w:r>
    </w:p>
    <w:p>
      <w:pPr>
        <w:spacing w:after="0" w:line="162" w:lineRule="exact"/>
        <w:rPr>
          <w:rFonts w:ascii="Times New Roman" w:cs="Times New Roman" w:eastAsia="Times New Roman" w:hAnsi="Times New Roman"/>
          <w:sz w:val="18"/>
          <w:szCs w:val="18"/>
          <w:color w:val="auto"/>
        </w:rPr>
      </w:pPr>
    </w:p>
    <w:p>
      <w:pPr>
        <w:ind w:firstLine="990"/>
        <w:spacing w:after="0" w:line="263"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Managing Member, the Managing Member receives written instruments (including copies of any instruments of Transfer and such Assignee’s consent to be bound by this Agreement as a Substituted Member) that are in a form satisfactory to the Managing Member (as determined in its sole discretion);</w:t>
      </w:r>
    </w:p>
    <w:p>
      <w:pPr>
        <w:spacing w:after="0" w:line="175" w:lineRule="exact"/>
        <w:rPr>
          <w:rFonts w:ascii="Times New Roman" w:cs="Times New Roman" w:eastAsia="Times New Roman" w:hAnsi="Times New Roman"/>
          <w:sz w:val="18"/>
          <w:szCs w:val="18"/>
          <w:color w:val="auto"/>
        </w:rPr>
      </w:pPr>
    </w:p>
    <w:p>
      <w:pPr>
        <w:ind w:right="80" w:firstLine="990"/>
        <w:spacing w:after="0" w:line="278" w:lineRule="auto"/>
        <w:tabs>
          <w:tab w:leader="none" w:pos="12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00"/>
          </w:cols>
          <w:pgMar w:left="480" w:top="268" w:right="619" w:bottom="1440" w:gutter="0" w:footer="0" w:header="0"/>
        </w:sectPr>
      </w:pPr>
    </w:p>
    <w:bookmarkStart w:id="157" w:name="page158"/>
    <w:bookmarkEnd w:id="157"/>
    <w:p>
      <w:pPr>
        <w:ind w:right="180" w:firstLine="990"/>
        <w:spacing w:after="0" w:line="278" w:lineRule="auto"/>
        <w:tabs>
          <w:tab w:leader="none" w:pos="123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required by the Managing Member, the parties to the Transfer, or any one of them, pays all of the Company’s reasonable expenses connected with such Transfer (including the reasonable legal and accounting fees of the Company).</w:t>
      </w:r>
    </w:p>
    <w:p>
      <w:pPr>
        <w:spacing w:after="0" w:line="158"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9.9 </w:t>
      </w:r>
      <w:r>
        <w:rPr>
          <w:rFonts w:ascii="Times New Roman" w:cs="Times New Roman" w:eastAsia="Times New Roman" w:hAnsi="Times New Roman"/>
          <w:sz w:val="18"/>
          <w:szCs w:val="18"/>
          <w:b w:val="1"/>
          <w:bCs w:val="1"/>
          <w:u w:val="single" w:color="auto"/>
          <w:color w:val="auto"/>
        </w:rPr>
        <w:t>Resignation and Removal of Members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if a Member (other than Bakkt Pubco) ceases to hold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Units then such Member shall cease to be a Member and to have the power to exercise any rights or powers of a member of the Company, and shall be deemed to have resigned from the Company.</w:t>
      </w:r>
    </w:p>
    <w:p>
      <w:pPr>
        <w:spacing w:after="0" w:line="170" w:lineRule="exact"/>
        <w:rPr>
          <w:sz w:val="20"/>
          <w:szCs w:val="20"/>
          <w:color w:val="auto"/>
        </w:rPr>
      </w:pPr>
    </w:p>
    <w:p>
      <w:pPr>
        <w:ind w:right="8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9.10 </w:t>
      </w:r>
      <w:r>
        <w:rPr>
          <w:rFonts w:ascii="Times New Roman" w:cs="Times New Roman" w:eastAsia="Times New Roman" w:hAnsi="Times New Roman"/>
          <w:sz w:val="18"/>
          <w:szCs w:val="18"/>
          <w:b w:val="1"/>
          <w:bCs w:val="1"/>
          <w:u w:val="single" w:color="auto"/>
          <w:color w:val="auto"/>
        </w:rPr>
        <w:t>Section 1445 and 1446(f) Withholding</w:t>
      </w:r>
      <w:r>
        <w:rPr>
          <w:rFonts w:ascii="Times New Roman" w:cs="Times New Roman" w:eastAsia="Times New Roman" w:hAnsi="Times New Roman"/>
          <w:sz w:val="18"/>
          <w:szCs w:val="18"/>
          <w:color w:val="auto"/>
        </w:rPr>
        <w:t>. An Assignee shall provide the Managing Member with all certifications,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information required by the Managing Member to determine that such Assignee has complied with the withholding and filing obligations under Code Sections 1445 and 1446(f) and the Treasury Regulations and other guidance issued thereunder.</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DISSOLUTION AND LIQUIDATION</w:t>
      </w:r>
    </w:p>
    <w:p>
      <w:pPr>
        <w:spacing w:after="0" w:line="198" w:lineRule="exact"/>
        <w:rPr>
          <w:sz w:val="20"/>
          <w:szCs w:val="20"/>
          <w:color w:val="auto"/>
        </w:rPr>
      </w:pPr>
    </w:p>
    <w:p>
      <w:pPr>
        <w:ind w:right="6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Dissolution</w:t>
      </w:r>
      <w:r>
        <w:rPr>
          <w:rFonts w:ascii="Times New Roman" w:cs="Times New Roman" w:eastAsia="Times New Roman" w:hAnsi="Times New Roman"/>
          <w:sz w:val="18"/>
          <w:szCs w:val="18"/>
          <w:color w:val="auto"/>
        </w:rPr>
        <w:t>. Except as required by the Delaware Act, the Company shall not be dissolved by the admission of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Members or Substituted Members or the attempted withdrawal or resignation of a Member. The Company may be dissolved, liquidated, wound up and terminated only pursuant 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and the Members hereby irrevocably waive any and all other rights they may have to cause a dissolution of the Company or a sale or partition of any or all of the Company assets. The Company shall dissolve, and its affairs shall be wound up, upon:</w:t>
      </w:r>
    </w:p>
    <w:p>
      <w:pPr>
        <w:spacing w:after="0" w:line="184" w:lineRule="exact"/>
        <w:rPr>
          <w:sz w:val="20"/>
          <w:szCs w:val="20"/>
          <w:color w:val="auto"/>
        </w:rPr>
      </w:pPr>
    </w:p>
    <w:p>
      <w:pPr>
        <w:ind w:right="140" w:firstLine="990"/>
        <w:spacing w:after="0" w:line="263" w:lineRule="auto"/>
        <w:tabs>
          <w:tab w:leader="none" w:pos="122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under Section 18-802 of the Delaware Act upon the finding by a court of competent jurisdiction that it is not reasonably practicable to carry on the business of the Company in conformity with this Agreement or an administrative dissolution under Section 18-1107 of the Delaware Act;</w:t>
      </w:r>
    </w:p>
    <w:p>
      <w:pPr>
        <w:spacing w:after="0" w:line="17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which makes it unlawful for the business of the Company to be carried on by the Members;</w:t>
      </w:r>
    </w:p>
    <w:p>
      <w:pPr>
        <w:spacing w:after="0" w:line="220"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the Managing Member and the Required Interest; or</w:t>
      </w:r>
    </w:p>
    <w:p>
      <w:pPr>
        <w:spacing w:after="0" w:line="220"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Members, unless the Company is continued in accordance with the Delaware Act.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Company is intended to have perpetual existence.</w:t>
      </w:r>
    </w:p>
    <w:p>
      <w:pPr>
        <w:spacing w:after="0" w:line="217" w:lineRule="exact"/>
        <w:rPr>
          <w:sz w:val="20"/>
          <w:szCs w:val="20"/>
          <w:color w:val="auto"/>
        </w:rPr>
      </w:pPr>
    </w:p>
    <w:p>
      <w:pPr>
        <w:ind w:right="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Liquidation and Termination</w:t>
      </w:r>
      <w:r>
        <w:rPr>
          <w:rFonts w:ascii="Times New Roman" w:cs="Times New Roman" w:eastAsia="Times New Roman" w:hAnsi="Times New Roman"/>
          <w:sz w:val="18"/>
          <w:szCs w:val="18"/>
          <w:color w:val="auto"/>
        </w:rPr>
        <w:t>. Upon dissolution, the Company shall not be terminated and shall continue until the winding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of the affairs of the Company is completed. Upon the winding up of the Company, the Managing Member shall act as liquidator or may appoint one or more Persons as liquidator. The liquidators shall proceed diligently to wind up the affairs of the Company and make final distributions as provided herein and in the Delaware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60"/>
          </w:cols>
          <w:pgMar w:left="480" w:top="268" w:right="559" w:bottom="1440" w:gutter="0" w:footer="0" w:header="0"/>
        </w:sectPr>
      </w:pPr>
    </w:p>
    <w:bookmarkStart w:id="158" w:name="page159"/>
    <w:bookmarkEnd w:id="158"/>
    <w:p>
      <w:pPr>
        <w:ind w:right="52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Act. The costs of liquidation shall be borne as a Company expense. Until final distribution, the liquidators shall continue to operate the Company properties with all of the power and authority of the Managing Member. The steps to be accomplished by the liquidators are as follows:</w:t>
      </w:r>
    </w:p>
    <w:p>
      <w:pPr>
        <w:spacing w:after="0" w:line="140" w:lineRule="exact"/>
        <w:rPr>
          <w:sz w:val="20"/>
          <w:szCs w:val="20"/>
          <w:color w:val="auto"/>
        </w:rPr>
      </w:pPr>
    </w:p>
    <w:p>
      <w:pPr>
        <w:ind w:right="40" w:firstLine="990"/>
        <w:spacing w:after="0" w:line="263" w:lineRule="auto"/>
        <w:tabs>
          <w:tab w:leader="none" w:pos="122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possible after dissolution and again after final liquidation, the liquidators shall cause a proper accounting to be made by a recognized firm of independent certified public accountants of the Company’s assets, liabilities and operations through the last day of the calendar month in which the dissolution occurs or the final liquidation is completed, as applicable;</w:t>
      </w:r>
    </w:p>
    <w:p>
      <w:pPr>
        <w:spacing w:after="0" w:line="175" w:lineRule="exact"/>
        <w:rPr>
          <w:rFonts w:ascii="Times New Roman" w:cs="Times New Roman" w:eastAsia="Times New Roman" w:hAnsi="Times New Roman"/>
          <w:sz w:val="18"/>
          <w:szCs w:val="18"/>
          <w:color w:val="auto"/>
        </w:rPr>
      </w:pPr>
    </w:p>
    <w:p>
      <w:pPr>
        <w:ind w:right="280" w:firstLine="990"/>
        <w:spacing w:after="0" w:line="278" w:lineRule="auto"/>
        <w:tabs>
          <w:tab w:leader="none" w:pos="123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liquidators shall cause the notice described in the Delaware Act to be mailed to each known creditor of and claimant against the Company in the manner described thereunder;</w:t>
      </w:r>
    </w:p>
    <w:p>
      <w:pPr>
        <w:spacing w:after="0" w:line="162" w:lineRule="exact"/>
        <w:rPr>
          <w:rFonts w:ascii="Times New Roman" w:cs="Times New Roman" w:eastAsia="Times New Roman" w:hAnsi="Times New Roman"/>
          <w:sz w:val="18"/>
          <w:szCs w:val="18"/>
          <w:color w:val="auto"/>
        </w:rPr>
      </w:pPr>
    </w:p>
    <w:p>
      <w:pPr>
        <w:ind w:right="280" w:firstLine="990"/>
        <w:spacing w:after="0" w:line="263" w:lineRule="auto"/>
        <w:tabs>
          <w:tab w:leader="none" w:pos="122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liquidators shall pay, satisfy or discharge from Company funds all of the debts, liabilities and obligations of the Company or otherwise make adequate provision for payment and discharge thereof (including, without limitation, the establishment of a cash fund for contingent liabilities in such amount and for such term as the liquidators may reasonably determine); and</w:t>
      </w:r>
    </w:p>
    <w:p>
      <w:pPr>
        <w:spacing w:after="0" w:line="17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balance, if any, of the Company’s remaining assets shall be distributed to all Members in accordance with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The distribution of cash or property to the Members in accordance with the provisions of this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constitutes a complete return to the Members of their Capital Contributions and a complete distribution to the Members of their Company Interests and all of the Company’s property and constitutes a compromise to which all Members have consented within the meaning of the Delaware Act. To the extent that a Member returns funds to the Company, it has no claim against any other Member for those funds. If any Member’s Capital Account is not equal to the amount to be distributed to such Member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Net Profits and Net Losses for the Fiscal Year in which the Company is dissolved shall be allocated among the Members in such a manner as to cause, to the extent possible, each Member’s Capital Account to be equal to the amount to be distributed to such Member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w:t>
      </w:r>
    </w:p>
    <w:p>
      <w:pPr>
        <w:spacing w:after="0" w:line="171"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Deferment; Distribution in Kind</w:t>
      </w:r>
      <w:r>
        <w:rPr>
          <w:rFonts w:ascii="Times New Roman" w:cs="Times New Roman" w:eastAsia="Times New Roman" w:hAnsi="Times New Roman"/>
          <w:sz w:val="18"/>
          <w:szCs w:val="18"/>
          <w:color w:val="auto"/>
        </w:rPr>
        <w:t>. 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but subject to the order of priorities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therein, if upon dissolution of the Company the liquidators determine that an immediate sale of part or all of the Company’s assets would be impractical or would result in a materially adverse economic effect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the liquidators may, in their sole discretion, distribute to the Members, in lieu of cash, either (a) all or any portion of such remaining Company assets in kind in accordance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80"/>
          </w:cols>
          <w:pgMar w:left="480" w:top="268" w:right="539" w:bottom="1440" w:gutter="0" w:footer="0" w:header="0"/>
        </w:sectPr>
      </w:pPr>
    </w:p>
    <w:bookmarkStart w:id="159" w:name="page160"/>
    <w:bookmarkEnd w:id="159"/>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(b) as tenants in common and in accordance with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w:t>
      </w:r>
    </w:p>
    <w:p>
      <w:pPr>
        <w:spacing w:after="0" w:line="176" w:lineRule="exact"/>
        <w:rPr>
          <w:sz w:val="20"/>
          <w:szCs w:val="20"/>
          <w:color w:val="auto"/>
        </w:rPr>
      </w:pPr>
    </w:p>
    <w:p>
      <w:pPr>
        <w:ind w:right="1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u w:val="single" w:color="auto"/>
          <w:color w:val="auto"/>
        </w:rPr>
        <w:t>Cancellation of Certificate</w:t>
      </w:r>
      <w:r>
        <w:rPr>
          <w:rFonts w:ascii="Times New Roman" w:cs="Times New Roman" w:eastAsia="Times New Roman" w:hAnsi="Times New Roman"/>
          <w:sz w:val="18"/>
          <w:szCs w:val="18"/>
          <w:color w:val="auto"/>
        </w:rPr>
        <w:t>. On completion of the distribution of Company assets as provided herein,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terminated (and the Company shall not be terminated prior to such time), and the Managing Member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Reasonable Time for Winding Up</w:t>
      </w:r>
      <w:r>
        <w:rPr>
          <w:rFonts w:ascii="Times New Roman" w:cs="Times New Roman" w:eastAsia="Times New Roman" w:hAnsi="Times New Roman"/>
          <w:sz w:val="18"/>
          <w:szCs w:val="18"/>
          <w:color w:val="auto"/>
        </w:rPr>
        <w:t>. A reasonable time shall be allowed for the orderly winding up of the business and affairs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Company and the liquidation of its assets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10.2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in order to minimize any losses otherwise attendant upon such winding up.</w:t>
      </w:r>
    </w:p>
    <w:p>
      <w:pPr>
        <w:spacing w:after="0" w:line="170" w:lineRule="exact"/>
        <w:rPr>
          <w:sz w:val="20"/>
          <w:szCs w:val="20"/>
          <w:color w:val="auto"/>
        </w:rPr>
      </w:pPr>
    </w:p>
    <w:p>
      <w:pPr>
        <w:jc w:val="both"/>
        <w:ind w:right="1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The Company shall terminate when all of the assets of the Company, after payment of or due provision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debts, liabilities and obligations of the Company, shall have been distributed to the holders of Common Units in the manner provided for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and the Certificate shall have been cancelled in the manner required by the Delaware Act.</w:t>
      </w:r>
    </w:p>
    <w:p>
      <w:pPr>
        <w:spacing w:after="0" w:line="170" w:lineRule="exact"/>
        <w:rPr>
          <w:sz w:val="20"/>
          <w:szCs w:val="20"/>
          <w:color w:val="auto"/>
        </w:rPr>
      </w:pPr>
    </w:p>
    <w:p>
      <w:pPr>
        <w:ind w:right="5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Return of Capital</w:t>
      </w:r>
      <w:r>
        <w:rPr>
          <w:rFonts w:ascii="Times New Roman" w:cs="Times New Roman" w:eastAsia="Times New Roman" w:hAnsi="Times New Roman"/>
          <w:sz w:val="18"/>
          <w:szCs w:val="18"/>
          <w:color w:val="auto"/>
        </w:rPr>
        <w:t>. The liquidators shall not be personally liable for the return of Capital Contributions or any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to the Members (it being understood that any such return shall be made solely from Company assets).</w:t>
      </w:r>
    </w:p>
    <w:p>
      <w:pPr>
        <w:spacing w:after="0" w:line="156" w:lineRule="exact"/>
        <w:rPr>
          <w:sz w:val="20"/>
          <w:szCs w:val="20"/>
          <w:color w:val="auto"/>
        </w:rPr>
      </w:pPr>
    </w:p>
    <w:p>
      <w:pPr>
        <w:ind w:right="20" w:firstLine="98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10.8 </w:t>
      </w:r>
      <w:r>
        <w:rPr>
          <w:rFonts w:ascii="Times New Roman" w:cs="Times New Roman" w:eastAsia="Times New Roman" w:hAnsi="Times New Roman"/>
          <w:sz w:val="17"/>
          <w:szCs w:val="17"/>
          <w:b w:val="1"/>
          <w:bCs w:val="1"/>
          <w:u w:val="single" w:color="auto"/>
          <w:color w:val="auto"/>
        </w:rPr>
        <w:t>Restrictions on Termination Transactions</w:t>
      </w:r>
      <w:r>
        <w:rPr>
          <w:rFonts w:ascii="Times New Roman" w:cs="Times New Roman" w:eastAsia="Times New Roman" w:hAnsi="Times New Roman"/>
          <w:sz w:val="17"/>
          <w:szCs w:val="17"/>
          <w:color w:val="auto"/>
        </w:rPr>
        <w:t>. The Managing Member shall not engage in, or cause or permit, a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 without the prior written consent of the Required Interest. If contemplated by any such consent of the Required Interest, the Managing Member may require, pursuant to Section 2.5 of the Exchange Agreement, any Member holding Common Units to participate in such Termination Transaction by delivery of an Election of Exchange (which Election of Exchange shall be deemed delivered to the Company and the Managing Member without any action by such Member, and in any case shall be effective immediately prior to the consummation of such Termination Transaction (and, for the avoidance of doubt, shall be contingent upon such Termination Transaction and not be effective if such Termination Transaction is not consummated)), and all Members holding Common Units shall otherwise take all such actions reasonably requested by the Managing Members that are necessary, proper or advisable in connection with the implementation and consummation of any such Termination Transaction.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480" w:top="268" w:right="49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LIABILITY AND INDEMNIFICATION</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Liability of Members</w:t>
      </w:r>
    </w:p>
    <w:p>
      <w:pPr>
        <w:spacing w:after="0" w:line="225" w:lineRule="exact"/>
        <w:rPr>
          <w:sz w:val="20"/>
          <w:szCs w:val="20"/>
          <w:color w:val="auto"/>
        </w:rPr>
      </w:pPr>
    </w:p>
    <w:p>
      <w:pPr>
        <w:ind w:right="60" w:firstLine="990"/>
        <w:spacing w:after="0" w:line="263" w:lineRule="auto"/>
        <w:tabs>
          <w:tab w:leader="none" w:pos="12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Delaware Act.</w:t>
      </w:r>
    </w:p>
    <w:p>
      <w:pPr>
        <w:spacing w:after="0" w:line="175" w:lineRule="exact"/>
        <w:rPr>
          <w:rFonts w:ascii="Times New Roman" w:cs="Times New Roman" w:eastAsia="Times New Roman" w:hAnsi="Times New Roman"/>
          <w:sz w:val="18"/>
          <w:szCs w:val="18"/>
          <w:color w:val="auto"/>
        </w:rPr>
      </w:pPr>
    </w:p>
    <w:p>
      <w:pPr>
        <w:ind w:firstLine="990"/>
        <w:spacing w:after="0" w:line="271" w:lineRule="auto"/>
        <w:tabs>
          <w:tab w:leader="none" w:pos="123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is not intended to, and does not, create or impose any duty (including any fiduciary duty) on any of the Members hereto in their capacity as a Member (including Bakkt Pubco in its capacity as a Member)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each Member shall have the duty to act in accordance with the implied contractual covenant of good faith and fair dealing.</w:t>
      </w:r>
    </w:p>
    <w:p>
      <w:pPr>
        <w:spacing w:after="0" w:line="173" w:lineRule="exact"/>
        <w:rPr>
          <w:rFonts w:ascii="Times New Roman" w:cs="Times New Roman" w:eastAsia="Times New Roman" w:hAnsi="Times New Roman"/>
          <w:sz w:val="17"/>
          <w:szCs w:val="17"/>
          <w:color w:val="auto"/>
        </w:rPr>
      </w:pPr>
    </w:p>
    <w:p>
      <w:pPr>
        <w:ind w:right="60" w:firstLine="990"/>
        <w:spacing w:after="0" w:line="253" w:lineRule="auto"/>
        <w:tabs>
          <w:tab w:leader="none" w:pos="12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at law or in equity, any Member (including Bakkt Pubco) has duties (including fiduciary duties) and liabilities relating thereto to the Company, to another Member or to another Person who is a party to or is otherwise bound by this Agreement, the Members (including Bakkt Pubco)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except as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Bakkt Pubco) otherwise existing at law or in equity, are agreed by the Members to replace to that extent such other duties and liabilities of the Members relating thereto (including Bakkt Pubco).</w:t>
      </w:r>
    </w:p>
    <w:p>
      <w:pPr>
        <w:spacing w:after="0" w:line="184" w:lineRule="exact"/>
        <w:rPr>
          <w:rFonts w:ascii="Times New Roman" w:cs="Times New Roman" w:eastAsia="Times New Roman" w:hAnsi="Times New Roman"/>
          <w:sz w:val="18"/>
          <w:szCs w:val="18"/>
          <w:color w:val="auto"/>
        </w:rPr>
      </w:pPr>
    </w:p>
    <w:p>
      <w:pPr>
        <w:ind w:right="60" w:firstLine="990"/>
        <w:spacing w:after="0" w:line="254" w:lineRule="auto"/>
        <w:tabs>
          <w:tab w:leader="none" w:pos="12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183" w:lineRule="exact"/>
        <w:rPr>
          <w:rFonts w:ascii="Times New Roman" w:cs="Times New Roman" w:eastAsia="Times New Roman" w:hAnsi="Times New Roman"/>
          <w:sz w:val="18"/>
          <w:szCs w:val="18"/>
          <w:color w:val="auto"/>
        </w:rPr>
      </w:pPr>
    </w:p>
    <w:p>
      <w:pPr>
        <w:ind w:firstLine="990"/>
        <w:spacing w:after="0" w:line="258" w:lineRule="auto"/>
        <w:tabs>
          <w:tab w:leader="none" w:pos="12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or other applicable provision of law or equity, whenever in this Agreement the Managing Member (including Bakkt Pubco) is permitted or required to make a decision (i) in its “sole discretion” or under a grant of similar authority or latitude, the Managing Member shall be entitled to consider only such interests and factors as it desires (subject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including its own interests, and shall, to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480" w:top="264" w:right="499" w:bottom="1440" w:gutter="0" w:footer="0" w:header="0"/>
        </w:sectPr>
      </w:pPr>
    </w:p>
    <w:bookmarkStart w:id="161" w:name="page162"/>
    <w:bookmarkEnd w:id="161"/>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fullest extent permitted by applicable Law, have no duty or obligation to give any consideration to any interest of or factors affecting the Company or the Members, or (ii) in its “good faith” or under another expressed standard, the Managing Member shall act under such express standard and shall not be subject to any other or different standards.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0" w:lineRule="auto"/>
        <w:tabs>
          <w:tab w:leader="none" w:pos="12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and Indemnification</w:t>
      </w:r>
      <w:r>
        <w:rPr>
          <w:rFonts w:ascii="Times New Roman" w:cs="Times New Roman" w:eastAsia="Times New Roman" w:hAnsi="Times New Roman"/>
          <w:sz w:val="18"/>
          <w:szCs w:val="18"/>
          <w:color w:val="auto"/>
        </w:rPr>
        <w:t>. To the fullest extent permitted by applicable Law, as the same exists or may hereafter be amended, the Company shall indemnify and hold harmless any Indemnitee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by reason of his or her or its status as an Indemnitee against all liability and loss suffered and expenses (including, without limitation, attorneys’ fees, judgments, fines and amounts paid in settlement) reasonably incurred by such Indemnitee in connection with such action, suit or Proceeding. The Company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or otherwise. Notwithstanding the foregoing provisions of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except for Proceedings to enforce rights to indemnification and advancement of expenses, the Company shall indemnify and advance expenses to an Indemnitee in connection with a Proceeding (or part thereof) initiated by such Indemnitee only if such Proceeding (or part thereof) was authorized by the Managing Member.</w:t>
      </w:r>
    </w:p>
    <w:p>
      <w:pPr>
        <w:spacing w:after="0" w:line="194" w:lineRule="exact"/>
        <w:rPr>
          <w:rFonts w:ascii="Times New Roman" w:cs="Times New Roman" w:eastAsia="Times New Roman" w:hAnsi="Times New Roman"/>
          <w:sz w:val="18"/>
          <w:szCs w:val="18"/>
          <w:color w:val="auto"/>
        </w:rPr>
      </w:pPr>
    </w:p>
    <w:p>
      <w:pPr>
        <w:ind w:firstLine="990"/>
        <w:spacing w:after="0" w:line="268" w:lineRule="auto"/>
        <w:tabs>
          <w:tab w:leader="none" w:pos="1234"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Indemnitee to Bring Suit</w:t>
      </w:r>
      <w:r>
        <w:rPr>
          <w:rFonts w:ascii="Times New Roman" w:cs="Times New Roman" w:eastAsia="Times New Roman" w:hAnsi="Times New Roman"/>
          <w:sz w:val="17"/>
          <w:szCs w:val="17"/>
          <w:color w:val="auto"/>
        </w:rPr>
        <w:t xml:space="preserve">. If a claim for indemnification (following the final disposition of such Proceeding) or advancement of expenses under this Section 11.2 is not paid in full by the Company within (i) sixty (60) days after a written claim for indemnification has been received by the Company or (ii) twenty (20) days after a claim for an advancement of expenses has been received by the Company, such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the Indemnitee shall be entitled to be paid also the expense of prosecuting or defending such suit. bcvIn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or otherwise shall be on the Company.</w:t>
      </w:r>
    </w:p>
    <w:p>
      <w:pPr>
        <w:spacing w:after="0" w:line="175" w:lineRule="exact"/>
        <w:rPr>
          <w:rFonts w:ascii="Times New Roman" w:cs="Times New Roman" w:eastAsia="Times New Roman" w:hAnsi="Times New Roman"/>
          <w:sz w:val="17"/>
          <w:szCs w:val="17"/>
          <w:color w:val="auto"/>
        </w:rPr>
      </w:pPr>
    </w:p>
    <w:p>
      <w:pPr>
        <w:ind w:left="1240" w:hanging="250"/>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 Indemnification by Other Persons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220" w:firstLine="1426"/>
        <w:spacing w:after="0" w:line="278" w:lineRule="auto"/>
        <w:tabs>
          <w:tab w:leader="none" w:pos="1632"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indemnification to or the advancement of expenses and costs to any Indemnitee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or the entitlement of any Indemnitee</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60"/>
          </w:cols>
          <w:pgMar w:left="480" w:top="268" w:right="559" w:bottom="1440" w:gutter="0" w:footer="0" w:header="0"/>
        </w:sectPr>
      </w:pPr>
    </w:p>
    <w:bookmarkStart w:id="162" w:name="page163"/>
    <w:bookmarkEnd w:id="16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to any indemnification or advancement of expenses and costs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shall not limit or restrict in any way the power of the Company to indemnity or advance expenses and costs to such Indemnitee in any way other than permitted by Law or be deemed to be exclusive of, or invalidate, any right to which any indemnitee seeking indemnification or advancement of expenses and costs may be entitled under any Law, agreement, vote of Members or otherwise, both as to action in the capacity in which such Indemnitee serves and as to action in any other capacity.</w:t>
      </w:r>
    </w:p>
    <w:p>
      <w:pPr>
        <w:spacing w:after="0" w:line="180" w:lineRule="exact"/>
        <w:rPr>
          <w:sz w:val="20"/>
          <w:szCs w:val="20"/>
          <w:color w:val="auto"/>
        </w:rPr>
      </w:pPr>
    </w:p>
    <w:p>
      <w:pPr>
        <w:ind w:firstLine="1426"/>
        <w:spacing w:after="0" w:line="266" w:lineRule="auto"/>
        <w:tabs>
          <w:tab w:leader="none" w:pos="1681"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Given that certain Jointly Indemnifiable Claims may arise due to the service of the Indemnitee or other enterprise at the request of the Indemnitee-Related Entities (as defined below), the Company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irrespective of any right of recovery the Indemnitee may have from the Indemnitee-Related Entities. Under no circumstance shall the Company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Company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cs="Times New Roman" w:eastAsia="Times New Roman" w:hAnsi="Times New Roman"/>
          <w:sz w:val="17"/>
          <w:szCs w:val="17"/>
          <w:u w:val="single" w:color="auto"/>
          <w:color w:val="auto"/>
        </w:rPr>
        <w:t>Section 11.2(c)(ii)</w:t>
      </w:r>
      <w:r>
        <w:rPr>
          <w:rFonts w:ascii="Times New Roman" w:cs="Times New Roman" w:eastAsia="Times New Roman" w:hAnsi="Times New Roman"/>
          <w:sz w:val="17"/>
          <w:szCs w:val="17"/>
          <w:color w:val="auto"/>
        </w:rPr>
        <w:t xml:space="preserve">, entitled to enforce this </w:t>
      </w:r>
      <w:r>
        <w:rPr>
          <w:rFonts w:ascii="Times New Roman" w:cs="Times New Roman" w:eastAsia="Times New Roman" w:hAnsi="Times New Roman"/>
          <w:sz w:val="17"/>
          <w:szCs w:val="17"/>
          <w:u w:val="single" w:color="auto"/>
          <w:color w:val="auto"/>
        </w:rPr>
        <w:t>Section 11.2(c)(ii)</w:t>
      </w:r>
      <w:r>
        <w:rPr>
          <w:rFonts w:ascii="Times New Roman" w:cs="Times New Roman" w:eastAsia="Times New Roman" w:hAnsi="Times New Roman"/>
          <w:sz w:val="17"/>
          <w:szCs w:val="17"/>
          <w:color w:val="auto"/>
        </w:rPr>
        <w:t>.</w:t>
      </w:r>
    </w:p>
    <w:p>
      <w:pPr>
        <w:spacing w:after="0" w:line="181" w:lineRule="exact"/>
        <w:rPr>
          <w:rFonts w:ascii="Times New Roman" w:cs="Times New Roman" w:eastAsia="Times New Roman" w:hAnsi="Times New Roman"/>
          <w:sz w:val="17"/>
          <w:szCs w:val="17"/>
          <w:color w:val="auto"/>
        </w:rPr>
      </w:pPr>
    </w:p>
    <w:p>
      <w:pPr>
        <w:ind w:firstLine="990"/>
        <w:spacing w:after="0" w:line="254" w:lineRule="auto"/>
        <w:tabs>
          <w:tab w:leader="none" w:pos="123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The rights conferred upon Indemnitees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continue as to an Indemnitee who has ceased to have status as an Indemnitee and shall inure to the benefit of the Indemnitee’s successors, heirs, executors and administrators. Any amendment, alteration or repeal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that adversely affects any right of an Indemnitee or its successors shall be prospective only (except to the extent such amendment or change in Law permits the Company to provide broader indemnification rights to all such parties on a retroactive basis than permitted prior thereto) and shall not limit, eliminate or impair any such right with respect to any proceedings involving any occurrence or alleged occurrence of any action or omission to act that took place prior to such amendment or repeal.</w:t>
      </w:r>
    </w:p>
    <w:p>
      <w:pPr>
        <w:spacing w:after="0" w:line="183" w:lineRule="exact"/>
        <w:rPr>
          <w:rFonts w:ascii="Times New Roman" w:cs="Times New Roman" w:eastAsia="Times New Roman" w:hAnsi="Times New Roman"/>
          <w:sz w:val="18"/>
          <w:szCs w:val="18"/>
          <w:color w:val="auto"/>
        </w:rPr>
      </w:pPr>
    </w:p>
    <w:p>
      <w:pPr>
        <w:ind w:right="140" w:firstLine="990"/>
        <w:spacing w:after="0" w:line="263" w:lineRule="auto"/>
        <w:tabs>
          <w:tab w:leader="none" w:pos="12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Company may purchase and maintain insurance, at its expense, on its own behalf or on behalf of any Person described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against any expense, liability or loss asserted against such Person, whether or not the Company would have the power to indemnify such Person against such expense, liability or loss under the provisions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otherwise.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80" w:top="268" w:right="499" w:bottom="1440" w:gutter="0" w:footer="0" w:header="0"/>
        </w:sectPr>
      </w:pPr>
    </w:p>
    <w:bookmarkStart w:id="163" w:name="page164"/>
    <w:bookmarkEnd w:id="1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1" w:lineRule="auto"/>
        <w:tabs>
          <w:tab w:leader="none" w:pos="122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(including the Exhibits and Schedules hereto) may be amended, supplemented, waived or modified by the written consent of the (i) the Managing Member, and (ii) the Required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amendment, including any amendment effected by way of merger, consolidation or transfer of all or substantially all the assets of the Company, may adversely affect the rights of a holder of Common Units, as such, in a manner that is disproportionate to the effect on all other similarly situated holders of Common Units, without the consent of such holder (or, if there is more than one such holder that is so affected, without the consent of a majority in interest of such affected holders in accordance with their holdings of such Common Units).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91" w:lineRule="exact"/>
        <w:rPr>
          <w:rFonts w:ascii="Times New Roman" w:cs="Times New Roman" w:eastAsia="Times New Roman" w:hAnsi="Times New Roman"/>
          <w:sz w:val="18"/>
          <w:szCs w:val="18"/>
          <w:color w:val="auto"/>
        </w:rPr>
      </w:pPr>
    </w:p>
    <w:p>
      <w:pPr>
        <w:ind w:right="80" w:firstLine="990"/>
        <w:spacing w:after="0" w:line="258" w:lineRule="auto"/>
        <w:tabs>
          <w:tab w:leader="none" w:pos="123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6"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Section 12.2 </w:t>
      </w: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color w:val="auto"/>
        </w:rPr>
        <w:t>. Each Member recognizes and acknowledges that it has and may in the future receive certain confidential,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non-public and proprietary information and trade secrets of the Company and its Subsidiaries, including, but not limited to, confidential information of the Company and its Subsidiaries regarding identifiable, specific and discrete business opportunities being pursued by the Company or its Subsidiaries (the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Except as otherwise consented to in writing by the Managing Member in its sole discretion, each Member (on behalf of itself, its Affiliates and each of their respective directors, officers, shareholders, partners, employees, agents and members (the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agrees that it will not and will cause its respective Representatives not to, during or after the term of this Agreement, whether directly or indirectly through an Affiliate or otherwise, disclose Confidential Information to any Person for any reason or purpose whatsoever, except (i) to authorized directors, officers, Representatives, agents and employees of the Company or its Subsidiaries and as otherwise may be proper in the course of performing such Member’s obligations, or enforcing such Member’s rights, under this Agreement and the agreements expressly contemplated hereby;</w:t>
      </w:r>
    </w:p>
    <w:p>
      <w:pPr>
        <w:spacing w:after="0" w:line="6" w:lineRule="exact"/>
        <w:rPr>
          <w:sz w:val="20"/>
          <w:szCs w:val="20"/>
          <w:color w:val="auto"/>
        </w:rPr>
      </w:pPr>
    </w:p>
    <w:p>
      <w:pPr>
        <w:ind w:firstLine="7"/>
        <w:spacing w:after="0" w:line="250" w:lineRule="auto"/>
        <w:tabs>
          <w:tab w:leader="none" w:pos="26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such Member’s or such Member’s Affiliates’ normal fundraising, marketing, informational or reporting activities, or to such Member’s (or any of its Affiliates’) Affiliates, auditors, accountants, attorneys or other agents, in each case so long as the recipient is subject to a similar duty of confidentiality to such Member; (iii) subject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any bona fide prospective purchaser of the equity or assets of such Member or its Affiliates or the Common Units held by such Member, or prospective merger partner of such Member or its Affiliates; </w:t>
      </w:r>
      <w:r>
        <w:rPr>
          <w:rFonts w:ascii="Times New Roman" w:cs="Times New Roman" w:eastAsia="Times New Roman" w:hAnsi="Times New Roman"/>
          <w:sz w:val="18"/>
          <w:szCs w:val="18"/>
          <w:i w:val="1"/>
          <w:iCs w:val="1"/>
          <w:color w:val="auto"/>
        </w:rPr>
        <w:t>provided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80"/>
          </w:cols>
          <w:pgMar w:left="480" w:top="264" w:right="539" w:bottom="1440" w:gutter="0" w:footer="0" w:header="0"/>
        </w:sectPr>
      </w:pPr>
    </w:p>
    <w:bookmarkStart w:id="164" w:name="page165"/>
    <w:bookmarkEnd w:id="164"/>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that such purchaser or merger partner agrees to be bound by a customary confidentiality agreement with terms comparable to the terms of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or (iv) as is required to be disclosed by order of a court of competent jurisdiction, administrative body or governmental body, or by subpoena, summons or legal process, or by Law, rule or regulation, including the requirements of any national stock exchange on which its shares may be listed;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Member required to make such disclosure pursuant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above shall promptly notify the Company in writing of the existence, terms, and circumstances surrounding such required disclosure so that the Company may seek a protective order or other appropriate relief from the proper authority. The Member required to make such disclosure pursuant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above shall also cooperate with the Company in seeking such order or other relief. If the Member required to make such disclosure pursuant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above is nonetheless required to disclose the Company’s Confidential Information, it will furnish only that portion of the Confidential Information that is legally required and will exercise all reasonable efforts to obtain reliable assurances that such Confidential Information will be treated confidentially to the extent possible. For purposes of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xml:space="preserve">” shall not include any information of which (x) such Person learns from a source other than the Company or its Subsidiaries, or any of their respective Representatives, employees, agents or other service providers, and in each case who is not known by such Person to be bound by a confidentiality obligation, (y) is disclosed in a prospectus or other documents for dissemination to the public or (z) is or has been independently developed or conceived by such Person without use of the Company’s confidential information, as proved by documents and other competent evidence in the Person’s possession. Nothing in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shall (x) in any way limit or otherwise modify any confidentiality covenants entered into by any employee of the Company or its Subsidiaries pursuant to any other agreement entered into with the Company or any of its Subsidiaries, or (y) apply to or otherwise restrict the Managing Member, in its capacity as the Managing Member or as a Member. Notwithstanding anything to the contrary herein, (i) each Member may disclose Confidential Information to any federal, state, local or foreign regulatory or self-regulatory body, or any securities exchange or listing authority, as part of a routine audit not targeted at such Confidential Information without providing notice to any other party hereto and (ii) nothing herein shall prohibit a Member from (1) filing and, as provided for under Section 21F of the Exchange Act, maintaining the confidentiality of, a claim with the SEC, or (2) providing Confidential Information to the SEC or providing the SEC with information that would otherwise violate any part hereof to the extent permitted by Section 21F of the Exchange Act. The Company may pursue any and all rights and remedies any of them may have to enforce the obligations of the Members under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including seeking specific performance and/or immediate injunctive or other equitable relief from any court of competent jurisdiction (without the necessity of showing actual money damages, or posting any bond or other security) in order to enforce or prevent any violation of the provisions of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w:t>
      </w:r>
    </w:p>
    <w:p>
      <w:pPr>
        <w:spacing w:after="0" w:line="400" w:lineRule="exact"/>
        <w:rPr>
          <w:sz w:val="20"/>
          <w:szCs w:val="20"/>
          <w:color w:val="auto"/>
        </w:rPr>
      </w:pPr>
    </w:p>
    <w:p>
      <w:pPr>
        <w:ind w:right="1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b w:val="1"/>
          <w:bCs w:val="1"/>
          <w:u w:val="single" w:color="auto"/>
          <w:color w:val="auto"/>
        </w:rPr>
        <w:t>Title to Company Assets</w:t>
      </w:r>
      <w:r>
        <w:rPr>
          <w:rFonts w:ascii="Times New Roman" w:cs="Times New Roman" w:eastAsia="Times New Roman" w:hAnsi="Times New Roman"/>
          <w:sz w:val="18"/>
          <w:szCs w:val="18"/>
          <w:color w:val="auto"/>
        </w:rPr>
        <w:t>. Company assets shall be deemed to be owned by the Company as an entity, and no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collectively, shall have any ownership interest in such Company assets or any portion thereof. Legal title to any or all Company assets may be held only in the name of the Company or a wholly owned Subsidiary of the Company. All Company assets shall be recorded as the property of the Company on its books and records, irrespective of the name in which legal title to such Company assets is held.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480" w:top="268" w:right="519" w:bottom="1440" w:gutter="0" w:footer="0" w:header="0"/>
        </w:sectPr>
      </w:pPr>
    </w:p>
    <w:bookmarkStart w:id="165" w:name="page166"/>
    <w:bookmarkEnd w:id="165"/>
    <w:p>
      <w:pPr>
        <w:ind w:right="120"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12.4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shall be in writing and shall be deemed to have been given or made when (a) delivered personally to the recipient, (b) facsimiled or electronically transmitted to the recipient if facsimiled or electronically transmitted before 5:00 p.m. local time of the recipient on a Business Day, and otherwise on the next Business Day, or (c) one Business Day after being sent to the recipient by reputable overnight courier service (charges prepaid). Such notices, demands and other communications shall be sent to the address for such recipient set forth in the Company’s books and records (which shall, in the case of the Members, initially be the addresses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or to such other address or to the attention of such other Person as the recipient party has specified by prior written notice to the sending party. Any notice to the Managing Member or the Company shall be deemed given if received by the Company (attention: Company Secretary) at the principal office of the Company designated from time to time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successors, legal representatives and permitted assigns.</w:t>
      </w:r>
    </w:p>
    <w:p>
      <w:pPr>
        <w:spacing w:after="0" w:line="156" w:lineRule="exact"/>
        <w:rPr>
          <w:sz w:val="20"/>
          <w:szCs w:val="20"/>
          <w:color w:val="auto"/>
        </w:rPr>
      </w:pPr>
    </w:p>
    <w:p>
      <w:pPr>
        <w:ind w:right="14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b w:val="1"/>
          <w:bCs w:val="1"/>
          <w:u w:val="single" w:color="auto"/>
          <w:color w:val="auto"/>
        </w:rPr>
        <w:t>Creditors</w:t>
      </w:r>
      <w:r>
        <w:rPr>
          <w:rFonts w:ascii="Times New Roman" w:cs="Times New Roman" w:eastAsia="Times New Roman" w:hAnsi="Times New Roman"/>
          <w:sz w:val="18"/>
          <w:szCs w:val="18"/>
          <w:color w:val="auto"/>
        </w:rPr>
        <w:t>. None of the provisions of this Agreement shall be for the benefit of or enforceable by any creditors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Net Losses, Distributions, capital or property other than as a secured creditor.</w:t>
      </w:r>
    </w:p>
    <w:p>
      <w:pPr>
        <w:spacing w:after="0" w:line="176" w:lineRule="exact"/>
        <w:rPr>
          <w:sz w:val="20"/>
          <w:szCs w:val="20"/>
          <w:color w:val="auto"/>
        </w:rPr>
      </w:pPr>
    </w:p>
    <w:p>
      <w:pPr>
        <w:ind w:right="4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to exercise any right or remedy consequent upon a breach thereof shall constitute a waiver of any such breach or any other covenant, duty, agreement or condition.</w:t>
      </w:r>
    </w:p>
    <w:p>
      <w:pPr>
        <w:spacing w:after="0" w:line="170" w:lineRule="exact"/>
        <w:rPr>
          <w:sz w:val="20"/>
          <w:szCs w:val="20"/>
          <w:color w:val="auto"/>
        </w:rPr>
      </w:pPr>
    </w:p>
    <w:p>
      <w:pPr>
        <w:ind w:right="1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will be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agreement binding on all the parties hereto.</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0"/>
        <w:spacing w:after="0" w:line="263" w:lineRule="auto"/>
        <w:tabs>
          <w:tab w:leader="none" w:pos="122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and without regard to any applicable conflicts of law. Notwithstanding the foregoing, the Federal Arbitration Act will govern the arbitration provisions of this Agreement.</w:t>
      </w:r>
    </w:p>
    <w:p>
      <w:pPr>
        <w:spacing w:after="0" w:line="175" w:lineRule="exact"/>
        <w:rPr>
          <w:sz w:val="20"/>
          <w:szCs w:val="20"/>
          <w:color w:val="auto"/>
        </w:rPr>
      </w:pPr>
    </w:p>
    <w:p>
      <w:pPr>
        <w:ind w:right="40" w:firstLine="990"/>
        <w:spacing w:after="0" w:line="258" w:lineRule="auto"/>
        <w:tabs>
          <w:tab w:leader="none" w:pos="12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WAIVES ITS RIGHTS TO A JURY TRIAL OF ANY CLAIM OR CAUSE OF ACTION BASED UPON OR ARISING OUT OF THIS AGREEMENT, THE UNITS OR THE SUBJECT MATTER HEREOF. THE SCOPE OF THIS WAIVER IS INTENDED TO BE ALL-ENCOMPASSING OF ANY AND ALL DISPUTES THAT MAY BE FILED IN ANY COURT AND THAT RELATE TO THE SUBJECT MATTER OF THIS AGREEMENT, INCLUDING, WITHOUT LIMITATION, CONTRACT CLAIMS,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0"/>
          </w:cols>
          <w:pgMar w:left="480" w:top="264" w:right="499" w:bottom="1440" w:gutter="0" w:footer="0" w:header="0"/>
        </w:sectPr>
      </w:pPr>
    </w:p>
    <w:bookmarkStart w:id="166" w:name="page167"/>
    <w:bookmarkEnd w:id="16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0"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0"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12.11 </w:t>
      </w:r>
      <w:r>
        <w:rPr>
          <w:rFonts w:ascii="Times New Roman" w:cs="Times New Roman" w:eastAsia="Times New Roman" w:hAnsi="Times New Roman"/>
          <w:sz w:val="18"/>
          <w:szCs w:val="18"/>
          <w:b w:val="1"/>
          <w:bCs w:val="1"/>
          <w:u w:val="single" w:color="auto"/>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actions as may be necessary or appropriate to achieve the purposes of this Agreement.</w:t>
      </w:r>
    </w:p>
    <w:p>
      <w:pPr>
        <w:spacing w:after="0" w:line="156" w:lineRule="exact"/>
        <w:rPr>
          <w:sz w:val="20"/>
          <w:szCs w:val="20"/>
          <w:color w:val="auto"/>
        </w:rPr>
      </w:pPr>
    </w:p>
    <w:p>
      <w:pPr>
        <w:ind w:right="20"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12.12 </w:t>
      </w:r>
      <w:r>
        <w:rPr>
          <w:rFonts w:ascii="Times New Roman" w:cs="Times New Roman" w:eastAsia="Times New Roman" w:hAnsi="Times New Roman"/>
          <w:sz w:val="18"/>
          <w:szCs w:val="18"/>
          <w:b w:val="1"/>
          <w:bCs w:val="1"/>
          <w:u w:val="single" w:color="auto"/>
          <w:color w:val="auto"/>
        </w:rPr>
        <w:t>Delivery by Facsimile or Electronic Transmission</w:t>
      </w:r>
      <w:r>
        <w:rPr>
          <w:rFonts w:ascii="Times New Roman" w:cs="Times New Roman" w:eastAsia="Times New Roman" w:hAnsi="Times New Roman"/>
          <w:sz w:val="18"/>
          <w:szCs w:val="18"/>
          <w:color w:val="auto"/>
        </w:rPr>
        <w:t>. This Agreement, the agreements referred to herein, and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instrument entered into in connection herewith or therewith or contemplated hereby or thereby, and any amendments hereto or thereto, to the extent signed and delivered by means of a facsimile machine or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84" w:lineRule="exact"/>
        <w:rPr>
          <w:sz w:val="20"/>
          <w:szCs w:val="20"/>
          <w:color w:val="auto"/>
        </w:rPr>
      </w:pPr>
    </w:p>
    <w:p>
      <w:pPr>
        <w:ind w:right="8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12.13 </w:t>
      </w:r>
      <w:r>
        <w:rPr>
          <w:rFonts w:ascii="Times New Roman" w:cs="Times New Roman" w:eastAsia="Times New Roman" w:hAnsi="Times New Roman"/>
          <w:sz w:val="18"/>
          <w:szCs w:val="18"/>
          <w:b w:val="1"/>
          <w:bCs w:val="1"/>
          <w:u w:val="single" w:color="auto"/>
          <w:color w:val="auto"/>
        </w:rPr>
        <w:t>Offset</w:t>
      </w:r>
      <w:r>
        <w:rPr>
          <w:rFonts w:ascii="Times New Roman" w:cs="Times New Roman" w:eastAsia="Times New Roman" w:hAnsi="Times New Roman"/>
          <w:sz w:val="18"/>
          <w:szCs w:val="18"/>
          <w:color w:val="auto"/>
        </w:rPr>
        <w:t>. Whenever the Company is to pay any sum to any Member or any Related Person thereof, any amounts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or such Related Person owes to the Company which are not the subject of a good faith dispute may be deducted from that sum before payment as determined by the Managing Member.</w:t>
      </w:r>
    </w:p>
    <w:p>
      <w:pPr>
        <w:spacing w:after="0" w:line="170"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12.14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Other Agreements, and those documents expressly referred to herein and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Stockholders Agreement, the Exchange Agreement and the Tax Receivable Agreement)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the Prior LLC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00"/>
          </w:cols>
          <w:pgMar w:left="480" w:top="268" w:right="519" w:bottom="1440" w:gutter="0" w:footer="0" w:header="0"/>
        </w:sectPr>
      </w:pPr>
    </w:p>
    <w:bookmarkStart w:id="167" w:name="page168"/>
    <w:bookmarkEnd w:id="167"/>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12.15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Each Member shall have all rights and remedies set forth in this Agreement and all rights and remedies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0" w:lineRule="exact"/>
        <w:rPr>
          <w:sz w:val="20"/>
          <w:szCs w:val="20"/>
          <w:color w:val="auto"/>
        </w:rPr>
      </w:pPr>
    </w:p>
    <w:p>
      <w:pPr>
        <w:ind w:right="40"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12.16 </w:t>
      </w:r>
      <w:r>
        <w:rPr>
          <w:rFonts w:ascii="Times New Roman" w:cs="Times New Roman" w:eastAsia="Times New Roman" w:hAnsi="Times New Roman"/>
          <w:sz w:val="18"/>
          <w:szCs w:val="18"/>
          <w:b w:val="1"/>
          <w:bCs w:val="1"/>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and shall be interpreted without limitation. The use of the words “or,” “either” and “any” shall not be exclusive. The terms “hereby,” “hereof,” “hereunder,” and any similar terms as used in this Agreement shall refer to this Agreement.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A reference in this Agreement to $ or dollars is to U.S. dollars.</w:t>
      </w:r>
    </w:p>
    <w:p>
      <w:pPr>
        <w:spacing w:after="0" w:line="191" w:lineRule="exact"/>
        <w:rPr>
          <w:sz w:val="20"/>
          <w:szCs w:val="20"/>
          <w:color w:val="auto"/>
        </w:rPr>
      </w:pPr>
    </w:p>
    <w:p>
      <w:pPr>
        <w:ind w:right="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12.17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any action, suit or proceeding is brought to enforce or interpret the terms of this Agreement or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obtained hereunder, or to recover damages for breach of this Agreement, then, if successful in whole or in part in such action, the prevailing party or parties in such action, suit or proceeding shall be entitled to recover from the non-prevailing party or parties hereto any and all of the costs of suit and reasonable attorneys’ fees incurred by the prevailing party or parties in connection therewith, including attorneys’ fees on appeal, costs and disbursements, in addition to such other relief to which any such prevailing party or parties may be entitled.</w:t>
      </w:r>
    </w:p>
    <w:p>
      <w:pPr>
        <w:spacing w:after="0" w:line="180" w:lineRule="exact"/>
        <w:rPr>
          <w:sz w:val="20"/>
          <w:szCs w:val="20"/>
          <w:color w:val="auto"/>
        </w:rPr>
      </w:pPr>
    </w:p>
    <w:p>
      <w:pPr>
        <w:ind w:right="3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12.18 </w:t>
      </w:r>
      <w:r>
        <w:rPr>
          <w:rFonts w:ascii="Times New Roman" w:cs="Times New Roman" w:eastAsia="Times New Roman" w:hAnsi="Times New Roman"/>
          <w:sz w:val="18"/>
          <w:szCs w:val="18"/>
          <w:b w:val="1"/>
          <w:bCs w:val="1"/>
          <w:u w:val="single" w:color="auto"/>
          <w:color w:val="auto"/>
        </w:rPr>
        <w:t>Representation of the Company by Shearman &amp; Sterling LLP</w:t>
      </w:r>
      <w:r>
        <w:rPr>
          <w:rFonts w:ascii="Times New Roman" w:cs="Times New Roman" w:eastAsia="Times New Roman" w:hAnsi="Times New Roman"/>
          <w:sz w:val="18"/>
          <w:szCs w:val="18"/>
          <w:color w:val="auto"/>
        </w:rPr>
        <w:t>. The Members other than ICE (the “</w:t>
      </w:r>
      <w:r>
        <w:rPr>
          <w:rFonts w:ascii="Times New Roman" w:cs="Times New Roman" w:eastAsia="Times New Roman" w:hAnsi="Times New Roman"/>
          <w:sz w:val="18"/>
          <w:szCs w:val="18"/>
          <w:b w:val="1"/>
          <w:bCs w:val="1"/>
          <w:i w:val="1"/>
          <w:iCs w:val="1"/>
          <w:color w:val="auto"/>
        </w:rPr>
        <w:t>Nonrepresented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 each agree and acknowledge that: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480" w:top="264" w:right="499" w:bottom="1440" w:gutter="0" w:footer="0" w:header="0"/>
        </w:sectPr>
      </w:pPr>
    </w:p>
    <w:bookmarkStart w:id="168" w:name="page169"/>
    <w:bookmarkEnd w:id="168"/>
    <w:p>
      <w:pPr>
        <w:ind w:right="140" w:firstLine="1426"/>
        <w:spacing w:after="0" w:line="282" w:lineRule="auto"/>
        <w:tabs>
          <w:tab w:leader="none" w:pos="166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ICE and the Company have retained Shearman &amp; Sterling LLP (“</w:t>
      </w:r>
      <w:r>
        <w:rPr>
          <w:rFonts w:ascii="Times New Roman" w:cs="Times New Roman" w:eastAsia="Times New Roman" w:hAnsi="Times New Roman"/>
          <w:sz w:val="18"/>
          <w:szCs w:val="18"/>
          <w:b w:val="1"/>
          <w:bCs w:val="1"/>
          <w:i w:val="1"/>
          <w:iCs w:val="1"/>
          <w:color w:val="auto"/>
        </w:rPr>
        <w:t>Shearman</w:t>
      </w:r>
      <w:r>
        <w:rPr>
          <w:rFonts w:ascii="Times New Roman" w:cs="Times New Roman" w:eastAsia="Times New Roman" w:hAnsi="Times New Roman"/>
          <w:sz w:val="18"/>
          <w:szCs w:val="18"/>
          <w:color w:val="auto"/>
        </w:rPr>
        <w:t>”) in connection with the negotiation and execution of this Agreement, the Merger Agreement and the Transaction Documents.</w:t>
      </w:r>
    </w:p>
    <w:p>
      <w:pPr>
        <w:spacing w:after="0" w:line="159" w:lineRule="exact"/>
        <w:rPr>
          <w:rFonts w:ascii="Times New Roman" w:cs="Times New Roman" w:eastAsia="Times New Roman" w:hAnsi="Times New Roman"/>
          <w:sz w:val="18"/>
          <w:szCs w:val="18"/>
          <w:color w:val="auto"/>
        </w:rPr>
      </w:pPr>
    </w:p>
    <w:p>
      <w:pPr>
        <w:jc w:val="both"/>
        <w:ind w:right="120" w:firstLine="1426"/>
        <w:spacing w:after="0" w:line="274" w:lineRule="auto"/>
        <w:tabs>
          <w:tab w:leader="none" w:pos="1671"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Shearman is not representing the Nonrepresented Members in connection with the negotiation and execution of the Transaction Documents or the management and operation of the Company and its Subsidiaries or any dispute that may arise between the Nonrepresented Members, on the one hand, and the Company, its Subsidiaries and/or ICE on the other (such matters together with any disputes which may arise in connection therewith are referred to as “</w:t>
      </w:r>
      <w:r>
        <w:rPr>
          <w:rFonts w:ascii="Times New Roman" w:cs="Times New Roman" w:eastAsia="Times New Roman" w:hAnsi="Times New Roman"/>
          <w:sz w:val="17"/>
          <w:szCs w:val="17"/>
          <w:b w:val="1"/>
          <w:bCs w:val="1"/>
          <w:i w:val="1"/>
          <w:iCs w:val="1"/>
          <w:color w:val="auto"/>
        </w:rPr>
        <w:t>Company Legal Matters</w:t>
      </w:r>
      <w:r>
        <w:rPr>
          <w:rFonts w:ascii="Times New Roman" w:cs="Times New Roman" w:eastAsia="Times New Roman" w:hAnsi="Times New Roman"/>
          <w:sz w:val="17"/>
          <w:szCs w:val="17"/>
          <w:color w:val="auto"/>
        </w:rPr>
        <w:t>”). Each Nonrepresented Member will, if he or she wishes legal counsel on a Company Legal Matter, retain his or her own independent legal counsel with respect thereto and will pay all fees and expenses of such independent legal counsel.</w:t>
      </w:r>
    </w:p>
    <w:p>
      <w:pPr>
        <w:spacing w:after="0" w:line="168" w:lineRule="exact"/>
        <w:rPr>
          <w:rFonts w:ascii="Times New Roman" w:cs="Times New Roman" w:eastAsia="Times New Roman" w:hAnsi="Times New Roman"/>
          <w:sz w:val="17"/>
          <w:szCs w:val="17"/>
          <w:color w:val="auto"/>
        </w:rPr>
      </w:pPr>
    </w:p>
    <w:p>
      <w:pPr>
        <w:ind w:right="40" w:firstLine="1426"/>
        <w:spacing w:after="0" w:line="258" w:lineRule="auto"/>
        <w:tabs>
          <w:tab w:leader="none" w:pos="166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Shearman may represent the Company and its Subsidiaries, or ICE in connection with any and all Company Legal Matters (including any dispute between the Company, its Subsidiaries, or ICE, on one hand, and the Nonrepresented Members, on the other) or other matters not related to the Company Legal Matters and, to the fullest extent permitted by applicable law and/or applicable rules of professional conduct, the Nonrepresented Members waive any present or future conflict of interest with Shearman regarding Company Legal Matters and all other matters.</w:t>
      </w:r>
    </w:p>
    <w:p>
      <w:pPr>
        <w:spacing w:after="0" w:line="176"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12.19 </w:t>
      </w:r>
      <w:r>
        <w:rPr>
          <w:rFonts w:ascii="Times New Roman" w:cs="Times New Roman" w:eastAsia="Times New Roman" w:hAnsi="Times New Roman"/>
          <w:sz w:val="18"/>
          <w:szCs w:val="18"/>
          <w:b w:val="1"/>
          <w:bCs w:val="1"/>
          <w:u w:val="single" w:color="auto"/>
          <w:color w:val="auto"/>
        </w:rPr>
        <w:t>Amendment and Restatement of Prior LLC Agreement</w:t>
      </w:r>
      <w:r>
        <w:rPr>
          <w:rFonts w:ascii="Times New Roman" w:cs="Times New Roman" w:eastAsia="Times New Roman" w:hAnsi="Times New Roman"/>
          <w:sz w:val="18"/>
          <w:szCs w:val="18"/>
          <w:color w:val="auto"/>
        </w:rPr>
        <w:t>. Pursuant to Section 16.1 of the Prior LLC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Members constituting the Prior Member Requisite Consent hereby amend and restate the Prior LLC Agreement on behalf of all Members (as that term is defined in the Prior LLC Agreement) and replace the Prior LLC Agreement on behalf of all Members (as that term is defined in the Prior LLC Agreement) with this Agreement, and any Member (as that term is defined in the Prior LLC Agreement) who does not sign this Agreement shall be bound by the terms and conditions of this Agreement pursuant to Section 16.1 of the Prior LLC Agreement as if that Member (as that term is defined in the Prior LLC Agreement) had signed this Agreement. Furthermore, the Members constituting the Prior Member Requisite Consent, on behalf of all of the Members (as defined in the Prior LLC Agreement) acknowledge and agree that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to this Agreement will be based on the Final Merger Consideration Spreadsheet (as that term is defined in the Merger Agreement) with respect to the Members, which will be determinative absent manifest mathematical error, and each Member (as that term is defined in the Prior LLC Agreement) shall hold that number of Common Units set forth on such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(in lieu of the number of Units (as defined in the Prior LLC Agreement)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the Prior LLC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480" w:top="264" w:right="499" w:bottom="1440" w:gutter="0" w:footer="0" w:header="0"/>
        </w:sectPr>
      </w:pPr>
    </w:p>
    <w:bookmarkStart w:id="169" w:name="page170"/>
    <w:bookmarkEnd w:id="169"/>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Third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12700</wp:posOffset>
            </wp:positionV>
            <wp:extent cx="24288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4885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Third Amended and Restated Limited Liability Company Agreement]</w:t>
      </w:r>
    </w:p>
    <w:p>
      <w:pPr>
        <w:sectPr>
          <w:pgSz w:w="11900" w:h="16838" w:orient="portrait"/>
          <w:cols w:equalWidth="0" w:num="1">
            <w:col w:w="10300"/>
          </w:cols>
          <w:pgMar w:left="480" w:top="264" w:right="1119" w:bottom="1440" w:gutter="0" w:footer="0" w:header="0"/>
        </w:sectPr>
      </w:pPr>
    </w:p>
    <w:bookmarkStart w:id="170" w:name="page171"/>
    <w:bookmarkEnd w:id="170"/>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Third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12700</wp:posOffset>
            </wp:positionV>
            <wp:extent cx="24288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4885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Third Amended and Restated Limited Liability Company Agreement]</w:t>
      </w:r>
    </w:p>
    <w:p>
      <w:pPr>
        <w:sectPr>
          <w:pgSz w:w="11900" w:h="16838" w:orient="portrait"/>
          <w:cols w:equalWidth="0" w:num="1">
            <w:col w:w="10300"/>
          </w:cols>
          <w:pgMar w:left="480" w:top="264" w:right="1119" w:bottom="1440" w:gutter="0" w:footer="0" w:header="0"/>
        </w:sectPr>
      </w:pPr>
    </w:p>
    <w:bookmarkStart w:id="171" w:name="page172"/>
    <w:bookmarkEnd w:id="171"/>
    <w:p>
      <w:pPr>
        <w:ind w:firstLine="436"/>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Third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0" w:lineRule="exact"/>
        <w:rPr>
          <w:sz w:val="20"/>
          <w:szCs w:val="20"/>
          <w:color w:val="auto"/>
        </w:rPr>
      </w:pPr>
    </w:p>
    <w:p>
      <w:pPr>
        <w:spacing w:after="0" w:line="2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u w:val="single" w:color="auto"/>
          <w:color w:val="auto"/>
        </w:rPr>
        <w:t>Name of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-127635</wp:posOffset>
            </wp:positionV>
            <wp:extent cx="27686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12700</wp:posOffset>
            </wp:positionV>
            <wp:extent cx="24288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4885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Third Amended and Restated Limited Liability Company Agreement]</w:t>
      </w:r>
    </w:p>
    <w:p>
      <w:pPr>
        <w:sectPr>
          <w:pgSz w:w="11900" w:h="16838" w:orient="portrait"/>
          <w:cols w:equalWidth="0" w:num="1">
            <w:col w:w="10300"/>
          </w:cols>
          <w:pgMar w:left="480" w:top="264" w:right="111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EXCHANGE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9"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25"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This EXCHANGE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2021, is entered into by and among Bakkt Holdings, Inc., a Delaware corporation (together with any successor thereto,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Bakkt Opco Holdings, LLC, a Delaware limited liability company (together with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Unitholders of the Company from time to time party hereto.</w:t>
      </w:r>
    </w:p>
    <w:p>
      <w:pPr>
        <w:spacing w:after="0" w:line="175"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WHEREAS, the parties hereto desire to provide for the exchange of Paired Interests (as defined herein) for shares of Class A Common Stock (as defined herein) or the Cash Amount (as defined herein), on the terms and subject to the conditions set forth herein.</w:t>
      </w:r>
    </w:p>
    <w:p>
      <w:pPr>
        <w:spacing w:after="0" w:line="162" w:lineRule="exact"/>
        <w:rPr>
          <w:sz w:val="20"/>
          <w:szCs w:val="20"/>
          <w:color w:val="auto"/>
        </w:rPr>
      </w:pPr>
    </w:p>
    <w:p>
      <w:pPr>
        <w:ind w:right="1020" w:firstLine="982"/>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1.1 Definitions.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definitions shall be for all purposes, unless otherwise clearly indicated to the contrary, applied to the terms used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Bakkt Pubco.</w:t>
      </w:r>
    </w:p>
    <w:p>
      <w:pPr>
        <w:spacing w:after="0" w:line="221"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80"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Amount</w:t>
      </w:r>
      <w:r>
        <w:rPr>
          <w:rFonts w:ascii="Times New Roman" w:cs="Times New Roman" w:eastAsia="Times New Roman" w:hAnsi="Times New Roman"/>
          <w:sz w:val="18"/>
          <w:szCs w:val="18"/>
          <w:color w:val="auto"/>
        </w:rPr>
        <w:t xml:space="preserve">” means the amount of cash equal to the Cash Amount Per Share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Common Units transferred in connection with the applicable Exchange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Exchange Rate.</w:t>
      </w:r>
    </w:p>
    <w:p>
      <w:pPr>
        <w:spacing w:after="0" w:line="162" w:lineRule="exact"/>
        <w:rPr>
          <w:sz w:val="20"/>
          <w:szCs w:val="20"/>
          <w:color w:val="auto"/>
        </w:rPr>
      </w:pPr>
    </w:p>
    <w:p>
      <w:pPr>
        <w:ind w:right="42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Amount Per Share</w:t>
      </w:r>
      <w:r>
        <w:rPr>
          <w:rFonts w:ascii="Times New Roman" w:cs="Times New Roman" w:eastAsia="Times New Roman" w:hAnsi="Times New Roman"/>
          <w:sz w:val="18"/>
          <w:szCs w:val="18"/>
          <w:color w:val="auto"/>
        </w:rPr>
        <w:t>” means the amount of cash per share of Class A Common Stock equal to the Value of such share of Class A Common Stock.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Election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has the meaning given to such term in the Tax Receivable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$0.0001 per share, of Bakkt Pubco.</w:t>
      </w:r>
    </w:p>
    <w:p>
      <w:pPr>
        <w:sectPr>
          <w:pgSz w:w="11900" w:h="16838" w:orient="portrait"/>
          <w:cols w:equalWidth="0" w:num="1">
            <w:col w:w="10920"/>
          </w:cols>
          <w:pgMar w:left="480" w:top="264" w:right="499" w:bottom="1440" w:gutter="0" w:footer="0" w:header="0"/>
        </w:sectPr>
      </w:pPr>
    </w:p>
    <w:bookmarkStart w:id="174" w:name="page175"/>
    <w:bookmarkEnd w:id="1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 means the Class V common stock, par value $0.0001 per share, of Bakkt Pubco.</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has the meaning given to such term in the Company LLC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right="1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LLC Agreement</w:t>
      </w:r>
      <w:r>
        <w:rPr>
          <w:rFonts w:ascii="Times New Roman" w:cs="Times New Roman" w:eastAsia="Times New Roman" w:hAnsi="Times New Roman"/>
          <w:sz w:val="18"/>
          <w:szCs w:val="18"/>
          <w:color w:val="auto"/>
        </w:rPr>
        <w:t>” means the Third Amended and Restated Limited Liability Company Agreement of the Company, dated the date hereof, as such agreement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has the meaning given to such term in the Company LLC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of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1"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means the later of (i) the date specified in the Election of Exchange, (ii) the date upon which the contingencies described in such Election of Exchange are satisfied, or (iii) the first Business Day that occurs after the day on which the Election Response Period ends, as applicable.</w:t>
      </w:r>
    </w:p>
    <w:p>
      <w:pPr>
        <w:spacing w:after="0" w:line="175" w:lineRule="exact"/>
        <w:rPr>
          <w:sz w:val="20"/>
          <w:szCs w:val="20"/>
          <w:color w:val="auto"/>
        </w:rPr>
      </w:pPr>
    </w:p>
    <w:p>
      <w:pPr>
        <w:ind w:right="6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at any time, the number of shares of Class A Common Stock for which a Paired Interest is entitled to be exchanged at such time. On the date of this Agreement, the Exchange Rate shall be one, subject to adjustment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Paired Interest</w:t>
      </w:r>
      <w:r>
        <w:rPr>
          <w:rFonts w:ascii="Times New Roman" w:cs="Times New Roman" w:eastAsia="Times New Roman" w:hAnsi="Times New Roman"/>
          <w:sz w:val="18"/>
          <w:szCs w:val="18"/>
          <w:color w:val="auto"/>
        </w:rPr>
        <w:t>” means one Common Unit together with one share of Class V Common Stock.</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firm, corporation, limited liability company, association, trust, unincorporated organization or other entity, as well as any syndicate or group that would be deemed to be a person under Section 13(d)(3) of the Exchange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Traded</w:t>
      </w:r>
      <w:r>
        <w:rPr>
          <w:rFonts w:ascii="Times New Roman" w:cs="Times New Roman" w:eastAsia="Times New Roman" w:hAnsi="Times New Roman"/>
          <w:sz w:val="18"/>
          <w:szCs w:val="18"/>
          <w:color w:val="auto"/>
        </w:rPr>
        <w:t>” means listed or admitted to trading on the New York Stock Exchange or another national securities exchange.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8" w:right="539" w:bottom="1440" w:gutter="0" w:footer="0" w:header="0"/>
        </w:sectPr>
      </w:pPr>
    </w:p>
    <w:bookmarkStart w:id="175" w:name="page176"/>
    <w:bookmarkEnd w:id="175"/>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that certain Registration Rights Agreement, dated as of the date hereof, by and among Bakkt Pubco, the Unitholders and VPC Impact Acquisition Holdings Sponsor, LLC (together with any joinder thereto from time to time by any successor or assign to any party to such agreement).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that certain Stockholders Agreement, dated as of the date hereof, by and among Bakkt Pubco, each of the Unitholders listed on Schedule 1 thereto, and VPC Impact Acquisition Holdings Sponsor, LLC, a Delaware limited liability company.</w:t>
      </w:r>
    </w:p>
    <w:p>
      <w:pPr>
        <w:spacing w:after="0" w:line="162" w:lineRule="exact"/>
        <w:rPr>
          <w:sz w:val="20"/>
          <w:szCs w:val="20"/>
          <w:color w:val="auto"/>
        </w:rPr>
      </w:pPr>
    </w:p>
    <w:p>
      <w:pPr>
        <w:ind w:right="3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means that certain Tax Receivable Agreement, dated as of the date hereof, by and among the Company, Bakkt Pubco, and the other parties from time to time party thereto, as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Transaction</w:t>
      </w:r>
      <w:r>
        <w:rPr>
          <w:rFonts w:ascii="Times New Roman" w:cs="Times New Roman" w:eastAsia="Times New Roman" w:hAnsi="Times New Roman"/>
          <w:sz w:val="18"/>
          <w:szCs w:val="18"/>
          <w:color w:val="auto"/>
        </w:rPr>
        <w:t>” has the meaning set forth in the Company LLC Agreement.</w:t>
      </w:r>
    </w:p>
    <w:p>
      <w:pPr>
        <w:spacing w:after="0" w:line="221" w:lineRule="exact"/>
        <w:rPr>
          <w:sz w:val="20"/>
          <w:szCs w:val="20"/>
          <w:color w:val="auto"/>
        </w:rPr>
      </w:pPr>
    </w:p>
    <w:p>
      <w:pPr>
        <w:ind w:right="6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Unitholder</w:t>
      </w:r>
      <w:r>
        <w:rPr>
          <w:rFonts w:ascii="Times New Roman" w:cs="Times New Roman" w:eastAsia="Times New Roman" w:hAnsi="Times New Roman"/>
          <w:sz w:val="18"/>
          <w:szCs w:val="18"/>
          <w:color w:val="auto"/>
        </w:rPr>
        <w:t>” means each holder of one or more Common Units that may from time to time be a party to this Agreement.</w:t>
      </w:r>
    </w:p>
    <w:p>
      <w:pPr>
        <w:spacing w:after="0" w:line="221"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date of receipt of the applicable Election of Exchange. If the shares of Class A Common Stock are not Publicly Traded, the Value of a share of Class A Common Stock means the amount that a holder of a share of Class A Common Stock would receive if each of the assets of Bakkt Pubco were to be sold for its fair market value on the date of delivery of the applicable Election of Exchange, Bakkt Pubco were to pay all of its outstanding liabilities, and the remaining proceeds were to be distributed to the holders of Bakkt Pubco’s equity, and such Value shall be determined by an independent valuation firm selected by the Company, acting in good faith and based upon a commercially reasonable estimate of the amount that would be realized by Bakkt Pubco if each asset of Bakkt Pubco (and each asset of each partnership, limited liability company, trust, joint venture or other entity in which Bakkt Pubco owns a direct or indirect interest) were sold to an unrelated purchaser in an arms’ length transaction where neither the purchaser nor the seller were under economic compulsion to enter into the transaction (without regard to any discount in value as a result of Bakkt Pubco’s minority interest in any property or any illiquidity of Bakkt Pubco’s interest in any property).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8" w:right="5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2.1 Exchange of Paired Interests for Class A Common Stock.</w:t>
      </w:r>
    </w:p>
    <w:p>
      <w:pPr>
        <w:spacing w:after="0" w:line="114" w:lineRule="exact"/>
        <w:rPr>
          <w:sz w:val="20"/>
          <w:szCs w:val="20"/>
          <w:color w:val="auto"/>
        </w:rPr>
      </w:pPr>
    </w:p>
    <w:p>
      <w:pPr>
        <w:ind w:left="-20" w:firstLine="990"/>
        <w:spacing w:after="0" w:line="252" w:lineRule="auto"/>
        <w:tabs>
          <w:tab w:leader="none" w:pos="120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of this Agreement, after the date that is six (6) months after the date of this Agreement, each Unitholder (other than Bakkt Pubco) shall be entitled at any time, and from time to time, but no more than once per calendar month without the prior consent of Bakkt Pubco and the Company, to surrender Paired Interests (other than those that include unvested Common Units) to Bakkt Pubco in exchange for the delivery to the exchanging Unitholder of, in the sole and absolute discretion of Bakkt Pubco, either (i) a number of shares of Class A Common Stock that is equal to the product of the number of Paired Interests surrendered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Exchange Rate or (ii)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Cash Amount (such exchange,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Exchange is for a minimum of the lesser of (A) 25,000 Paired Interests (which minimum shall be equitably adjusted in accordance with any adjustments to the Exchange Rate) or (B) all of the Paired Interests (other than those that include unvested Common Units) held by such Unitholder.</w:t>
      </w:r>
    </w:p>
    <w:p>
      <w:pPr>
        <w:spacing w:after="0" w:line="80" w:lineRule="exact"/>
        <w:rPr>
          <w:rFonts w:ascii="Times New Roman" w:cs="Times New Roman" w:eastAsia="Times New Roman" w:hAnsi="Times New Roman"/>
          <w:sz w:val="18"/>
          <w:szCs w:val="18"/>
          <w:color w:val="auto"/>
        </w:rPr>
      </w:pPr>
    </w:p>
    <w:p>
      <w:pPr>
        <w:ind w:left="-20" w:right="20" w:firstLine="990"/>
        <w:spacing w:after="0" w:line="249" w:lineRule="auto"/>
        <w:tabs>
          <w:tab w:leader="none" w:pos="12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Unitholder shall exercise its right to make an Exchange as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above by delivering to Bakkt Pubco and to the Company a written election of Exchange (the “</w:t>
      </w:r>
      <w:r>
        <w:rPr>
          <w:rFonts w:ascii="Times New Roman" w:cs="Times New Roman" w:eastAsia="Times New Roman" w:hAnsi="Times New Roman"/>
          <w:sz w:val="18"/>
          <w:szCs w:val="18"/>
          <w:u w:val="single" w:color="auto"/>
          <w:color w:val="auto"/>
        </w:rPr>
        <w:t>Election of Exchange</w:t>
      </w:r>
      <w:r>
        <w:rPr>
          <w:rFonts w:ascii="Times New Roman" w:cs="Times New Roman" w:eastAsia="Times New Roman" w:hAnsi="Times New Roman"/>
          <w:sz w:val="18"/>
          <w:szCs w:val="18"/>
          <w:color w:val="auto"/>
        </w:rPr>
        <w:t xml:space="preserve">”) in respect of the Paired Interests to be exchanged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the certificates, if any, representing the associated Common Units and the shares of Class V Common Stock corresponding to such Common Units, duly executed by such holder or such holder’s duly authorized attorney, in each case delivered during normal business hours at the principal executive offices of Bakkt Pubco and of the Company. An Election of Exchange may specify that the Exchange is to be (x) contingent (including as to the timing) upon the consummation of a purchase by another Person (whether in a tender or exchange offer, an underwritten offering or otherwise) of shares of any Class A Common Stock into which the Paired Interests are exchangeable, or contingent (including as to timing) upon the closing of an announced merger, consolidation or other transaction or event in which any Class A Common Stock would be exchanged or converted or become exchangeable for or convertible into cash or other securities or property or (y) effective no more than fifteen (15) Business Days following delivery of the Election of Exchange. Within three (3) Business Days of delivery of such Election of Exchange (and the concurrent consummation of the transfer of the Paired Interests from such Unitholder to Bakkt Pubco), Bakkt Pubco shall deliver or cause to be delivered at the offices of the then-acting registrar and transfer agent of the Class A Common Stock or, if there is no then-acting registrar and transfer agent of the Class A Common Stock, at the principal executive offices of Bakkt Pubco, the number of shares of Class A Common Stock deliverable upon such Exchange, registered in the name of the relevant exchanging Unitholder or its designee, unless Bakkt Pubco elects to pay the Cash Amount in accordance with and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Bakkt Pubco and the Unitholder may change the number of Paired Interests to be exchanged specified in such Election of Exchange to another number by mutual agreement signed in writing by each of them. An Exchange shall be effective the moment in time immediately prior to the close of business on the Exchange Date and the Unitholder (or other Person(s) whose name or names in which any Class A Common Stock is to be issued) shall be deemed to be a holder of any Class A Common Stock from and after the effectiveness of the Exchange. Notwithstanding the foregoing, if the Class A Common Stock is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4" w:right="519" w:bottom="1440" w:gutter="0" w:footer="0" w:header="0"/>
        </w:sectPr>
      </w:pPr>
    </w:p>
    <w:bookmarkStart w:id="177" w:name="page178"/>
    <w:bookmarkEnd w:id="17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settled through the facilities of The Depository Trust Company, and the exchanging Unitholder is permitted to hold shares of Class A Common Stock through The Depository Trust Company, Bakkt Pubco will, upon the written instruction of an exchanging Unitholder, use its reasonable best efforts to deliver or cause to be delivered the shares of Class A Common Stock deliverable to such exchanging Unitholder, through the facilities of The Depository Trust Company, to the account of the participant of The Depository Trust Company designated by such exchanging Unitholder. When a Paired Interest has been Exchanged in accordance with this Agreement for shares of Class A Common Stock or the Cash Amount: (i) the share of Class V Common Stock corresponding to such Paired Interest shall be cancelled for no consideration by Bakkt Pubco, and Bakkt Pubco shall cause such cancellation to be registered in the books and records of Bakkt Pubco; and (ii) the Common Unit corresponding to such Paired Interest shall be transferred from the exchanging Unitholder to Bakkt Pubco, and the Company shall cause such transfer to be registered in the books and records of the Company. Bakkt Pubco, including in its capacity as the managing member of the Company, shall take such actions as may be required to ensure the performance by the Company of its obligations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firstLine="990"/>
        <w:spacing w:after="0" w:line="267" w:lineRule="auto"/>
        <w:tabs>
          <w:tab w:leader="none" w:pos="1225"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an Election of Exchange may be withdrawn or amended, in whole or in part, prior to the effectiveness of the Exchange (including following the delivery of a Cash Election Notice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at any time prior to 5:00 p.m., New York City time, on the Business Day immediately preceding the Exchange Date (excluding clause (iii) of the definition of Exchange Date for such purpose) (or if later, at any time within twenty-four (24) hours of the delivery of a Cash Election Notice (the “</w:t>
      </w:r>
      <w:r>
        <w:rPr>
          <w:rFonts w:ascii="Times New Roman" w:cs="Times New Roman" w:eastAsia="Times New Roman" w:hAnsi="Times New Roman"/>
          <w:sz w:val="17"/>
          <w:szCs w:val="17"/>
          <w:u w:val="single" w:color="auto"/>
          <w:color w:val="auto"/>
        </w:rPr>
        <w:t>Election Response Period</w:t>
      </w:r>
      <w:r>
        <w:rPr>
          <w:rFonts w:ascii="Times New Roman" w:cs="Times New Roman" w:eastAsia="Times New Roman" w:hAnsi="Times New Roman"/>
          <w:sz w:val="17"/>
          <w:szCs w:val="17"/>
          <w:color w:val="auto"/>
        </w:rPr>
        <w:t>”)) by delivery of a written notice of withdrawal to Bakkt Pubco and the Company or the then-acting registrar and transfer agent of the Class A Common Stock, specifying</w:t>
      </w:r>
    </w:p>
    <w:p>
      <w:pPr>
        <w:spacing w:after="0" w:line="1" w:lineRule="exact"/>
        <w:rPr>
          <w:rFonts w:ascii="Times New Roman" w:cs="Times New Roman" w:eastAsia="Times New Roman" w:hAnsi="Times New Roman"/>
          <w:sz w:val="17"/>
          <w:szCs w:val="17"/>
          <w:color w:val="auto"/>
        </w:rPr>
      </w:pPr>
    </w:p>
    <w:p>
      <w:pPr>
        <w:ind w:right="80" w:firstLine="7"/>
        <w:spacing w:after="0" w:line="250" w:lineRule="auto"/>
        <w:tabs>
          <w:tab w:leader="none" w:pos="25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withdrawn Paired Interests, (2) if any, the number of Paired Interests as to which the Election of Exchange remains in effect and (3) if such Unitholder so determines, a new Exchange Date or any other new or revised information permitted in the Election of Exchange (which new Exchange Date shall not be earlier than the date that is three (3) Business Days after the date such notice of withdrawal is received by Bakkt Pubco and the Company and shall not be more than fifteen (15) Business Days later than the original Exchange Date.</w:t>
      </w:r>
    </w:p>
    <w:p>
      <w:pPr>
        <w:spacing w:after="0" w:line="81" w:lineRule="exact"/>
        <w:rPr>
          <w:rFonts w:ascii="Times New Roman" w:cs="Times New Roman" w:eastAsia="Times New Roman" w:hAnsi="Times New Roman"/>
          <w:sz w:val="18"/>
          <w:szCs w:val="18"/>
          <w:color w:val="auto"/>
        </w:rPr>
      </w:pPr>
    </w:p>
    <w:p>
      <w:pPr>
        <w:ind w:right="20" w:firstLine="990"/>
        <w:spacing w:after="0" w:line="253" w:lineRule="auto"/>
        <w:tabs>
          <w:tab w:leader="none" w:pos="123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Registration Rights Agreement, Bakkt Pubco, the Company and each exchanging Unitholder shall bear its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shares of Class A Common Stock are to be delivered in a name other than that of the Unitholder that requested the Exchange, then such Unitholder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184" w:lineRule="exact"/>
        <w:rPr>
          <w:rFonts w:ascii="Times New Roman" w:cs="Times New Roman" w:eastAsia="Times New Roman" w:hAnsi="Times New Roman"/>
          <w:sz w:val="18"/>
          <w:szCs w:val="18"/>
          <w:color w:val="auto"/>
        </w:rPr>
      </w:pPr>
    </w:p>
    <w:p>
      <w:pPr>
        <w:ind w:right="320" w:firstLine="990"/>
        <w:spacing w:after="0" w:line="263" w:lineRule="auto"/>
        <w:tabs>
          <w:tab w:leader="none" w:pos="122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herein, a Unitholder shall not be entitled to effect an Exchange to the extent Bakkt Pubco determines that such Exchange (i) would be prohibited by law or regulation (including the unavailability of any requisite registration statement filed under the U.S. Securities Act of 1933,</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178" w:name="page179"/>
    <w:bookmarkEnd w:id="178"/>
    <w:p>
      <w:pPr>
        <w:jc w:val="both"/>
        <w:ind w:right="4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exemption from the registration requirements thereunder) or (ii) would not be permitted under any other agreements with Bakkt Pubco or its subsidiaries to which such Unitholder may be party (including the Company LLC Agreement) or any written policies of Bakkt Pubco related to unlawful or inappropriate trading applicable to its directors, officers or other personnel.</w:t>
      </w:r>
    </w:p>
    <w:p>
      <w:pPr>
        <w:spacing w:after="0" w:line="68" w:lineRule="exact"/>
        <w:rPr>
          <w:sz w:val="20"/>
          <w:szCs w:val="20"/>
          <w:color w:val="auto"/>
        </w:rPr>
      </w:pPr>
    </w:p>
    <w:p>
      <w:pPr>
        <w:ind w:right="600" w:firstLine="990"/>
        <w:spacing w:after="0" w:line="278" w:lineRule="auto"/>
        <w:tabs>
          <w:tab w:leader="none" w:pos="120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issued upon an Exchange, other than any such shares issued in an Exchange subject to an effective registration statement under the Securities Act, shall bear a legend in substantially the following form:</w:t>
      </w:r>
    </w:p>
    <w:p>
      <w:pPr>
        <w:spacing w:after="0" w:line="55" w:lineRule="exact"/>
        <w:rPr>
          <w:sz w:val="20"/>
          <w:szCs w:val="20"/>
          <w:color w:val="auto"/>
        </w:rPr>
      </w:pPr>
    </w:p>
    <w:p>
      <w:pPr>
        <w:jc w:val="both"/>
        <w:ind w:left="980" w:right="200"/>
        <w:spacing w:after="0" w:line="285"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AND MAY NOT BE SOLD OR TRANSFERRED IN THE ABSENCE OF AN EFFECTIVE REGISTRATION STATEMENT UNDER THE ACT OR AN EXEMPTION FROM REGISTRATION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Pubco shall imprint such legend on certificates (if any) evidencing the shares of Class A Common Stock.</w:t>
      </w:r>
    </w:p>
    <w:p>
      <w:pPr>
        <w:spacing w:after="0" w:line="221"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u w:val="single" w:color="auto"/>
          <w:color w:val="auto"/>
        </w:rPr>
        <w:t>SECTION 2.2 Adjustment</w:t>
      </w:r>
      <w:r>
        <w:rPr>
          <w:rFonts w:ascii="Times New Roman" w:cs="Times New Roman" w:eastAsia="Times New Roman" w:hAnsi="Times New Roman"/>
          <w:sz w:val="18"/>
          <w:szCs w:val="18"/>
          <w:color w:val="auto"/>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Common Units or the Class V Common Stock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Common Units and the Class V Common Stock. If there is any reclassification, reorganization, recapitalization or other similar transaction (including any Change of Control) in which the Class A Common Stock is converted or changed into another security, securities or other property, then upon any subsequent Exchange, an exchanging Unitholder shall be entitled to receive the amount of such security, securities or other property that such exchanging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This Agreement shall apply to,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all references to “Paired Interests” shall be deemed to include, any security, securities or other property of Bakkt Pubco or the Company which may be issued in respect of, in exchange for or in substitution of shares of Class V Common Stock or Common Units, as applicable, by reason of stock or unit split, reverse stock or unit split, stock or unit dividend or distribution, combination, reclassification, reorganization, recapitalization, merger, exchange (other than an Exchange) or other transaction (including any Change of Control). Except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179" w:name="page180"/>
    <w:bookmarkEnd w:id="179"/>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 adjustments to the Exchange Rate, or otherwise relating to distributions shall be made with respect to the exchange of any Paired Interest. If the Exchange Date with respect to a Common Unit occurs after the record date for the payment of a distribution on Common Units but before the date of the payment, then the Unitholder as of the record date will be entitled to receive the distribution payable on the Common Unit on the payment date notwithstanding the Exchange of the Paired Interests or a default in payment of the distribution due as of the Exchange Date. For the avoidance of doubt, no Unitholder, or Person designated by a Unitholder to receive shares of Class A Common Stock, shall be entitled to receive, with respect to such record date, distributions or dividends both on Common Units exchanged by such Unitholder and on shares of Class A Common Stock received by such Unitholder, or other Person so designated, if applicable, in such Exchange.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2.3 Class A Common Stock to be Issued.</w:t>
      </w:r>
    </w:p>
    <w:p>
      <w:pPr>
        <w:spacing w:after="0" w:line="114" w:lineRule="exact"/>
        <w:rPr>
          <w:sz w:val="20"/>
          <w:szCs w:val="20"/>
          <w:color w:val="auto"/>
        </w:rPr>
      </w:pPr>
    </w:p>
    <w:p>
      <w:pPr>
        <w:ind w:right="20" w:firstLine="990"/>
        <w:spacing w:after="0" w:line="253" w:lineRule="auto"/>
        <w:tabs>
          <w:tab w:leader="none" w:pos="122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Bakkt Pubco shall at all times reserve and keep available out of its authorized but unissued Class A Common Stock, solely for the purpose of issuance upon an Exchange, such number of shares of Class A Common Stock as may be deliverable upon any such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be construed to preclude Bakkt Pubco from satisfying its obligations in respect of the Exchange of the Paired Interests by delivery of shares of Class A Common Stock which are held in the treasury of Bakkt Pubco or by delivery of purchased shares of Class A Common Stock (which may or may not be held in the treasury of Bakkt Pubco or held by any subsidiary thereof), or by delivery of the Cash Amount. Bakkt Pubco and the Company covenant that all Class A Common Stock issued upon an Exchange will, upon issuance, be validly issued, fully paid and non-assessable.</w:t>
      </w:r>
    </w:p>
    <w:p>
      <w:pPr>
        <w:spacing w:after="0" w:line="77" w:lineRule="exact"/>
        <w:rPr>
          <w:rFonts w:ascii="Times New Roman" w:cs="Times New Roman" w:eastAsia="Times New Roman" w:hAnsi="Times New Roman"/>
          <w:sz w:val="18"/>
          <w:szCs w:val="18"/>
          <w:color w:val="auto"/>
        </w:rPr>
      </w:pPr>
    </w:p>
    <w:p>
      <w:pPr>
        <w:ind w:right="120" w:firstLine="990"/>
        <w:spacing w:after="0" w:line="270" w:lineRule="auto"/>
        <w:tabs>
          <w:tab w:leader="none" w:pos="1235"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Bakkt Pubco and the Company shall at all times ensure that the execution and delivery of this Agreement by each of Bakkt Pubco and the Company and the consummation by each of Bakkt Pubco and the Company of the transactions contemplated hereby (including without limitation, the issuance of the Class A Common Stock) have been duly authorized by all necessary corporate or limited liability company action, as the case may be, on the part of Bakkt Pubco and the Company, including, but not limited to, all actions necessary to ensure that the acquisition of shares of Class A Common Stock pursuant to the transactions contemplated hereby, to the fullest extent of Bakkt Pubco’s board of directors’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w:t>
      </w:r>
    </w:p>
    <w:p>
      <w:pPr>
        <w:spacing w:after="0" w:line="172" w:lineRule="exact"/>
        <w:rPr>
          <w:rFonts w:ascii="Times New Roman" w:cs="Times New Roman" w:eastAsia="Times New Roman" w:hAnsi="Times New Roman"/>
          <w:sz w:val="17"/>
          <w:szCs w:val="17"/>
          <w:color w:val="auto"/>
        </w:rPr>
      </w:pPr>
    </w:p>
    <w:p>
      <w:pPr>
        <w:ind w:firstLine="990"/>
        <w:spacing w:after="0" w:line="252" w:lineRule="auto"/>
        <w:tabs>
          <w:tab w:leader="none" w:pos="122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 and the Company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Unitholder requesting such Exchange, Bakkt Pubco and the Company shall use commercially reasonable efforts to promptly facilitate such Exchange pursuant to any reasonably available exemption from such registration requirements. Bakkt Pubco and the Company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180" w:name="page181"/>
    <w:bookmarkEnd w:id="180"/>
    <w:p>
      <w:pPr>
        <w:ind w:right="80" w:firstLine="990"/>
        <w:spacing w:after="0" w:line="263" w:lineRule="auto"/>
        <w:tabs>
          <w:tab w:leader="none" w:pos="123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anything to the contrary in this Agreement, no fractional shares of Class A Common Stock shall be issued as a result of any Exchange. In lieu of any fractional share of Class A Common Stock to which a Unitholder would otherwise be entitled in any Exchange, the Company or Bakkt Pubco, as applicable, shall pay to such Unitholder cash equal to such fraction multiplied by the Value.</w:t>
      </w:r>
    </w:p>
    <w:p>
      <w:pPr>
        <w:spacing w:after="0" w:line="175"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2.4 Exchange for Cash Amount</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by delivery of an Election of Exchange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applicable holder shall be deemed to have offered to sell its Paired Interests described in the Election of Exchange to Bakkt Pubco, and Bakkt Pubco may, in its sole and absolute discretion, by means of delivery of a notice to such effect (the “Cash Election Notice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no later than the date which is three Business Days following the delivery of such Election of Exchange, elect to purchase directly and acquire such Paired Interests by paying to such holder the Cash Amount, whereupon Bakkt Pubco shall acquire the Paired Interest offered for Exchange by such holder. As promptly as practicable following the delivery of the Cash Election Notice, but in any event, no more than five (5) Business Days after delivery of an Election of Exchange (unless Bakkt Pubco in its sole discretion agrees in writing to a shorter period), Bakkt Pubco shall deposit or cause to be deposited the Cash Amount in the account of such exchanging holder specified in its Election of Exchange. In the event that Bakkt Pubco does not deliver the Cash Election Notice prior to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Business Day immediately following the delivery of such Election of Exchange, it shall be deemed to have elected to settle the Exchange with shares of Class A Common Stock.</w:t>
      </w:r>
    </w:p>
    <w:p>
      <w:pPr>
        <w:spacing w:after="0" w:line="189" w:lineRule="exact"/>
        <w:rPr>
          <w:sz w:val="20"/>
          <w:szCs w:val="20"/>
          <w:color w:val="auto"/>
        </w:rPr>
      </w:pPr>
    </w:p>
    <w:p>
      <w:pPr>
        <w:ind w:right="580"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t>SECTION 2.5 Termination Transactions</w:t>
      </w:r>
      <w:r>
        <w:rPr>
          <w:rFonts w:ascii="Times New Roman" w:cs="Times New Roman" w:eastAsia="Times New Roman" w:hAnsi="Times New Roman"/>
          <w:sz w:val="18"/>
          <w:szCs w:val="18"/>
          <w:color w:val="auto"/>
        </w:rPr>
        <w:t>. The Company may only require and initiate an Exchange to the extent contemplated and permitted by Section 10.8 of the Company LLC Agreement.</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right="40" w:firstLine="98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3.1 Additional Unitholders</w:t>
      </w:r>
      <w:r>
        <w:rPr>
          <w:rFonts w:ascii="Times New Roman" w:cs="Times New Roman" w:eastAsia="Times New Roman" w:hAnsi="Times New Roman"/>
          <w:sz w:val="18"/>
          <w:szCs w:val="18"/>
          <w:color w:val="auto"/>
        </w:rPr>
        <w:t>. To the extent a Unitholder validly transfers any or all of such holder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Paired Interests to another person in a transaction in accordance with, and not in contravention of, the Company LLC Agreement, the Stockholders Agreement, the Registration Rights Agreement or any other agreement or agreements with Bakkt Pubco or any of its subsidiaries to which a transferring Unitholder may be party, then such transferee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shall have the right to execute and deliver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whereupon such Permitted Transferee shall become a Unitholder hereunder. To the extent the Company issues Common Units in the future, the Company shall be entitled, in its sole discretion, to make any holder of such Common Units a Unitholder hereunder through such holder’s execution and delivery of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8" w:right="559" w:bottom="1440" w:gutter="0" w:footer="0" w:header="0"/>
        </w:sectPr>
      </w:pPr>
    </w:p>
    <w:bookmarkStart w:id="181" w:name="page182"/>
    <w:bookmarkEnd w:id="181"/>
    <w:p>
      <w:pPr>
        <w:jc w:val="both"/>
        <w:ind w:right="60" w:firstLine="982"/>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3.2 Addresses and 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 w:cs="Times New Roman" w:eastAsia="Times New Roman" w:hAnsi="Times New Roman"/>
          <w:sz w:val="18"/>
          <w:szCs w:val="18"/>
          <w:u w:val="single" w:color="auto"/>
          <w:color w:val="auto"/>
        </w:rPr>
        <w:t>Section 3.2):</w:t>
      </w:r>
    </w:p>
    <w:p>
      <w:pPr>
        <w:spacing w:after="0" w:line="86" w:lineRule="exact"/>
        <w:rPr>
          <w:sz w:val="20"/>
          <w:szCs w:val="20"/>
          <w:color w:val="auto"/>
        </w:rPr>
      </w:pPr>
    </w:p>
    <w:p>
      <w:pPr>
        <w:ind w:left="1420" w:hanging="436"/>
        <w:spacing w:after="0"/>
        <w:tabs>
          <w:tab w:leader="none" w:pos="14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Bakkt Pubco, to:</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Holdings, Inc.</w:t>
      </w:r>
    </w:p>
    <w:p>
      <w:pPr>
        <w:spacing w:after="0" w:line="25" w:lineRule="exact"/>
        <w:rPr>
          <w:rFonts w:ascii="Times New Roman" w:cs="Times New Roman" w:eastAsia="Times New Roman" w:hAnsi="Times New Roman"/>
          <w:sz w:val="18"/>
          <w:szCs w:val="18"/>
          <w:color w:val="auto"/>
        </w:rPr>
      </w:pPr>
    </w:p>
    <w:p>
      <w:pPr>
        <w:ind w:left="1420" w:right="6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5900 Windward Parkway, Suite 450 Alpharetta, GA 30005 Attention: General Counsel Email: marc.dannunzio@bakkt.com</w:t>
      </w:r>
    </w:p>
    <w:p>
      <w:pPr>
        <w:spacing w:after="0" w:line="94"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Bakkt Holdings, Inc.</w:t>
      </w:r>
    </w:p>
    <w:p>
      <w:pPr>
        <w:spacing w:after="0" w:line="25" w:lineRule="exact"/>
        <w:rPr>
          <w:rFonts w:ascii="Times New Roman" w:cs="Times New Roman" w:eastAsia="Times New Roman" w:hAnsi="Times New Roman"/>
          <w:sz w:val="18"/>
          <w:szCs w:val="18"/>
          <w:color w:val="auto"/>
        </w:rPr>
      </w:pPr>
    </w:p>
    <w:p>
      <w:pPr>
        <w:ind w:left="1420" w:right="6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5900 Windward Parkway, Suite 450 Alpharetta, GA 30005 Attention: General Counsel Email: marc.dannunzio@bakkt.com</w:t>
      </w:r>
    </w:p>
    <w:p>
      <w:pPr>
        <w:spacing w:after="0" w:line="94"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Unitholder, to the address and other contact information set forth in the records of the Company from time to time.</w:t>
      </w:r>
    </w:p>
    <w:p>
      <w:pPr>
        <w:spacing w:after="0" w:line="221"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t>SECTION 3.3 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62" w:lineRule="exact"/>
        <w:rPr>
          <w:sz w:val="20"/>
          <w:szCs w:val="20"/>
          <w:color w:val="auto"/>
        </w:rPr>
      </w:pPr>
    </w:p>
    <w:p>
      <w:pPr>
        <w:ind w:right="580"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t>SECTION 3.4 Binding Effect</w:t>
      </w:r>
      <w:r>
        <w:rPr>
          <w:rFonts w:ascii="Times New Roman" w:cs="Times New Roman" w:eastAsia="Times New Roman" w:hAnsi="Times New Roman"/>
          <w:sz w:val="18"/>
          <w:szCs w:val="18"/>
          <w:color w:val="auto"/>
        </w:rPr>
        <w:t>. This Agreement shall be binding upon and inure to the benefit of all of the parties and, to the extent permitted by this Agreement, their successors, executors, administrators, heirs, legal representatives and assigns.</w:t>
      </w:r>
    </w:p>
    <w:p>
      <w:pPr>
        <w:spacing w:after="0" w:line="162"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3.5 Severability</w:t>
      </w:r>
      <w:r>
        <w:rPr>
          <w:rFonts w:ascii="Times New Roman" w:cs="Times New Roman" w:eastAsia="Times New Roman" w:hAnsi="Times New Roman"/>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4" w:lineRule="exact"/>
        <w:rPr>
          <w:sz w:val="20"/>
          <w:szCs w:val="20"/>
          <w:color w:val="auto"/>
        </w:rPr>
      </w:pPr>
    </w:p>
    <w:p>
      <w:pPr>
        <w:ind w:right="40" w:firstLine="982"/>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3.6 Amendment</w:t>
      </w:r>
      <w:r>
        <w:rPr>
          <w:rFonts w:ascii="Times New Roman" w:cs="Times New Roman" w:eastAsia="Times New Roman" w:hAnsi="Times New Roman"/>
          <w:sz w:val="17"/>
          <w:szCs w:val="17"/>
          <w:color w:val="auto"/>
        </w:rPr>
        <w:t xml:space="preserve">. The provisions of this Agreement may be amended only by the affirmative vote or written consent of each of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Bakkt Pubco, (ii) the Company and (iii) Unitholders holding at least a majority of the then outstanding Common Units (excluding Common Units held by Bakkt Pubco); provided that no amendment may materially, disproportionately and adversely affect the rights of a Unitholder (other than Bakkt Pubco and its subsidiaries) without the consent of such Unitholder (or, if there is more than one such Unitholder that is so affected, without the consent of a majority in interest of such affected Unitholders (other than Bakkt Pubco and its subsidiaries) in accordance with their holdings of Common Units).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8" w:right="539" w:bottom="1440" w:gutter="0" w:footer="0" w:header="0"/>
        </w:sectPr>
      </w:pPr>
    </w:p>
    <w:bookmarkStart w:id="182" w:name="page183"/>
    <w:bookmarkEnd w:id="182"/>
    <w:p>
      <w:pPr>
        <w:jc w:val="both"/>
        <w:ind w:right="120" w:firstLine="982"/>
        <w:spacing w:after="0" w:line="26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3.7 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3.8 Submission to Jurisdiction; Waiver of Jury Trial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4" w:lineRule="auto"/>
        <w:tabs>
          <w:tab w:leader="none" w:pos="1225"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Times New Roman" w:cs="Times New Roman" w:eastAsia="Times New Roman" w:hAnsi="Times New Roman"/>
          <w:sz w:val="17"/>
          <w:szCs w:val="17"/>
          <w:u w:val="single" w:color="auto"/>
          <w:color w:val="auto"/>
        </w:rPr>
        <w:t>Section 3.8</w:t>
      </w:r>
      <w:r>
        <w:rPr>
          <w:rFonts w:ascii="Times New Roman" w:cs="Times New Roman" w:eastAsia="Times New Roman" w:hAnsi="Times New Roman"/>
          <w:sz w:val="17"/>
          <w:szCs w:val="17"/>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2"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laying of venue of any of the aforesaid actions arising out of or in connection with this Agreement brought in the courts referred to above;</w:t>
      </w:r>
    </w:p>
    <w:p>
      <w:pPr>
        <w:spacing w:after="0" w:line="6" w:lineRule="exact"/>
        <w:rPr>
          <w:rFonts w:ascii="Times New Roman" w:cs="Times New Roman" w:eastAsia="Times New Roman" w:hAnsi="Times New Roman"/>
          <w:sz w:val="18"/>
          <w:szCs w:val="18"/>
          <w:color w:val="auto"/>
        </w:rPr>
      </w:pPr>
    </w:p>
    <w:p>
      <w:pPr>
        <w:ind w:right="220" w:firstLine="7"/>
        <w:spacing w:after="0" w:line="256" w:lineRule="auto"/>
        <w:tabs>
          <w:tab w:leader="none" w:pos="28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action brought in any such court has been brought in an inconvenient forum and (C) that this Agreement, or the subject matter hereof or thereof, may not be enforced in or by such courts.</w:t>
      </w:r>
    </w:p>
    <w:p>
      <w:pPr>
        <w:spacing w:after="0" w:line="74" w:lineRule="exact"/>
        <w:rPr>
          <w:rFonts w:ascii="Times New Roman" w:cs="Times New Roman" w:eastAsia="Times New Roman" w:hAnsi="Times New Roman"/>
          <w:sz w:val="18"/>
          <w:szCs w:val="18"/>
          <w:color w:val="auto"/>
        </w:rPr>
      </w:pPr>
    </w:p>
    <w:p>
      <w:pPr>
        <w:ind w:right="200" w:firstLine="990"/>
        <w:spacing w:after="0" w:line="285" w:lineRule="auto"/>
        <w:tabs>
          <w:tab w:leader="none" w:pos="1235"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183" w:name="page184"/>
    <w:bookmarkEnd w:id="183"/>
    <w:p>
      <w:pPr>
        <w:ind w:right="280" w:firstLine="990"/>
        <w:spacing w:after="0" w:line="258" w:lineRule="auto"/>
        <w:tabs>
          <w:tab w:leader="none" w:pos="12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72" w:lineRule="exact"/>
        <w:rPr>
          <w:rFonts w:ascii="Times New Roman" w:cs="Times New Roman" w:eastAsia="Times New Roman" w:hAnsi="Times New Roman"/>
          <w:sz w:val="18"/>
          <w:szCs w:val="18"/>
          <w:color w:val="auto"/>
        </w:rPr>
      </w:pPr>
    </w:p>
    <w:p>
      <w:pPr>
        <w:ind w:right="20" w:firstLine="990"/>
        <w:spacing w:after="0" w:line="258" w:lineRule="auto"/>
        <w:tabs>
          <w:tab w:leader="none" w:pos="12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IRREVOCABLY AND UNCONDITIONALLY WAIVES TO THE FULLEST EXTENT PERMITTED BY APPLICABLE LAW ALL RIGHT TO TRIAL BY JURY IN ANY ACTION OR COUNTERCLAIM (WHETHER BASED ON CONTRACT, TORT OR OTHERWISE) ARISING OUT OF OR RELATING TO THE ACTIONS OF THE PARTIES PURSUANT TO THIS AGREEMENT IN THE NEGOTIATION, ADMINISTRATION, PERFORMANCE OR ENFORCEMENT HEREOF OR THEREOF.</w:t>
      </w:r>
    </w:p>
    <w:p>
      <w:pPr>
        <w:spacing w:after="0" w:line="72" w:lineRule="exact"/>
        <w:rPr>
          <w:rFonts w:ascii="Times New Roman" w:cs="Times New Roman" w:eastAsia="Times New Roman" w:hAnsi="Times New Roman"/>
          <w:sz w:val="18"/>
          <w:szCs w:val="18"/>
          <w:color w:val="auto"/>
        </w:rPr>
      </w:pPr>
    </w:p>
    <w:p>
      <w:pPr>
        <w:ind w:right="220" w:firstLine="990"/>
        <w:spacing w:after="0" w:line="263" w:lineRule="auto"/>
        <w:tabs>
          <w:tab w:leader="none" w:pos="12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and such parties agree not to plead or claim the same.</w:t>
      </w:r>
    </w:p>
    <w:p>
      <w:pPr>
        <w:spacing w:after="0" w:line="175"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3.9 Counterparts</w:t>
      </w:r>
      <w:r>
        <w:rPr>
          <w:rFonts w:ascii="Times New Roman" w:cs="Times New Roman" w:eastAsia="Times New Roman" w:hAnsi="Times New Roman"/>
          <w:sz w:val="18"/>
          <w:szCs w:val="18"/>
          <w:color w:val="auto"/>
        </w:rPr>
        <w:t xml:space="preserve">. This Agreement may be executed and delivered (including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3.10 Tax Treatment</w:t>
      </w:r>
      <w:r>
        <w:rPr>
          <w:rFonts w:ascii="Times New Roman" w:cs="Times New Roman" w:eastAsia="Times New Roman" w:hAnsi="Times New Roman"/>
          <w:sz w:val="18"/>
          <w:szCs w:val="18"/>
          <w:color w:val="auto"/>
        </w:rPr>
        <w:t>. This Agreement shall be treated as part of the partnership agreement of the Company as described in Section 761(c) of the Code and Sections 1.704-1(b)(2)(ii)(h) and 1.761-1(c) of the Treasury Regulations promulgated thereunder. As required by the Code and the Treasury Regulations, the parties shall report any Exchange consummated hereunder as a taxable sale of the Common Unit by a Unitholder to Bakkt Pubco, and no party shall take a contrary position on any income tax return, amendment thereof or communication with a taxing authority unless an alternate position is permitted under the Code and Treasury Regulations and Bakkt Pubco consents in writing, such consent not to be unreasonably withheld, conditioned, or delayed. Further, in connection with any Exchange consummated hereunder, the Company and/or Bakkt Pubco shall provide the exchanging Unitholder with all reasonably necessary information to enable the exchanging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180 days following the close of such taxable year (and, upon written request of an exchanging Unitholder, shall use commercially reasonable efforts to provide estimates of such information within 90 days following the close of such taxable year).</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480" w:top="269" w:right="559" w:bottom="1440" w:gutter="0" w:footer="0" w:header="0"/>
        </w:sectPr>
      </w:pPr>
    </w:p>
    <w:bookmarkStart w:id="184" w:name="page185"/>
    <w:bookmarkEnd w:id="184"/>
    <w:p>
      <w:pPr>
        <w:ind w:firstLine="982"/>
        <w:spacing w:after="0" w:line="265"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3.11 Withholding</w:t>
      </w:r>
      <w:r>
        <w:rPr>
          <w:rFonts w:ascii="Times New Roman" w:cs="Times New Roman" w:eastAsia="Times New Roman" w:hAnsi="Times New Roman"/>
          <w:sz w:val="17"/>
          <w:szCs w:val="17"/>
          <w:color w:val="auto"/>
        </w:rPr>
        <w:t xml:space="preserve">. Bakkt Pubco and the Company shall be entitled to deduct and withhold from any payment made to a Unitholder pursuant to any Exchange consummated under this Agreement all Taxes that each of Bakkt Pubco and the Company is required to deduct and withhold with respect to such payment under the Code (or any other provision of applicable law), including, without limitation, Section 1445 and 1446(f) of the Code. In connection with an Exchange, a Unitholder may, at its sole discretion, agree in the applicable Election of Exchange to tender to Bakkt Pubco or the Company, as applicable, an amount equal to the amount of the required withholding described in the immediately preceding sentence, as a condition of the Exchange. If a Unitholder does not so agree, or fails, to tender the required amount prior to or at the time of any Exchange, Bakkt Pubco or the Company, as applicable, may reduce the amount of Class A Common Stock issued to a Unitholder in an Exchange by a number of shares equal to the amount of the required withholding described in the first sentence of this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(or, if Bakkt Pubco elects to settle the Exchange with cash pursuant to Article II, deduct and withhold the amount of such required withholding from the Cash Amount otherwise payable to such Unitholder) and all such amounts shall be treated as having been paid to such Unitholder. Notwithstanding the foregoing, the parties acknowledge and agree that, on the basis of applicable law as of the date of this Agreement, no U.S. federal income tax withholding would be required with respect to an Exchange by any Unitholder who is a “United States person” within the meaning of Section 7701(a)(30) of the Code, who has provided appropriate certification of such status and who, if required, has properly certified that such Unitholder is not subject to federal backup withholding. In connection with any Exchange, the Company and the exchanging Unitholder shall deliver to Bakkt Pubco properly completed and executed copies of any certificates reasonably requested by Bakkt Pubco that the Company and the exchanging Unitholder are legally able to provide, in a form reasonably acceptable to Bakkt Pubco, so as to permit Bakkt Pubco to reduce or eliminate any deduction or withholding with respect to Taxes that may otherwise be required to be made with respect to an Exchange (including for purposes of Section 1445 and Section 1446(f) of the Code)</w:t>
      </w:r>
      <w:r>
        <w:rPr>
          <w:rFonts w:ascii="Times New Roman" w:cs="Times New Roman" w:eastAsia="Times New Roman" w:hAnsi="Times New Roman"/>
          <w:sz w:val="17"/>
          <w:szCs w:val="17"/>
          <w:u w:val="single" w:color="auto"/>
          <w:color w:val="auto"/>
        </w:rPr>
        <w:t>.</w:t>
      </w:r>
    </w:p>
    <w:p>
      <w:pPr>
        <w:spacing w:after="0" w:line="398" w:lineRule="exact"/>
        <w:rPr>
          <w:sz w:val="20"/>
          <w:szCs w:val="20"/>
          <w:color w:val="auto"/>
        </w:rPr>
      </w:pPr>
    </w:p>
    <w:p>
      <w:pPr>
        <w:jc w:val="both"/>
        <w:ind w:right="40" w:firstLine="982"/>
        <w:spacing w:after="0" w:line="285" w:lineRule="auto"/>
        <w:rPr>
          <w:sz w:val="20"/>
          <w:szCs w:val="20"/>
          <w:color w:val="auto"/>
        </w:rPr>
      </w:pPr>
      <w:r>
        <w:rPr>
          <w:rFonts w:ascii="Times New Roman" w:cs="Times New Roman" w:eastAsia="Times New Roman" w:hAnsi="Times New Roman"/>
          <w:sz w:val="17"/>
          <w:szCs w:val="17"/>
          <w:u w:val="single" w:color="auto"/>
          <w:color w:val="auto"/>
        </w:rPr>
        <w:t>SECTION 3.12 Specific Performance</w:t>
      </w:r>
      <w:r>
        <w:rPr>
          <w:rFonts w:ascii="Times New Roman" w:cs="Times New Roman" w:eastAsia="Times New Roman" w:hAnsi="Times New Roman"/>
          <w:sz w:val="17"/>
          <w:szCs w:val="17"/>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spacing w:after="0" w:line="160" w:lineRule="exact"/>
        <w:rPr>
          <w:sz w:val="20"/>
          <w:szCs w:val="20"/>
          <w:color w:val="auto"/>
        </w:rPr>
      </w:pPr>
    </w:p>
    <w:p>
      <w:pPr>
        <w:ind w:right="60" w:firstLine="982"/>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3.13 Independent Nature of Unitholders</w:t>
      </w:r>
      <w:r>
        <w:rPr>
          <w:rFonts w:ascii="Times New Roman" w:cs="Times New Roman" w:eastAsia="Times New Roman" w:hAnsi="Times New Roman"/>
          <w:sz w:val="17"/>
          <w:szCs w:val="17"/>
          <w:color w:val="auto"/>
        </w:rPr>
        <w:t>’ Rights and Obligations. The obligations of each Unitholder hereunder are several and not joint with the obligations of any other Unitholder, and no Unitholder shall be responsible in any way for the performance of the obligations of any other Unitholder hereunder. The decision of each Unitholder to enter into to this Agreement has been made by such Unitholder independently of any other Unitholder. Nothing contained herein, and no action taken by any Unitholder pursuant hereto, shall be deemed to constitute the Unitholders as a partnership, an association, a joint venture or any other kind of entity, or create a presumption that the Unitholders are in any way acting in concert or as a group with respect to such obligations or the transactions contemplated hereby. Bakkt Pubco acknowledges that the Unitholders are not acting in concert or as a group, and Bakkt Pubco will not assert any such claim, with respect to such obligations or the transactions contemplated hereby.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8" w:right="499" w:bottom="1440" w:gutter="0" w:footer="0" w:header="0"/>
        </w:sectPr>
      </w:pPr>
    </w:p>
    <w:bookmarkStart w:id="185" w:name="page186"/>
    <w:bookmarkEnd w:id="185"/>
    <w:p>
      <w:pPr>
        <w:ind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3.14 Applicable Law</w:t>
      </w:r>
      <w:r>
        <w:rPr>
          <w:rFonts w:ascii="Times New Roman" w:cs="Times New Roman" w:eastAsia="Times New Roman" w:hAnsi="Times New Roman"/>
          <w:sz w:val="18"/>
          <w:szCs w:val="18"/>
          <w:color w:val="auto"/>
        </w:rPr>
        <w:t>. This Agreement shall be governed by, and construed in accordance with, the law of the State of Delaware, without regards to its principles of conflicts of laws.</w:t>
      </w:r>
    </w:p>
    <w:p>
      <w:pPr>
        <w:spacing w:after="0" w:line="1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80"/>
          </w:cols>
          <w:pgMar w:left="480" w:top="268" w:right="1239" w:bottom="1440" w:gutter="0" w:footer="0" w:header="0"/>
        </w:sectPr>
      </w:pPr>
    </w:p>
    <w:bookmarkStart w:id="186" w:name="page187"/>
    <w:bookmarkEnd w:id="186"/>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caused this Agreement to be duly executed and delivered, all as of the date first set forth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BAKKT PUBCO:</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15875</wp:posOffset>
            </wp:positionV>
            <wp:extent cx="24288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15875</wp:posOffset>
            </wp:positionV>
            <wp:extent cx="24288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UNITHOLDERS:</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15875</wp:posOffset>
            </wp:positionV>
            <wp:extent cx="24288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10420"/>
          </w:cols>
          <w:pgMar w:left="480" w:top="268" w:right="999" w:bottom="1440" w:gutter="0" w:footer="0" w:header="0"/>
        </w:sectPr>
      </w:pPr>
    </w:p>
    <w:bookmarkStart w:id="187" w:name="page188"/>
    <w:bookmarkEnd w:id="18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 OF</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ELECTION OF EXCHANGE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Opco Holdings,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2"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Reference is hereby made to the Exchange Agreement, dated as of [•], 2021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among Bakkt Holdings, Inc., a Delaware corporation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Bakkt Opco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members of the Company from time to time party thereto. Capitalized terms used but not defined herein shall have the meanings given to them in the Exchange Agreement.</w:t>
      </w:r>
    </w:p>
    <w:p>
      <w:pPr>
        <w:spacing w:after="0" w:line="180"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The undersigned Unitholder hereby transfers effective as of the Exchange Date, and, in the case of a contingent exchange, subject to the occurrence of the contingency set forth below, the number of Paired Interests (each consisting of one Common Unit and one share of Class V Common Stock) set forth below to Bakkt Pubco in exchange for shares of Class A Common Stock to be issued in its name as set forth below, as set forth in the Exchange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-8890</wp:posOffset>
            </wp:positionV>
            <wp:extent cx="29425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4259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-8890</wp:posOffset>
            </wp:positionV>
            <wp:extent cx="3820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2016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Paired Interests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-8890</wp:posOffset>
            </wp:positionV>
            <wp:extent cx="21786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Percentage Limitation (if any) on Tax Benefit Payments pursuant to Section 7.16 of Tax</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172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Receivable Agreement:</w:t>
            </w:r>
          </w:p>
        </w:tc>
        <w:tc>
          <w:tcPr>
            <w:tcW w:w="4780" w:type="dxa"/>
            <w:vAlign w:val="bottom"/>
            <w:tcBorders>
              <w:bottom w:val="single" w:sz="8" w:color="auto"/>
            </w:tcBorders>
            <w:gridSpan w:val="3"/>
          </w:tcPr>
          <w:p>
            <w:pPr>
              <w:spacing w:after="0"/>
              <w:rPr>
                <w:sz w:val="16"/>
                <w:szCs w:val="16"/>
                <w:color w:val="auto"/>
              </w:rPr>
            </w:pPr>
          </w:p>
        </w:tc>
        <w:tc>
          <w:tcPr>
            <w:tcW w:w="140" w:type="dxa"/>
            <w:vAlign w:val="bottom"/>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w w:val="79"/>
              </w:rPr>
              <w:t>%</w:t>
            </w:r>
          </w:p>
        </w:tc>
      </w:tr>
      <w:tr>
        <w:trPr>
          <w:trHeight w:val="323"/>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Whether Unitholder agrees to tender cash for the amount of any required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47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w w:val="99"/>
              </w:rPr>
              <w:t>withholding pursuant to Section 3.11 of the Exchange Agreement:</w:t>
            </w:r>
          </w:p>
        </w:tc>
        <w:tc>
          <w:tcPr>
            <w:tcW w:w="16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2"/>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Account information for deposit of Cash Amount, if applicable: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Name:</w:t>
            </w:r>
          </w:p>
        </w:tc>
        <w:tc>
          <w:tcPr>
            <w:tcW w:w="5560" w:type="dxa"/>
            <w:vAlign w:val="bottom"/>
            <w:tcBorders>
              <w:bottom w:val="single" w:sz="8" w:color="auto"/>
            </w:tcBorders>
            <w:gridSpan w:val="6"/>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ABA No.:</w:t>
            </w:r>
          </w:p>
        </w:tc>
        <w:tc>
          <w:tcPr>
            <w:tcW w:w="5720" w:type="dxa"/>
            <w:vAlign w:val="bottom"/>
            <w:tcBorders>
              <w:bottom w:val="single" w:sz="8" w:color="auto"/>
            </w:tcBorders>
            <w:gridSpan w:val="7"/>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No.:</w:t>
            </w:r>
          </w:p>
        </w:tc>
        <w:tc>
          <w:tcPr>
            <w:tcW w:w="5480" w:type="dxa"/>
            <w:vAlign w:val="bottom"/>
            <w:tcBorders>
              <w:bottom w:val="single" w:sz="8" w:color="auto"/>
            </w:tcBorders>
            <w:gridSpan w:val="5"/>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 Name:</w:t>
            </w:r>
          </w:p>
        </w:tc>
        <w:tc>
          <w:tcPr>
            <w:tcW w:w="532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 Contingent Exchanges (complete either (a) or (b))</w:t>
      </w:r>
    </w:p>
    <w:p>
      <w:pPr>
        <w:spacing w:after="0" w:line="114" w:lineRule="exact"/>
        <w:rPr>
          <w:sz w:val="20"/>
          <w:szCs w:val="20"/>
          <w:color w:val="auto"/>
        </w:rPr>
      </w:pPr>
    </w:p>
    <w:p>
      <w:pPr>
        <w:ind w:right="5200" w:firstLine="7"/>
        <w:spacing w:after="0" w:line="278" w:lineRule="auto"/>
        <w:tabs>
          <w:tab w:leader="none" w:pos="24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Date (if other than close of business on the date of receipt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-45720</wp:posOffset>
            </wp:positionV>
            <wp:extent cx="3649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49980" cy="8255"/>
                    </a:xfrm>
                    <a:prstGeom prst="rect">
                      <a:avLst/>
                    </a:prstGeom>
                    <a:noFill/>
                  </pic:spPr>
                </pic:pic>
              </a:graphicData>
            </a:graphic>
          </wp:anchor>
        </w:drawing>
      </w:r>
    </w:p>
    <w:p>
      <w:pPr>
        <w:spacing w:after="0" w:line="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800"/>
          </w:cols>
          <w:pgMar w:left="480" w:top="264" w:right="619" w:bottom="1440" w:gutter="0" w:footer="0" w:header="0"/>
        </w:sectPr>
      </w:pPr>
    </w:p>
    <w:bookmarkStart w:id="188" w:name="page189"/>
    <w:bookmarkEnd w:id="188"/>
    <w:p>
      <w:pPr>
        <w:ind w:right="4639" w:firstLine="7"/>
        <w:spacing w:after="0" w:line="278" w:lineRule="auto"/>
        <w:tabs>
          <w:tab w:leader="none" w:pos="2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Exchange is contingent upon the occurrence of any event pursuant to Section 2.1(b), please describe such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-45720</wp:posOffset>
            </wp:positionV>
            <wp:extent cx="11315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89535</wp:posOffset>
            </wp:positionV>
            <wp:extent cx="3480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9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9979"/>
          </w:cols>
          <w:pgMar w:left="480" w:top="268" w:right="1440" w:bottom="1440" w:gutter="0" w:footer="0" w:header="0"/>
        </w:sectPr>
      </w:pPr>
    </w:p>
    <w:bookmarkStart w:id="189" w:name="page190"/>
    <w:bookmarkEnd w:id="189"/>
    <w:p>
      <w:pPr>
        <w:ind w:firstLine="98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hereof, subject to applicable bankruptcy, insolvency and similar laws affecting creditors’ rights generally and the availability of equitable remedies; (iii) the Paired Interests subject to this Election of Exchange are being transferred to Bakkt Pubco free and clear of any pledge, lien, security interest, encumbrance, equities or claim; (iv) no consent, approval, authorization, order, registration or qualification of any third party or with any court or governmental agency or body having jurisdiction over the undersigned or the Paired Interests subject to this Election of Exchange is required to be obtained by the undersigned for the transfer of such Paired Interests to Bakkt Pubco; (v) the undersigned is owner of the Paired Interests subject to this Election of Exchange and (vi) the Paired Interests have not been transferred in violation of Bakkt Pubco’s Certificate of Incorporation, Bakkt Pubco’s By-Laws, the Stockholders Agreement, the LLC Agreement, or this Agreement.</w:t>
      </w:r>
    </w:p>
    <w:p>
      <w:pPr>
        <w:spacing w:after="0" w:line="189" w:lineRule="exact"/>
        <w:rPr>
          <w:sz w:val="20"/>
          <w:szCs w:val="20"/>
          <w:color w:val="auto"/>
        </w:rPr>
      </w:pPr>
    </w:p>
    <w:p>
      <w:pPr>
        <w:ind w:right="360" w:firstLine="982"/>
        <w:spacing w:after="0" w:line="258" w:lineRule="auto"/>
        <w:rPr>
          <w:sz w:val="20"/>
          <w:szCs w:val="20"/>
          <w:color w:val="auto"/>
        </w:rPr>
      </w:pPr>
      <w:r>
        <w:rPr>
          <w:rFonts w:ascii="Times New Roman" w:cs="Times New Roman" w:eastAsia="Times New Roman" w:hAnsi="Times New Roman"/>
          <w:sz w:val="18"/>
          <w:szCs w:val="18"/>
          <w:color w:val="auto"/>
        </w:rPr>
        <w:t>The undersigned hereby irrevocably constitutes and appoints any officer of Bakkt Pubco or of the Company as the attorney of the undersigned, with full power of substitution and resubstitution in the premises, to do any and all things and to take any and all actions that may be necessary to transfer the Paired Interests to Bakkt Pubco subject to this Election of Exchange and to deliver to the undersigned the shares of Class A Common Stock to be delivered in exchange therefor.</w:t>
      </w:r>
    </w:p>
    <w:p>
      <w:pPr>
        <w:spacing w:after="0" w:line="180" w:lineRule="exact"/>
        <w:rPr>
          <w:sz w:val="20"/>
          <w:szCs w:val="20"/>
          <w:color w:val="auto"/>
        </w:rPr>
      </w:pPr>
    </w:p>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Election of Exchange to be executed and delivered by the undersigned or by its duly authorized attorney.</w:t>
      </w:r>
    </w:p>
    <w:p>
      <w:pPr>
        <w:spacing w:after="0" w:line="6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Dated: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20"/>
          </w:cols>
          <w:pgMar w:left="480" w:top="268" w:right="49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Joinder Agreement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a joinder to the Exchange Agreement, dated as of [•], 2021 (the “</w:t>
      </w:r>
      <w:r>
        <w:rPr>
          <w:rFonts w:ascii="Times New Roman" w:cs="Times New Roman" w:eastAsia="Times New Roman" w:hAnsi="Times New Roman"/>
          <w:sz w:val="18"/>
          <w:szCs w:val="18"/>
          <w:u w:val="single" w:color="auto"/>
          <w:color w:val="auto"/>
        </w:rPr>
        <w:t>Exchange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Bakkt Holdings, Inc., a Delaware corporation (“</w:t>
      </w:r>
      <w:r>
        <w:rPr>
          <w:rFonts w:ascii="Times New Roman" w:cs="Times New Roman" w:eastAsia="Times New Roman" w:hAnsi="Times New Roman"/>
          <w:sz w:val="17"/>
          <w:szCs w:val="17"/>
          <w:u w:val="single" w:color="auto"/>
          <w:color w:val="auto"/>
        </w:rPr>
        <w:t>Bakkt Pubco</w:t>
      </w:r>
      <w:r>
        <w:rPr>
          <w:rFonts w:ascii="Times New Roman" w:cs="Times New Roman" w:eastAsia="Times New Roman" w:hAnsi="Times New Roman"/>
          <w:sz w:val="17"/>
          <w:szCs w:val="17"/>
          <w:color w:val="auto"/>
        </w:rPr>
        <w:t>”), Bakkt Opco Holdings, LLC, a Delaware limited liability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Unitholders from time to time party thereto. Capitalized terms used but not defined in this Joinder Agreement shall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their meanings given to them in the Exchange Agreement. This Joinder Agreement shall be governed by, and construed in accordance with, the law</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State of Delaware. In the event of any conflict between this Joinder Agreement and the Exchange Agreement, the terms of this Joinder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control.</w:t>
      </w:r>
    </w:p>
    <w:p>
      <w:pPr>
        <w:spacing w:after="0" w:line="202"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The undersigned hereby joins and enters into the Exchange Agreement having acquired Common Units and a corresponding number of shares of Class V Common Stock. By signing and returning this Joinder Agreement to Bakkt Pubco and the Company, the undersigned accepts and agrees to be bound by and subject to all of the terms and conditions of and agreements of a Unitholder contained in the Exchange Agreement, with all attendant rights, duties and obligations of a Unitholder thereunder. The parties to the Exchange Agreement shall treat the execution and delivery hereof by the undersigned as the execution and delivery of the Exchange Agreement by the undersigned and, upon receipt of this Joinder Agreement by Bakkt Pubco and by the Company, the signature of the undersigned set forth below shall constitute a counterpart signature to the signature page of the Exchange Agreement.</w:t>
      </w:r>
    </w:p>
    <w:p>
      <w:pPr>
        <w:sectPr>
          <w:pgSz w:w="11900" w:h="16838" w:orient="portrait"/>
          <w:cols w:equalWidth="0" w:num="1">
            <w:col w:w="10900"/>
          </w:cols>
          <w:pgMar w:left="480" w:top="264" w:right="519" w:bottom="1440" w:gutter="0" w:footer="0" w:header="0"/>
        </w:sectPr>
      </w:pP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-8890</wp:posOffset>
            </wp:positionV>
            <wp:extent cx="28860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35413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413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304800</wp:posOffset>
            </wp:positionV>
            <wp:extent cx="35413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413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457835</wp:posOffset>
            </wp:positionV>
            <wp:extent cx="35413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413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35413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3204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33204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33204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3204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204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ectPr>
          <w:pgSz w:w="11900" w:h="16838" w:orient="portrait"/>
          <w:cols w:equalWidth="0" w:num="2">
            <w:col w:w="5600" w:space="100"/>
            <w:col w:w="5200"/>
          </w:cols>
          <w:pgMar w:left="480" w:top="264" w:right="519" w:bottom="1440" w:gutter="0" w:footer="0" w:header="0"/>
          <w:type w:val="continuous"/>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TAX RECEIVABLE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TAX RECEIVABLE AGREEMENT</w:t>
      </w:r>
    </w:p>
    <w:p>
      <w:pPr>
        <w:spacing w:after="0" w:line="2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among</w:t>
      </w:r>
    </w:p>
    <w:p>
      <w:pPr>
        <w:spacing w:after="0" w:line="21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THE PERSONS NAMED HEREIN</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Dated as of [•]</w:t>
      </w:r>
    </w:p>
    <w:p>
      <w:pPr>
        <w:sectPr>
          <w:pgSz w:w="11900" w:h="16838" w:orient="portrait"/>
          <w:cols w:equalWidth="0" w:num="1">
            <w:col w:w="9960"/>
          </w:cols>
          <w:pgMar w:left="1440" w:top="264" w:right="499" w:bottom="1440" w:gutter="0" w:footer="0" w:header="0"/>
        </w:sectPr>
      </w:pPr>
    </w:p>
    <w:bookmarkStart w:id="193" w:name="page194"/>
    <w:bookmarkEnd w:id="193"/>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1"/>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DETERMINATION OF CERTAIN REALIZED TAX BENEFIT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Basis Adjustment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Schedule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Procedures, Amendments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 BENEFIT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Duplicative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 Rata Payments; Coordination of Benefits With Other Tax Receivable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TERMINATION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Termination and Acceleration Event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Termination Notice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upon Early Termination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SUBORDINATION AND LATE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Late Payments by the Corporate Taxpayer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NO DISPUTES; CONSISTENCY; COOPERATION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 in the Corporate Taxpayer’s and OpCo’s Tax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Consistency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Cooperation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Assignment; Amendments; Waivers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Titles and Subtitles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Resolution of Disputes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Reconciliation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Admission of the Corporate Taxpayer into a Consolidated Group; Transfers of Corporate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Law</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 Agreement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3"/>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7.15   Independent Nature of TRA Parties’ Rights and Obligations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30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500"/>
          </w:cols>
          <w:pgMar w:left="840" w:top="268" w:right="559" w:bottom="1440" w:gutter="0" w:footer="0" w:header="0"/>
        </w:sectPr>
      </w:pPr>
    </w:p>
    <w:bookmarkStart w:id="195" w:name="page196"/>
    <w:bookmarkEnd w:id="1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TAX RECEIVABLE AGREEMENT</w:t>
      </w:r>
    </w:p>
    <w:p>
      <w:pPr>
        <w:spacing w:after="0" w:line="225"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This TAX RECEIVABLE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2021, is hereby entered into by and among Bakkt Holdings, Inc., a Delaware corporation (the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and each of the other persons from time to time party hereto (the “</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WHEREAS, the TRA Parties directly or indirectly hold limited liability company units (the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in Bakkt Holdings,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which is classified as a partnership for U.S. federal income tax purposes;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Corporate Taxpayer is the managing member of OpCo, and holds and will hold, directly and/or indirectly, Common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w:t>
      </w:r>
    </w:p>
    <w:p>
      <w:pPr>
        <w:spacing w:after="0" w:line="202"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WHEREAS, pursuant to the Merger Agreement, for U.S. federal and applicable state and local income tax purposes, the Corporate Taxpayer contributed the Available Cash to OpCo and paid or reimbursed OpCo for the Bakkt Transaction Expenses (as those terms are defined in the Merger Agreement) in exchange for certain Common Units of OpCo in a transaction described under Section 721 of the United States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WHEREAS, the Common Units held by the TRA Parties immediately following the Merger may be exchanged for Class A common stock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Corporate Taxpayer, subject to the provisions of the LLC Agreement (as defined below) and the Exchange Agreement (as defined below), each dated on or about the date hereof, among the Corporate Taxpayer and the holders of Common Units from time to time party thereto, as amended from time to time;</w:t>
      </w:r>
    </w:p>
    <w:p>
      <w:pPr>
        <w:spacing w:after="0" w:line="180" w:lineRule="exact"/>
        <w:rPr>
          <w:sz w:val="20"/>
          <w:szCs w:val="20"/>
          <w:color w:val="auto"/>
        </w:rPr>
      </w:pPr>
    </w:p>
    <w:p>
      <w:pPr>
        <w:ind w:right="160" w:firstLine="982"/>
        <w:spacing w:after="0" w:line="258" w:lineRule="auto"/>
        <w:rPr>
          <w:sz w:val="20"/>
          <w:szCs w:val="20"/>
          <w:color w:val="auto"/>
        </w:rPr>
      </w:pPr>
      <w:r>
        <w:rPr>
          <w:rFonts w:ascii="Times New Roman" w:cs="Times New Roman" w:eastAsia="Times New Roman" w:hAnsi="Times New Roman"/>
          <w:sz w:val="18"/>
          <w:szCs w:val="18"/>
          <w:color w:val="auto"/>
        </w:rPr>
        <w:t>WHEREAS, OpCo and each of its direct and indirect subsidiaries treated as a partnership for U.S. federal income tax purposes and will have in effect an election under Section 754 of the Code for each Taxable Year (as defined below) in which a taxable acquisition of Common Units by the Corporate Taxpayer from the TRA Parties (or any Permitted Transferees thereof) for Class A Common Stock or other consideration (each,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occurs;</w:t>
      </w:r>
    </w:p>
    <w:p>
      <w:pPr>
        <w:spacing w:after="0" w:line="180"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WHEREAS, the income, gain, loss, expense and other Tax (as defined below) items of the Corporate Taxpayer may be affected by the Basis Adjustments (as defined below) and the Imputed Interest (as defined below);</w:t>
      </w:r>
    </w:p>
    <w:p>
      <w:pPr>
        <w:spacing w:after="0" w:line="162"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WHEREAS, the parties to this Agreement desire to make certain arrangements with respect to the effect of the Basis Adjustments and Imputed Interest on the liability for Taxes of the Corporate Taxpayer;</w:t>
      </w:r>
    </w:p>
    <w:p>
      <w:pPr>
        <w:spacing w:after="0" w:line="162"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WHEREAS, Exchanges by the TRA Parties and payments in respect of Tax savings related to such Exchanges will result in Tax savings for the Corporate Taxpayer;</w:t>
      </w:r>
    </w:p>
    <w:p>
      <w:pPr>
        <w:spacing w:after="0" w:line="162" w:lineRule="exact"/>
        <w:rPr>
          <w:sz w:val="20"/>
          <w:szCs w:val="20"/>
          <w:color w:val="auto"/>
        </w:rPr>
      </w:pPr>
    </w:p>
    <w:p>
      <w:pPr>
        <w:ind w:right="100" w:firstLine="982"/>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4" w:right="539" w:bottom="1440" w:gutter="0" w:footer="0" w:header="0"/>
        </w:sectPr>
      </w:pPr>
    </w:p>
    <w:bookmarkStart w:id="196" w:name="page197"/>
    <w:bookmarkEnd w:id="1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right="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162"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Rate</w:t>
      </w:r>
      <w:r>
        <w:rPr>
          <w:rFonts w:ascii="Times New Roman" w:cs="Times New Roman" w:eastAsia="Times New Roman" w:hAnsi="Times New Roman"/>
          <w:sz w:val="18"/>
          <w:szCs w:val="18"/>
          <w:color w:val="auto"/>
        </w:rPr>
        <w:t>” means LIBOR plus 100 basis points.</w:t>
      </w:r>
    </w:p>
    <w:p>
      <w:pPr>
        <w:spacing w:after="0" w:line="221"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State and Local Tax Rate</w:t>
      </w:r>
      <w:r>
        <w:rPr>
          <w:rFonts w:ascii="Times New Roman" w:cs="Times New Roman" w:eastAsia="Times New Roman" w:hAnsi="Times New Roman"/>
          <w:sz w:val="18"/>
          <w:szCs w:val="18"/>
          <w:color w:val="auto"/>
        </w:rPr>
        <w:t>” means the tax rate equal to the sum of the products of (x) OpCo’s income tax apportionment rate(s) for each state and local jurisdiction in which OpCo files income or franchise tax returns for the relevant Taxable Year and (y) the highest corporate income and franchise tax rate(s) for each such state and local jurisdiction in which OpCo files income tax returns for each relevant Taxable Year; provided, that the Assumed State and Local Tax Rate calculated pursuant to the foregoing shall be reduced by the assumed federal benefit received by the Corporate Taxpayer with respect to state and local jurisdiction income taxes (with such benefit calculated as the product of (x) the Corporate Taxpayer’s marginal U.S. federal income tax rate for the relevant Taxable Year and (y) the Assumed State and Local Tax Rate (without regard to this proviso)).</w:t>
      </w:r>
    </w:p>
    <w:p>
      <w:pPr>
        <w:spacing w:after="0" w:line="184"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w:t>
      </w:r>
      <w:r>
        <w:rPr>
          <w:rFonts w:ascii="Times New Roman" w:cs="Times New Roman" w:eastAsia="Times New Roman" w:hAnsi="Times New Roman"/>
          <w:sz w:val="18"/>
          <w:szCs w:val="18"/>
          <w:color w:val="auto"/>
        </w:rPr>
        <w:t>” means the portion of any Basis Adjustment or Imputed Interest of the Corporate Taxpayer or OpCo and its Subsidiaries that is attributable to a TRA Party and shall be determined by reference to the Basis Adjustments and Imputed Interest under the following principles: any Basis Adjustments shall be determined separately with respect to each TRA Party and shall be Attributable to each TRA Party in an amount equal to the total Basis Adjustments relating to the Exchange of such TRA Party’s Common Units (as defined in the LLC Agreement), and any deduction to the Corporate Taxpayer with respect to a Taxable Year in respect of Imputed Interest shall be Attributable to the Person that is required to include the Imputed Interest in income (without regard to whether such Person is actually subject to Tax thereon).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Chapter 11 of Title 11 of the United States Code, 11 U.S.C. § 101 et seq.</w:t>
      </w:r>
    </w:p>
    <w:p>
      <w:pPr>
        <w:spacing w:after="0" w:line="221"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Basis Adjustment</w:t>
      </w:r>
      <w:r>
        <w:rPr>
          <w:rFonts w:ascii="Times New Roman" w:cs="Times New Roman" w:eastAsia="Times New Roman" w:hAnsi="Times New Roman"/>
          <w:sz w:val="18"/>
          <w:szCs w:val="18"/>
          <w:color w:val="auto"/>
        </w:rPr>
        <w:t>” means the adjustment to the Tax basis of a Reference Asset under Sections 732, 734(b) and 1012 of the Code (in situations where, as a result of one or more Exchanges, OpCo becomes an entity that is disregarded as separate from its owner for U.S. federal income tax purposes) or under Sections 734(b), 743(b), 754 and 755 of the Code (in situations where, following an Exchange, OpCo remains in existence as an entity treated as a partnership for U.S. federal income tax purposes) and, in each case, comparable sections of state and local tax laws, as a result of an Exchange and the payments made pursuant to this Agreement. For the avoidance of doubt, the amount of any Basis Adjustment resulting from an Exchange of one or more Common Units shall be determined without regard to any Pre-Exchange Transfer of such Common Units and as if any such Pre-Exchange Transfer had not occurred.</w:t>
      </w:r>
    </w:p>
    <w:p>
      <w:pPr>
        <w:spacing w:after="0" w:line="184"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correlative meanings.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80" w:top="264" w:right="559" w:bottom="1440" w:gutter="0" w:footer="0" w:header="0"/>
        </w:sectPr>
      </w:pPr>
    </w:p>
    <w:bookmarkStart w:id="197" w:name="page198"/>
    <w:bookmarkEnd w:id="19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Corporate Taxpayer.</w:t>
      </w:r>
    </w:p>
    <w:p>
      <w:pPr>
        <w:spacing w:after="0" w:line="221" w:lineRule="exact"/>
        <w:rPr>
          <w:sz w:val="20"/>
          <w:szCs w:val="20"/>
          <w:color w:val="auto"/>
        </w:rPr>
      </w:pPr>
    </w:p>
    <w:p>
      <w:pPr>
        <w:ind w:right="3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14" w:lineRule="exact"/>
        <w:rPr>
          <w:sz w:val="20"/>
          <w:szCs w:val="20"/>
          <w:color w:val="auto"/>
        </w:rPr>
      </w:pPr>
    </w:p>
    <w:p>
      <w:pPr>
        <w:ind w:right="100" w:firstLine="990"/>
        <w:spacing w:after="0" w:line="254" w:lineRule="auto"/>
        <w:tabs>
          <w:tab w:leader="none" w:pos="11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TRA Parties or Affiliates of TRA Parties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w:t>
      </w:r>
    </w:p>
    <w:p>
      <w:pPr>
        <w:spacing w:after="0" w:line="76" w:lineRule="exact"/>
        <w:rPr>
          <w:rFonts w:ascii="Times New Roman" w:cs="Times New Roman" w:eastAsia="Times New Roman" w:hAnsi="Times New Roman"/>
          <w:sz w:val="18"/>
          <w:szCs w:val="18"/>
          <w:color w:val="auto"/>
        </w:rPr>
      </w:pPr>
    </w:p>
    <w:p>
      <w:pPr>
        <w:ind w:firstLine="990"/>
        <w:spacing w:after="0" w:line="258" w:lineRule="auto"/>
        <w:tabs>
          <w:tab w:leader="none" w:pos="12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Corporate Taxpayer with any other corporation or other entity, and, immediately after the consummation of such merger or consolidation,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72" w:lineRule="exact"/>
        <w:rPr>
          <w:rFonts w:ascii="Times New Roman" w:cs="Times New Roman" w:eastAsia="Times New Roman" w:hAnsi="Times New Roman"/>
          <w:sz w:val="18"/>
          <w:szCs w:val="18"/>
          <w:color w:val="auto"/>
        </w:rPr>
      </w:pPr>
    </w:p>
    <w:p>
      <w:pPr>
        <w:ind w:right="20" w:firstLine="990"/>
        <w:spacing w:after="0" w:line="254" w:lineRule="auto"/>
        <w:tabs>
          <w:tab w:leader="none" w:pos="129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 lease or other disposition.</w:t>
      </w:r>
    </w:p>
    <w:p>
      <w:pPr>
        <w:spacing w:after="0" w:line="184"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color w:val="auto"/>
        </w:rPr>
        <w:t>Notwithstanding the foregoing,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consummation of the transactions contemplated by the Merger Agreement.</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198" w:name="page199"/>
    <w:bookmarkEnd w:id="198"/>
    <w:p>
      <w:pPr>
        <w:ind w:right="52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62"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Taxpayer Return</w:t>
      </w:r>
      <w:r>
        <w:rPr>
          <w:rFonts w:ascii="Times New Roman" w:cs="Times New Roman" w:eastAsia="Times New Roman" w:hAnsi="Times New Roman"/>
          <w:sz w:val="18"/>
          <w:szCs w:val="18"/>
          <w:color w:val="auto"/>
        </w:rPr>
        <w:t>” means the federal and/or state and/or local Tax Return, as applicable, of the Corporate Taxpayer filed with respect to Taxes for any Taxable Year.</w:t>
      </w:r>
    </w:p>
    <w:p>
      <w:pPr>
        <w:spacing w:after="0" w:line="162"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Net Realized Tax Benefit</w:t>
      </w:r>
      <w:r>
        <w:rPr>
          <w:rFonts w:ascii="Times New Roman" w:cs="Times New Roman" w:eastAsia="Times New Roman" w:hAnsi="Times New Roman"/>
          <w:sz w:val="18"/>
          <w:szCs w:val="18"/>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LIBOR plus 500 basis points.</w:t>
      </w:r>
    </w:p>
    <w:p>
      <w:pPr>
        <w:spacing w:after="0" w:line="221"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Date</w:t>
      </w:r>
      <w:r>
        <w:rPr>
          <w:rFonts w:ascii="Times New Roman" w:cs="Times New Roman" w:eastAsia="Times New Roman" w:hAnsi="Times New Roman"/>
          <w:sz w:val="18"/>
          <w:szCs w:val="18"/>
          <w:color w:val="auto"/>
        </w:rPr>
        <w:t>” means the date of an Early Termination Notice for purposes of determining the Early Termination Payment.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Rate</w:t>
      </w:r>
      <w:r>
        <w:rPr>
          <w:rFonts w:ascii="Times New Roman" w:cs="Times New Roman" w:eastAsia="Times New Roman" w:hAnsi="Times New Roman"/>
          <w:sz w:val="18"/>
          <w:szCs w:val="18"/>
          <w:color w:val="auto"/>
        </w:rPr>
        <w:t>” means the lesser of (i) 6.5% per annum, compounded annually, and (ii) LIBOR plus 100 basis points.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is defined in the Recitals of this Agreement.</w:t>
      </w:r>
    </w:p>
    <w:p>
      <w:pPr>
        <w:spacing w:after="0" w:line="221" w:lineRule="exact"/>
        <w:rPr>
          <w:sz w:val="20"/>
          <w:szCs w:val="20"/>
          <w:color w:val="auto"/>
        </w:rPr>
      </w:pPr>
    </w:p>
    <w:p>
      <w:pPr>
        <w:ind w:right="6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that certain Exchange Agreement dated as of or about the date hereof among OpCo, the Corporate Taxpayer, and the other Members of OpCo from time to time party thereto, as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means the date of any Exchange.</w:t>
      </w:r>
    </w:p>
    <w:p>
      <w:pPr>
        <w:spacing w:after="0" w:line="221"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Hypothetical Tax Liability</w:t>
      </w:r>
      <w:r>
        <w:rPr>
          <w:rFonts w:ascii="Times New Roman" w:cs="Times New Roman" w:eastAsia="Times New Roman" w:hAnsi="Times New Roman"/>
          <w:sz w:val="18"/>
          <w:szCs w:val="18"/>
          <w:color w:val="auto"/>
        </w:rPr>
        <w:t>” means, with respect to any Taxable Year, an amount, not less than zero, equal to the hypothetical liability for Taxes of (i) the Corporate Taxpayer and (ii) without duplication, OpCo, but only with respect to Taxes imposed on the taxable income of OpCo and allocable to the Corporate Taxpayer or to the other members of the consolidated group of which the Corporate Taxpayer is the parent, in each case using the same methods, elections, conventions and similar practices used on the relevant Corporate Taxpayer Return, but (a) using the Non-Stepped Up Tax Basis as reflected on the Exchange Basis Schedule including amendments thereto for the Taxable Year and (b) excluding any deduction attributable to Imputed Interest for the Taxable Year; provided, that for purposes of determining the Hypothetical Tax Liability, the combined tax rate for U.S. state and local Taxes shall be the Assumed State and Local Tax Rate. For the avoidance of doubt, Hypothetical Tax Liability shall be determined without taking into account the carryover or carryback of any Tax item (or portions thereof) that is attributable to the Basis Adjustment or Imputed Interest, as applicable.</w:t>
      </w:r>
    </w:p>
    <w:p>
      <w:pPr>
        <w:spacing w:after="0" w:line="192" w:lineRule="exact"/>
        <w:rPr>
          <w:sz w:val="20"/>
          <w:szCs w:val="20"/>
          <w:color w:val="auto"/>
        </w:rPr>
      </w:pPr>
    </w:p>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Imputed Interest</w:t>
      </w:r>
      <w:r>
        <w:rPr>
          <w:rFonts w:ascii="Times New Roman" w:cs="Times New Roman" w:eastAsia="Times New Roman" w:hAnsi="Times New Roman"/>
          <w:sz w:val="18"/>
          <w:szCs w:val="18"/>
          <w:color w:val="auto"/>
        </w:rPr>
        <w:t>” in respect of a TRA Party means any interest imputed under Section 1272, 1274 or 483 or other provision of the Code and any similar provision of state and local tax law with respect to the Corporate Taxpayer’s payment obligations in respect of such TRA Party under this Agreement.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9" w:right="539" w:bottom="1440" w:gutter="0" w:footer="0" w:header="0"/>
        </w:sectPr>
      </w:pPr>
    </w:p>
    <w:bookmarkStart w:id="199" w:name="page200"/>
    <w:bookmarkEnd w:id="199"/>
    <w:p>
      <w:pPr>
        <w:ind w:right="42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means the members of the Board who are “independent” under the standards of the principal U.S. securities exchange on which the Class A Common Stock is traded or quoted.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1"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provided, that at no time shall LIBOR be less than 0%. Notwithstanding the foregoing sentence: (i) if the Corporate Taxpayer reasonably determines, in good faith,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after consulting an investment bank of national standing in the United States and other reasonable sources, any relevant methodology for calculating such substitute or successor rate, including any adjustment factor it reasonably determines in good faith is needed to make such substitute or successor rate comparable to the relevant London interbank offered rate for U.S. dollar deposits, in a manner that is consistent with industry-accepted practices for such substitute or successor rate. In the event that a TRA Party disagrees with any determination by the Corporate Taxpayer set forth in this paragraph, and such disagreement is not resolved within thirty (30) days of submission by the TRA Party of notice of such disagreement to the Corporate Taxpayer, such disagreement shall be deemed a “Reconciliation Dispute,” and shall be subject to the Reconciliation Procedures set forth in Section 7.9 hereof.</w:t>
      </w:r>
    </w:p>
    <w:p>
      <w:pPr>
        <w:spacing w:after="0" w:line="201"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with respect to OpCo, the Amended and Restated Limited Liability Company Agreement of OpCo, dated on or about the date hereof, as amended from time to time.</w:t>
      </w:r>
    </w:p>
    <w:p>
      <w:pPr>
        <w:spacing w:after="0" w:line="162" w:lineRule="exact"/>
        <w:rPr>
          <w:sz w:val="20"/>
          <w:szCs w:val="20"/>
          <w:color w:val="auto"/>
        </w:rPr>
      </w:pPr>
    </w:p>
    <w:p>
      <w:pPr>
        <w:ind w:right="60" w:firstLine="98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w:t>
      </w:r>
      <w:r>
        <w:rPr>
          <w:rFonts w:ascii="Times New Roman" w:cs="Times New Roman" w:eastAsia="Times New Roman" w:hAnsi="Times New Roman"/>
          <w:sz w:val="18"/>
          <w:szCs w:val="18"/>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Early Termination Date. If the shares of Class A Common Stock are not Publicly Traded, the Market Value of a share of Class A Common Stock means the amount that a holder of a share of Class A Common Stock would receive if each of the assets of the Corporate Taxpayer were to be sold for its fair market value on the Early Termination Date, the Corporate Taxpayer were to pay all of its outstanding liabilities, and the remaining proceeds were to be distributed to the holders of the Corporate Taxpayer’s equity. Such Market Value shall be determined by the Board acting in good faith and based upon a commercially reasonable estimate of the amount that would be realized by the Corporate Taxpayer if each asset of the Corporate Taxpayer (and each asset of each partnership, limited liability company, trust, joint venture or other entity in which the Corporate Taxpayer owns a direct or indirect interest) were sold to an unrelated purchaser in an arms’ length transaction where neither the purchaser nor the seller were under economic compulsion to enter into the transaction (without regard to any discount in value as a result of the Corporate Taxpayer’s minority interest in any property or any illiquidity of the Corporate Taxpayer’s interest in any property).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9" w:right="539" w:bottom="1440" w:gutter="0" w:footer="0" w:header="0"/>
        </w:sectPr>
      </w:pPr>
    </w:p>
    <w:bookmarkStart w:id="200" w:name="page201"/>
    <w:bookmarkEnd w:id="200"/>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Non-Stepped Up Tax Basis</w:t>
      </w:r>
      <w:r>
        <w:rPr>
          <w:rFonts w:ascii="Times New Roman" w:cs="Times New Roman" w:eastAsia="Times New Roman" w:hAnsi="Times New Roman"/>
          <w:sz w:val="18"/>
          <w:szCs w:val="18"/>
          <w:color w:val="auto"/>
        </w:rPr>
        <w:t>” means, with respect to any Reference Asset at any time, the Tax basis that such asset would have had at such time if no Basis Adjustments had been made.</w:t>
      </w:r>
    </w:p>
    <w:p>
      <w:pPr>
        <w:spacing w:after="0" w:line="162" w:lineRule="exact"/>
        <w:rPr>
          <w:sz w:val="20"/>
          <w:szCs w:val="20"/>
          <w:color w:val="auto"/>
        </w:rPr>
      </w:pPr>
    </w:p>
    <w:p>
      <w:pPr>
        <w:ind w:right="5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January 11, 2021, by and among the Corporate Taxpayer (formerly known as VPC Impact Acquisition Holdings), Pylon Merger Company LLC and OpCo.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has the meaning set forth in the LLC Agreement.</w:t>
      </w:r>
    </w:p>
    <w:p>
      <w:pPr>
        <w:spacing w:after="0" w:line="221"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w:t>
      </w:r>
    </w:p>
    <w:p>
      <w:pPr>
        <w:spacing w:after="0" w:line="162" w:lineRule="exact"/>
        <w:rPr>
          <w:sz w:val="20"/>
          <w:szCs w:val="20"/>
          <w:color w:val="auto"/>
        </w:rPr>
      </w:pPr>
    </w:p>
    <w:p>
      <w:pPr>
        <w:ind w:right="24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Pre-Exchange Transfer</w:t>
      </w:r>
      <w:r>
        <w:rPr>
          <w:rFonts w:ascii="Times New Roman" w:cs="Times New Roman" w:eastAsia="Times New Roman" w:hAnsi="Times New Roman"/>
          <w:sz w:val="18"/>
          <w:szCs w:val="18"/>
          <w:color w:val="auto"/>
        </w:rPr>
        <w:t>” means any transfer (including upon the death of a Member) or distribution in respect of one or more Common Units (a) that occurs prior to an Exchange of such Common Units, and (b) to which Section 743(b) or 734(b) of the Code applies.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Traded</w:t>
      </w:r>
      <w:r>
        <w:rPr>
          <w:rFonts w:ascii="Times New Roman" w:cs="Times New Roman" w:eastAsia="Times New Roman" w:hAnsi="Times New Roman"/>
          <w:sz w:val="18"/>
          <w:szCs w:val="18"/>
          <w:color w:val="auto"/>
        </w:rPr>
        <w:t>” means listed or admitted to trading on the New York Stock Exchange or another national securities exchange.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Benefit</w:t>
      </w:r>
      <w:r>
        <w:rPr>
          <w:rFonts w:ascii="Times New Roman" w:cs="Times New Roman" w:eastAsia="Times New Roman" w:hAnsi="Times New Roman"/>
          <w:sz w:val="17"/>
          <w:szCs w:val="17"/>
          <w:color w:val="auto"/>
        </w:rPr>
        <w:t>” means, for a Taxable Year, the excess, if any, of the Hypothetical Tax Liability over the actual liability for Taxes of</w:t>
      </w:r>
    </w:p>
    <w:p>
      <w:pPr>
        <w:spacing w:after="0" w:line="37" w:lineRule="exact"/>
        <w:rPr>
          <w:sz w:val="20"/>
          <w:szCs w:val="20"/>
          <w:color w:val="auto"/>
        </w:rPr>
      </w:pPr>
    </w:p>
    <w:p>
      <w:pPr>
        <w:ind w:right="20" w:firstLine="7"/>
        <w:spacing w:after="0" w:line="249" w:lineRule="auto"/>
        <w:tabs>
          <w:tab w:leader="none" w:pos="24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Taxpayer and (b) 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Detriment</w:t>
      </w:r>
      <w:r>
        <w:rPr>
          <w:rFonts w:ascii="Times New Roman" w:cs="Times New Roman" w:eastAsia="Times New Roman" w:hAnsi="Times New Roman"/>
          <w:sz w:val="17"/>
          <w:szCs w:val="17"/>
          <w:color w:val="auto"/>
        </w:rPr>
        <w:t>” means, for a Taxable Year, the excess, if any, of the actual liability for Taxes of (a) the Corporate Taxpayer and</w:t>
      </w:r>
    </w:p>
    <w:p>
      <w:pPr>
        <w:spacing w:after="0" w:line="37" w:lineRule="exact"/>
        <w:rPr>
          <w:sz w:val="20"/>
          <w:szCs w:val="20"/>
          <w:color w:val="auto"/>
        </w:rPr>
      </w:pPr>
    </w:p>
    <w:p>
      <w:pPr>
        <w:ind w:firstLine="7"/>
        <w:spacing w:after="0" w:line="249" w:lineRule="auto"/>
        <w:tabs>
          <w:tab w:leader="none" w:pos="25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over the Hypothetical Tax Liability;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89" w:lineRule="exact"/>
        <w:rPr>
          <w:sz w:val="20"/>
          <w:szCs w:val="20"/>
          <w:color w:val="auto"/>
        </w:rPr>
      </w:pPr>
    </w:p>
    <w:p>
      <w:pPr>
        <w:ind w:right="4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Asset</w:t>
      </w:r>
      <w:r>
        <w:rPr>
          <w:rFonts w:ascii="Times New Roman" w:cs="Times New Roman" w:eastAsia="Times New Roman" w:hAnsi="Times New Roman"/>
          <w:sz w:val="18"/>
          <w:szCs w:val="18"/>
          <w:color w:val="auto"/>
        </w:rPr>
        <w:t>” means an asset that is held by OpCo, or by any other entity of which OpCo owns a direct or indirect interest that is treated as a partnership or disregarded entity (but only if such indirect subsidiaries are held only through subsidiaries treated as partnerships or disregarded entities) for purposes of the applicable Tax, at the time of an Exchange. A Reference Asset also includes any asset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201" w:name="page202"/>
    <w:bookmarkEnd w:id="201"/>
    <w:p>
      <w:pPr>
        <w:ind w:right="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Tax basis of which is determined, in whole or in part, for purposes of the applicable Tax, by reference to the Tax basis of an asset described in the preceding sentence including, for U.S. federal income tax purposes, any asset that is “substituted basis property” under Section 7701(a)(42) of the Code with respect to a Reference Asset.</w:t>
      </w:r>
    </w:p>
    <w:p>
      <w:pPr>
        <w:spacing w:after="0" w:line="175"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officers, directors, employees, equityholders, partners, members, Affiliates, accountants, attorneys, consultants, co-investors, investors, potential partners or purchasers or assignees, financing sources, bankers, advisors and other agents or representatives.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means any of the following: (a) an Exchange Basis Schedule, (b) a Tax Benefit Schedule, or (c) the Early Termination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w:t>
      </w:r>
    </w:p>
    <w:p>
      <w:pPr>
        <w:spacing w:after="0" w:line="202"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5" w:lineRule="exact"/>
        <w:rPr>
          <w:sz w:val="20"/>
          <w:szCs w:val="20"/>
          <w:color w:val="auto"/>
        </w:rPr>
      </w:pPr>
    </w:p>
    <w:p>
      <w:pPr>
        <w:ind w:right="14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or similar statement required to be filed with respect to Taxes (including any attached schedules), including any information return, claim for refund, amended return and declaration of estimated Tax.</w:t>
      </w:r>
    </w:p>
    <w:p>
      <w:pPr>
        <w:spacing w:after="0" w:line="162"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Taxable Year</w:t>
      </w:r>
      <w:r>
        <w:rPr>
          <w:rFonts w:ascii="Times New Roman" w:cs="Times New Roman" w:eastAsia="Times New Roman" w:hAnsi="Times New Roman"/>
          <w:sz w:val="18"/>
          <w:szCs w:val="18"/>
          <w:color w:val="auto"/>
        </w:rPr>
        <w:t>”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w:t>
      </w:r>
    </w:p>
    <w:p>
      <w:pPr>
        <w:spacing w:after="0" w:line="175"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“Tax”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and local taxes, assessments or similar charges that are based on or measured with respect to net income or profits, whether on an exclusive or alternative basis, and including franchise taxes that are based on or measured with respect to net income or profits, and any interest related thereto.</w:t>
      </w:r>
    </w:p>
    <w:p>
      <w:pPr>
        <w:spacing w:after="0" w:line="175" w:lineRule="exact"/>
        <w:rPr>
          <w:sz w:val="20"/>
          <w:szCs w:val="20"/>
          <w:color w:val="auto"/>
        </w:rPr>
      </w:pPr>
    </w:p>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5" w:lineRule="exact"/>
        <w:rPr>
          <w:sz w:val="20"/>
          <w:szCs w:val="20"/>
          <w:color w:val="auto"/>
        </w:rPr>
      </w:pPr>
    </w:p>
    <w:p>
      <w:pPr>
        <w:ind w:right="6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75" w:lineRule="exact"/>
        <w:rPr>
          <w:sz w:val="20"/>
          <w:szCs w:val="20"/>
          <w:color w:val="auto"/>
        </w:rPr>
      </w:pPr>
    </w:p>
    <w:p>
      <w:pPr>
        <w:ind w:right="20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has the meaning set forth in the LLC Agreement and the terms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other forms of the word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correlative meanings.</w:t>
      </w:r>
    </w:p>
    <w:p>
      <w:pPr>
        <w:spacing w:after="0" w:line="162" w:lineRule="exact"/>
        <w:rPr>
          <w:sz w:val="20"/>
          <w:szCs w:val="20"/>
          <w:color w:val="auto"/>
        </w:rPr>
      </w:pPr>
    </w:p>
    <w:p>
      <w:pPr>
        <w:ind w:right="2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8" w:right="539" w:bottom="1440" w:gutter="0" w:footer="0" w:header="0"/>
        </w:sectPr>
      </w:pPr>
    </w:p>
    <w:bookmarkStart w:id="202" w:name="page203"/>
    <w:bookmarkEnd w:id="202"/>
    <w:p>
      <w:pPr>
        <w:ind w:firstLine="982"/>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Valuation Assumptions</w:t>
      </w:r>
      <w:r>
        <w:rPr>
          <w:rFonts w:ascii="Times New Roman" w:cs="Times New Roman" w:eastAsia="Times New Roman" w:hAnsi="Times New Roman"/>
          <w:sz w:val="18"/>
          <w:szCs w:val="18"/>
          <w:color w:val="auto"/>
        </w:rPr>
        <w:t>” means, as of an Early Termination Date, the assumptions that in each Taxable Year ending on or after such Early Termination Date, (a) the Corporate Taxpayer will have taxable income sufficient to fully utilize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 (b) any loss carryovers generated by deductions arising from Basis Adjustments or Imputed Interest that are available as of the date of such Early Termination Date will be used by the Corporate Taxpayer ratably in each Taxable Year from the Early Termination Date through the scheduled expiration date of such loss carryovers (or, if such loss carryovers will not expire, the fifteenth year after such Early Termination Date), (c) the U.S. federal and the Assumed State and Local Tax Rates that will be in effect for each such Taxable Year and apply to all taxable income of the Corporate Taxpayer will be those specified for each such Taxable Year by the Code and other law as in effect on the Early Termination Date, except to the extent any change to such Tax rates for such Taxable Year has already been enacted into law, (d) any non-amortizable Reference Assets will be disposed of on the earlier of (i) the fifteenth anniversary of the applicable Exchange and (ii) the Early Termination Date, but in no event earlier than the Early Termination Date, and (e) if, at the Early Termination Date, there are Common Units that have not been Exchanged, then each such Common Unit is deemed Exchanged for the Market Value of the Class A Common Stock that would be applicable if the Exchange occurred on the Early Termination Date.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5760" w:type="dxa"/>
            <w:vAlign w:val="bottom"/>
          </w:tcPr>
          <w:p>
            <w:pPr>
              <w:spacing w:after="0"/>
              <w:rPr>
                <w:sz w:val="16"/>
                <w:szCs w:val="16"/>
                <w:color w:val="auto"/>
              </w:rPr>
            </w:pP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4"/>
                <w:szCs w:val="14"/>
                <w:color w:val="auto"/>
              </w:rPr>
              <w:t>Section</w:t>
            </w:r>
          </w:p>
        </w:tc>
      </w:tr>
      <w:tr>
        <w:trPr>
          <w:trHeight w:val="182"/>
        </w:trPr>
        <w:tc>
          <w:tcPr>
            <w:tcW w:w="60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Acceleration Event</w:t>
            </w:r>
          </w:p>
        </w:tc>
        <w:tc>
          <w:tcPr>
            <w:tcW w:w="3660" w:type="dxa"/>
            <w:vAlign w:val="bottom"/>
          </w:tcPr>
          <w:p>
            <w:pPr>
              <w:spacing w:after="0"/>
              <w:rPr>
                <w:sz w:val="15"/>
                <w:szCs w:val="15"/>
                <w:color w:val="auto"/>
              </w:rPr>
            </w:pPr>
          </w:p>
        </w:tc>
        <w:tc>
          <w:tcPr>
            <w:tcW w:w="11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Section 4.1(b)</w:t>
            </w:r>
          </w:p>
        </w:tc>
      </w:tr>
      <w:tr>
        <w:trPr>
          <w:trHeight w:val="22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Preamble</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2.3</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Taxpayer</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Preamble</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Effective Date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Notice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Payment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4.3(b)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Basis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2.1</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Expert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7.9</w:t>
            </w:r>
          </w:p>
        </w:tc>
      </w:tr>
      <w:tr>
        <w:trPr>
          <w:trHeight w:val="22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Amount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3.1(b)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Objection Notice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Tax Benefit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3.1(b)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 Notice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2.3(a)</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 Receivable Obligations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3.3(c)</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Dispute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7.9</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Procedures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2.3(a)</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Obligations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5.1</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Payment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3.1(b)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2.2</w:t>
            </w:r>
          </w:p>
        </w:tc>
      </w:tr>
      <w:tr>
        <w:trPr>
          <w:trHeight w:val="23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 Party</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Preamble</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CERTAIN REALIZED TAX BENEFIT</w:t>
      </w:r>
    </w:p>
    <w:p>
      <w:pPr>
        <w:spacing w:after="0" w:line="225" w:lineRule="exact"/>
        <w:rPr>
          <w:sz w:val="20"/>
          <w:szCs w:val="20"/>
          <w:color w:val="auto"/>
        </w:rPr>
      </w:pPr>
    </w:p>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Basis Adjustment</w:t>
      </w:r>
      <w:r>
        <w:rPr>
          <w:rFonts w:ascii="Times New Roman" w:cs="Times New Roman" w:eastAsia="Times New Roman" w:hAnsi="Times New Roman"/>
          <w:sz w:val="18"/>
          <w:szCs w:val="18"/>
          <w:color w:val="auto"/>
        </w:rPr>
        <w:t>. Within sixty (60) calendar days after the filing of the U.S. federal income tax return of OpCo for each Taxable Year in which an Exchange has been effected by any TRA Party, the Corporate Taxpayer shall deliver to each such TRA Party a schedule (the “</w:t>
      </w:r>
      <w:r>
        <w:rPr>
          <w:rFonts w:ascii="Times New Roman" w:cs="Times New Roman" w:eastAsia="Times New Roman" w:hAnsi="Times New Roman"/>
          <w:sz w:val="18"/>
          <w:szCs w:val="18"/>
          <w:u w:val="single" w:color="auto"/>
          <w:color w:val="auto"/>
        </w:rPr>
        <w:t>Exchange Basis Schedule</w:t>
      </w:r>
      <w:r>
        <w:rPr>
          <w:rFonts w:ascii="Times New Roman" w:cs="Times New Roman" w:eastAsia="Times New Roman" w:hAnsi="Times New Roman"/>
          <w:sz w:val="18"/>
          <w:szCs w:val="18"/>
          <w:color w:val="auto"/>
        </w:rPr>
        <w:t>”) that shows, in reasonable detail necessary to perform the calculations required by this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203" w:name="page204"/>
    <w:bookmarkEnd w:id="20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(a) the Non-Stepped Up Tax Basis of the Reference Assets in respect of such TRA Party as of each applicable Exchange Date, (b) the Basis Adjustment with respect to the Reference Assets in respect of such TRA Party as a result of the Exchanges effected in such Taxable Year and all prior Taxable Years by such TRA Party, calculated in the aggregate, and (c) the period (or periods) over which the Reference Assets and (if different) each Basis Adjustment in respect of such TRA Party are amortizable and/or depreciable. Each Exchange Basis Schedule will become final as provided in Section 2.3(a) and may be amended as provided in Section 2.3(b) (subject to the procedures set forth in Section 2.3(b)).</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60" w:firstLine="990"/>
        <w:spacing w:after="0" w:line="255" w:lineRule="auto"/>
        <w:tabs>
          <w:tab w:leader="none" w:pos="12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sixty (60) calendar days after the filing of the U.S. federal income tax return of the Corporate Taxpayer for each Taxable Year in which there is a Realized Tax Benefit or Realized Tax Detriment in respect of any TRA Party, the Corporate Taxpayer shall provide to each such TRA Party a schedule showing, in reasonable detail, the calculation of the Tax Benefit Payment in respect of such TRA Party for such Taxable Year (a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Each Tax Benefit Schedule will become final as provided in Section 2.3(a) and may be amended as provided in Section 2.3(b) (subject to the procedures set forth in Section 2.3(b)).</w:t>
      </w:r>
    </w:p>
    <w:p>
      <w:pPr>
        <w:spacing w:after="0" w:line="77" w:lineRule="exact"/>
        <w:rPr>
          <w:rFonts w:ascii="Times New Roman" w:cs="Times New Roman" w:eastAsia="Times New Roman" w:hAnsi="Times New Roman"/>
          <w:sz w:val="18"/>
          <w:szCs w:val="18"/>
          <w:color w:val="auto"/>
        </w:rPr>
      </w:pPr>
    </w:p>
    <w:p>
      <w:pPr>
        <w:ind w:firstLine="990"/>
        <w:spacing w:after="0" w:line="250" w:lineRule="auto"/>
        <w:tabs>
          <w:tab w:leader="none" w:pos="123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Principles.</w:t>
      </w:r>
      <w:r>
        <w:rPr>
          <w:rFonts w:ascii="Times New Roman" w:cs="Times New Roman" w:eastAsia="Times New Roman" w:hAnsi="Times New Roman"/>
          <w:sz w:val="18"/>
          <w:szCs w:val="18"/>
          <w:color w:val="auto"/>
        </w:rPr>
        <w:t xml:space="preserve"> Subject to Section 3.3(a), the Realized Tax Benefit or Realized Tax Detriment for each Taxable Year is intended to measure the decrease or increase in the actual liability for Taxes of the Corporate Taxpayer for such Taxable Year attributable to the Basis Adjustments and Imputed Interest, determined using a “with and without” methodology. Carryovers or carrybacks of any Tax item attributable to the Basis Adjustments and Imputed Interest shall be considered to be subject to the rules of the Code and the Treasury Regulations or the appropriate provisions of U.S. state and local income and franchise tax law, as applicable, governing the use, limitation and expiration of carryovers or carrybacks of the relevant type. If a carryover or carryback of any Tax item includes a portion that is attributable to the Basis Adjustment or Imputed Interest (the “</w:t>
      </w:r>
      <w:r>
        <w:rPr>
          <w:rFonts w:ascii="Times New Roman" w:cs="Times New Roman" w:eastAsia="Times New Roman" w:hAnsi="Times New Roman"/>
          <w:sz w:val="18"/>
          <w:szCs w:val="18"/>
          <w:b w:val="1"/>
          <w:bCs w:val="1"/>
          <w:u w:val="single" w:color="auto"/>
          <w:color w:val="auto"/>
        </w:rPr>
        <w:t>TRA Portion</w:t>
      </w:r>
      <w:r>
        <w:rPr>
          <w:rFonts w:ascii="Times New Roman" w:cs="Times New Roman" w:eastAsia="Times New Roman" w:hAnsi="Times New Roman"/>
          <w:sz w:val="18"/>
          <w:szCs w:val="18"/>
          <w:color w:val="auto"/>
        </w:rPr>
        <w:t>”) and another portion that is not (the “</w:t>
      </w:r>
      <w:r>
        <w:rPr>
          <w:rFonts w:ascii="Times New Roman" w:cs="Times New Roman" w:eastAsia="Times New Roman" w:hAnsi="Times New Roman"/>
          <w:sz w:val="18"/>
          <w:szCs w:val="18"/>
          <w:b w:val="1"/>
          <w:bCs w:val="1"/>
          <w:u w:val="single" w:color="auto"/>
          <w:color w:val="auto"/>
        </w:rPr>
        <w:t>Non-TRA Portion</w:t>
      </w:r>
      <w:r>
        <w:rPr>
          <w:rFonts w:ascii="Times New Roman" w:cs="Times New Roman" w:eastAsia="Times New Roman" w:hAnsi="Times New Roman"/>
          <w:sz w:val="18"/>
          <w:szCs w:val="18"/>
          <w:color w:val="auto"/>
        </w:rPr>
        <w:t>”),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3.3(a)). The parties agree that (i) all Tax Benefit Payments attributable to the Basis Adjustments (other than amounts accounted for as Imputed Interest) will be treated as subsequent upward purchase price adjustments that have the effect of creating additional Basis Adjustments to Reference Assets for the Corporate Taxpayer in the year of payment, and (ii) as a result, such additional Basis Adjustments will be incorporated into the current year calculation and into future year calculations, as appropriate.</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Procedures, Amendments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51" w:lineRule="auto"/>
        <w:tabs>
          <w:tab w:leader="none" w:pos="12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the preparation of the Schedule and (y) allow such TRA Party reasonable access, as determined by the Corporate Taxpayer or requested by such TRA Party, in connection with the review of such Schedule. Without limiting the generality of the preceding sentence, the Corporate Taxpayer shall ensure that each Tax Benefit Schedule delivered to a TRA Party, together with any supporting schedules and work papers, provides a reasonably detailed presentation of the calculation of the actual liability of the Corporate Taxpayer for Taxes and the Hypothetical Tax Liability in respect of such TRA Party, and identifies any material assumptions or operating procedures or principles that were used for purposes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204" w:name="page205"/>
    <w:bookmarkEnd w:id="204"/>
    <w:p>
      <w:pPr>
        <w:ind w:right="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a TRA Party</w:t>
      </w:r>
    </w:p>
    <w:p>
      <w:pPr>
        <w:ind w:left="220" w:hanging="213"/>
        <w:spacing w:after="0"/>
        <w:tabs>
          <w:tab w:leader="none" w:pos="22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calendar days from such date provides the Corporate Taxpayer with notice of an objection to such Schedule (“</w:t>
      </w:r>
      <w:r>
        <w:rPr>
          <w:rFonts w:ascii="Times New Roman" w:cs="Times New Roman" w:eastAsia="Times New Roman" w:hAnsi="Times New Roman"/>
          <w:sz w:val="17"/>
          <w:szCs w:val="17"/>
          <w:u w:val="single" w:color="auto"/>
          <w:color w:val="auto"/>
        </w:rPr>
        <w:t>Objection Notice</w:t>
      </w:r>
      <w:r>
        <w:rPr>
          <w:rFonts w:ascii="Times New Roman" w:cs="Times New Roman" w:eastAsia="Times New Roman" w:hAnsi="Times New Roman"/>
          <w:sz w:val="17"/>
          <w:szCs w:val="17"/>
          <w:color w:val="auto"/>
        </w:rPr>
        <w:t>”) or</w:t>
      </w:r>
    </w:p>
    <w:p>
      <w:pPr>
        <w:spacing w:after="0" w:line="18" w:lineRule="exact"/>
        <w:rPr>
          <w:rFonts w:ascii="Times New Roman" w:cs="Times New Roman" w:eastAsia="Times New Roman" w:hAnsi="Times New Roman"/>
          <w:sz w:val="17"/>
          <w:szCs w:val="17"/>
          <w:color w:val="auto"/>
        </w:rPr>
      </w:pPr>
    </w:p>
    <w:p>
      <w:pPr>
        <w:ind w:right="40" w:firstLine="7"/>
        <w:spacing w:after="0" w:line="249" w:lineRule="auto"/>
        <w:tabs>
          <w:tab w:leader="none" w:pos="26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for any reason, are unable to successfully resolve the issues raised in the Objection Notice within thirty (30) calendar days after receipt by the Corporate Taxpayer of an Objection Notice, the Corporate Taxpayer and the TRA Party shall employ the reconciliation procedures as described in Section 7.9 (the “</w:t>
      </w:r>
      <w:r>
        <w:rPr>
          <w:rFonts w:ascii="Times New Roman" w:cs="Times New Roman" w:eastAsia="Times New Roman" w:hAnsi="Times New Roman"/>
          <w:sz w:val="18"/>
          <w:szCs w:val="18"/>
          <w:u w:val="single" w:color="auto"/>
          <w:color w:val="auto"/>
        </w:rPr>
        <w:t>Reconciliation Procedures</w:t>
      </w:r>
      <w:r>
        <w:rPr>
          <w:rFonts w:ascii="Times New Roman" w:cs="Times New Roman" w:eastAsia="Times New Roman" w:hAnsi="Times New Roman"/>
          <w:sz w:val="18"/>
          <w:szCs w:val="18"/>
          <w:color w:val="auto"/>
        </w:rPr>
        <w:t>”) in which case such Schedule shall become binding ten (10) calendar days after the conclusion of the Reconciliation Procedures.</w:t>
      </w:r>
    </w:p>
    <w:p>
      <w:pPr>
        <w:spacing w:after="0" w:line="83" w:lineRule="exact"/>
        <w:rPr>
          <w:rFonts w:ascii="Times New Roman" w:cs="Times New Roman" w:eastAsia="Times New Roman" w:hAnsi="Times New Roman"/>
          <w:sz w:val="18"/>
          <w:szCs w:val="18"/>
          <w:color w:val="auto"/>
        </w:rPr>
      </w:pPr>
    </w:p>
    <w:p>
      <w:pPr>
        <w:ind w:firstLine="990"/>
        <w:spacing w:after="0" w:line="250" w:lineRule="auto"/>
        <w:tabs>
          <w:tab w:leader="none" w:pos="123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applicable Schedule for any Taxable Year may be amended from time to time by the Corporate Taxpayer (i) in connection with a Determination affecting such Schedule, (ii) to correct inaccuracies in the Schedule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Exchange Basis Schedule to take into account payments made pursuant to this Agreement (any such Schedule, an “</w:t>
      </w: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Corporate Taxpayer shall provide an Amended Schedule to each TRA Party when the Corporate Taxpayer delivers the Basis Schedule for the following Taxable Year. In the event a Schedule is amended after such Schedule becomes final pursuant to Section 2.3(a) or, if applicable, Section 7.9, (A) the Amended Schedule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IRS Form 1120 (or any successor form) of the Corporate Taxpayer for the Taxable Year in which the amendment actually occurs.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TAX BENEFIT PAYMENTS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55" w:lineRule="auto"/>
        <w:tabs>
          <w:tab w:leader="none" w:pos="12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Within five (5) Business Days after a Tax Benefit Schedule delivered to a TRA Party becomes final in accordance with Section 2.3(a), the Corporate Taxpayer shall pay such TRA Party for such Taxable Year the Tax Benefit Payment determined pursuant to Section 3.1(b). Each such Tax Benefit Payment shall be made by wire transfer of immediately available funds to the bank account or accounts previously designated by such TRA Party to the Corporate Taxpayer or as otherwise agreed by the Corporate Taxpayer and such TRA Party. For the avoidance of doubt, no Tax Benefit Payment shall be made in respect of estimated tax payments, including federal estimated income tax payments.</w:t>
      </w:r>
    </w:p>
    <w:p>
      <w:pPr>
        <w:spacing w:after="0" w:line="77" w:lineRule="exact"/>
        <w:rPr>
          <w:rFonts w:ascii="Times New Roman" w:cs="Times New Roman" w:eastAsia="Times New Roman" w:hAnsi="Times New Roman"/>
          <w:sz w:val="18"/>
          <w:szCs w:val="18"/>
          <w:color w:val="auto"/>
        </w:rPr>
      </w:pPr>
    </w:p>
    <w:p>
      <w:pPr>
        <w:ind w:right="140" w:firstLine="990"/>
        <w:spacing w:after="0" w:line="263" w:lineRule="auto"/>
        <w:tabs>
          <w:tab w:leader="none" w:pos="123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Tax Benefit Payment</w:t>
      </w:r>
      <w:r>
        <w:rPr>
          <w:rFonts w:ascii="Times New Roman" w:cs="Times New Roman" w:eastAsia="Times New Roman" w:hAnsi="Times New Roman"/>
          <w:sz w:val="18"/>
          <w:szCs w:val="18"/>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but instead shall be treated as additional consideration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205" w:name="page206"/>
    <w:bookmarkEnd w:id="205"/>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the acquisition of Common Units in Exchanges, unless otherwise required by law. Subject to Section 3.3(a), the “</w:t>
      </w:r>
      <w:r>
        <w:rPr>
          <w:rFonts w:ascii="Times New Roman" w:cs="Times New Roman" w:eastAsia="Times New Roman" w:hAnsi="Times New Roman"/>
          <w:sz w:val="17"/>
          <w:szCs w:val="17"/>
          <w:u w:val="single" w:color="auto"/>
          <w:color w:val="auto"/>
        </w:rPr>
        <w:t>Net Tax Benefit</w:t>
      </w:r>
      <w:r>
        <w:rPr>
          <w:rFonts w:ascii="Times New Roman" w:cs="Times New Roman" w:eastAsia="Times New Roman" w:hAnsi="Times New Roman"/>
          <w:sz w:val="17"/>
          <w:szCs w:val="17"/>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no such recipient shall be required to return any portion of any previously made Tax Benefit Payment. The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shall equal the interest on the Net Tax Benefit calculated at the Agreed Rate from the due date (without extensions) for filing the Corporate Taxpayer Return with respect to Taxes for such Taxable Year until the payment date under Section 3.1(a);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interest shall not accrue on the amount of any Net Tax Benefit after the date on which such amount is actually paid to the applicable TRA Party, regardless of whether such payment is made prior to the due date for such payment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The Net Tax Benefit and the Interest Amount shall be determined separately with respect to each Exchange, on a Common Unit by Common Unit basis by reference to the resulting Basis Adjustment to the Corporate Taxpayer.</w:t>
      </w:r>
    </w:p>
    <w:p>
      <w:pPr>
        <w:spacing w:after="0" w:line="175" w:lineRule="exact"/>
        <w:rPr>
          <w:sz w:val="20"/>
          <w:szCs w:val="20"/>
          <w:color w:val="auto"/>
        </w:rPr>
      </w:pPr>
    </w:p>
    <w:p>
      <w:pPr>
        <w:jc w:val="both"/>
        <w:ind w:right="34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 Duplicative Payments</w:t>
      </w:r>
      <w:r>
        <w:rPr>
          <w:rFonts w:ascii="Times New Roman" w:cs="Times New Roman" w:eastAsia="Times New Roman" w:hAnsi="Times New Roman"/>
          <w:sz w:val="18"/>
          <w:szCs w:val="18"/>
          <w:color w:val="auto"/>
        </w:rPr>
        <w:t>. It is intended that the provisions of this Agreement will not result in duplicative payment of any amount (including interest) required under this Agreement. It is also intended that the provisions of this Agreement provide that eighty-five percent (85%) of the Cumulative Net Realized Tax Benefit with respect to each TRA Party will be paid to such TRA Party pursuant to this Agreement. The provisions of this Agreement shall be construed in the appropriate manner to ensure such intentions are realized.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Pro Rata Payments; Coordination of Benefits With Other Tax Receivable Agreements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200" w:firstLine="990"/>
        <w:spacing w:after="0" w:line="255" w:lineRule="auto"/>
        <w:tabs>
          <w:tab w:leader="none" w:pos="122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Attributable to each such TRA Party if the Corporate Taxpayer had sufficient taxable income so that there were no such limitation.</w:t>
      </w:r>
    </w:p>
    <w:p>
      <w:pPr>
        <w:spacing w:after="0" w:line="77" w:lineRule="exact"/>
        <w:rPr>
          <w:rFonts w:ascii="Times New Roman" w:cs="Times New Roman" w:eastAsia="Times New Roman" w:hAnsi="Times New Roman"/>
          <w:sz w:val="18"/>
          <w:szCs w:val="18"/>
          <w:color w:val="auto"/>
        </w:rPr>
      </w:pPr>
    </w:p>
    <w:p>
      <w:pPr>
        <w:jc w:val="both"/>
        <w:ind w:firstLine="990"/>
        <w:spacing w:after="0" w:line="258" w:lineRule="auto"/>
        <w:tabs>
          <w:tab w:leader="none" w:pos="12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72" w:lineRule="exact"/>
        <w:rPr>
          <w:rFonts w:ascii="Times New Roman" w:cs="Times New Roman" w:eastAsia="Times New Roman" w:hAnsi="Times New Roman"/>
          <w:sz w:val="18"/>
          <w:szCs w:val="18"/>
          <w:color w:val="auto"/>
        </w:rPr>
      </w:pPr>
    </w:p>
    <w:p>
      <w:pPr>
        <w:jc w:val="both"/>
        <w:ind w:right="80" w:firstLine="990"/>
        <w:spacing w:after="0" w:line="285" w:lineRule="auto"/>
        <w:tabs>
          <w:tab w:leader="none" w:pos="1225"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Times New Roman" w:cs="Times New Roman" w:eastAsia="Times New Roman" w:hAnsi="Times New Roman"/>
          <w:sz w:val="17"/>
          <w:szCs w:val="17"/>
          <w:u w:val="single" w:color="auto"/>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Tax Receivable Obligations</w:t>
      </w:r>
      <w:r>
        <w:rPr>
          <w:rFonts w:ascii="Times New Roman" w:cs="Times New Roman" w:eastAsia="Times New Roman" w:hAnsi="Times New Roman"/>
          <w:sz w:val="17"/>
          <w:szCs w:val="17"/>
          <w:color w:val="auto"/>
        </w:rPr>
        <w:t>”). The effect of any other similar agreement shall not be taken into account in respect of any calculations made hereunder.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206" w:name="page207"/>
    <w:bookmarkEnd w:id="206"/>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221" w:lineRule="exact"/>
        <w:rPr>
          <w:sz w:val="20"/>
          <w:szCs w:val="20"/>
          <w:color w:val="auto"/>
        </w:rPr>
      </w:pPr>
    </w:p>
    <w:p>
      <w:pPr>
        <w:ind w:left="4813"/>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5"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Early Termination and Acceleration Event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7" w:right="20" w:firstLine="990"/>
        <w:spacing w:after="0" w:line="250" w:lineRule="auto"/>
        <w:tabs>
          <w:tab w:leader="none" w:pos="121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written approval of the majority of the Independent Directors, the Corporate Taxpayer may terminate this Agreement with respect to all amounts payable to the TRA Parties and with respect to all of the Common Units held by the TRA Parties at any time by paying to each TRA Party the Early Termination Payment in respect of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Agreement shall only terminate upon the receipt of the Early Termination Payment by all TRA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outstanding as of the date the Early Termination Notice is delivered and (ii) Tax Benefit Payment due for the Taxable Year ending with or including the date of the Early Termination Notice (except to the extent that the amount described in clause (ii) is included in the calculation of the Early Termination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payment of all amounts, to the extent applicable and without duplication, described in this sentence, this Agreement shall terminate. If an Exchange occurs after the Corporate Taxpayer makes all of the required Early Termination Payments, the Corporate Taxpayer shall have no obligations under this Agreement with respect to such Exchange.</w:t>
      </w:r>
    </w:p>
    <w:p>
      <w:pPr>
        <w:spacing w:after="0" w:line="87" w:lineRule="exact"/>
        <w:rPr>
          <w:rFonts w:ascii="Times New Roman" w:cs="Times New Roman" w:eastAsia="Times New Roman" w:hAnsi="Times New Roman"/>
          <w:sz w:val="18"/>
          <w:szCs w:val="18"/>
          <w:color w:val="auto"/>
        </w:rPr>
      </w:pPr>
    </w:p>
    <w:p>
      <w:pPr>
        <w:ind w:left="-7" w:right="180" w:firstLine="990"/>
        <w:spacing w:after="0" w:line="274" w:lineRule="auto"/>
        <w:tabs>
          <w:tab w:leader="none" w:pos="1227"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Corporate Taxpayer materially breaches any of its material obligations under this Agreement, whether as a result of failure to make any payment when due, failure to honor any other material obligation required hereunder to the extent not cured within thirty</w:t>
      </w:r>
    </w:p>
    <w:p>
      <w:pPr>
        <w:ind w:left="-7" w:firstLine="7"/>
        <w:spacing w:after="0" w:line="248" w:lineRule="auto"/>
        <w:tabs>
          <w:tab w:leader="none" w:pos="33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following receipt by the Corporate Taxpayer of written notice of such failure from the relevant TRA Party or by operation of law as a result of the rejection of this Agreement in a case commenced under the Bankruptcy Code or otherwise, then all obligations hereunder shall be accelerated and such obligations shall be calculated as if an Early Termination Notice had been delivered on the date of such breach (an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and shall include, but not be limited to, (i) the Early Termination Payments calculated as if an Early Termination Notice had been delivered on the date of such Acceleration Event, (ii) any Tax Benefit Payment in respect of a TRA Party agreed to by the Corporate Taxpayer and such TRA Party as due and payable but unpaid as of the date of such Acceleration Event, and (iii) any Tax Benefit Payment in respect of any TRA Party due for the Taxable Year ending with or including the date of such Acceleration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procedures similar to the procedures of Section 4.2 shall apply with respect to the determination of the amount payable by the Corporate Taxpayer pursuant to this sentence. Notwithstanding the foregoing, in the event that an Acceleration Event occurs, each TRA Party shall be entitled to elect to receive the amounts set forth in clauses (i), (ii) and (iii) above or to seek specific performance of the terms hereof. The parties agree that the failure to make any payment due pursuant to this Agreement within thirty (30) days of the date such payment is due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thirty (30) days of the date such payment is due. Notwithstanding anything in this Agreement to the contrary, it shall not be a material breach of a material obligation under this Agreement if the Corporate Taxpayer fails to make any Tax Benefit Payment within thirty (30) days of when due to the extent that the Corporate Taxpayer has insufficient funds to make such payment as a result of obligations imposed in connection with the Senior Obligations or under applicable law, and cannot obtain sufficient funds to make such payments by taking commercially reasonable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provisions of Section 5.2 shall apply to such late payment;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payment obligation shall nonetheless accrue for the benefit of the TRA Party and the Corporate Taxpayer shall make such payment at the first opportunity that it has sufficient funds and is otherwise able to make such payment.</w:t>
      </w:r>
    </w:p>
    <w:p>
      <w:pPr>
        <w:spacing w:after="0" w:line="13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13"/>
          </w:cols>
          <w:pgMar w:left="487" w:top="264" w:right="499" w:bottom="1440" w:gutter="0" w:footer="0" w:header="0"/>
        </w:sectPr>
      </w:pPr>
    </w:p>
    <w:bookmarkStart w:id="207" w:name="page208"/>
    <w:bookmarkEnd w:id="207"/>
    <w:p>
      <w:pPr>
        <w:ind w:right="180" w:firstLine="990"/>
        <w:spacing w:after="0" w:line="270" w:lineRule="auto"/>
        <w:tabs>
          <w:tab w:leader="none" w:pos="1225"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event of a Change of Control, all obligations hereunder shall be accelerated and such obligations shall be calculated as if an Early Termination Notice had been delivered on the closing date of the Change of Control and utilizing the Valuation Assumptions by substituting the phrase “the closing date of a Change of Control” in each place “Early Termination Date” appears. Such obligations shall include, but not be limited to,</w:t>
      </w:r>
    </w:p>
    <w:p>
      <w:pPr>
        <w:spacing w:after="0" w:line="1" w:lineRule="exact"/>
        <w:rPr>
          <w:rFonts w:ascii="Times New Roman" w:cs="Times New Roman" w:eastAsia="Times New Roman" w:hAnsi="Times New Roman"/>
          <w:sz w:val="17"/>
          <w:szCs w:val="17"/>
          <w:color w:val="auto"/>
        </w:rPr>
      </w:pPr>
    </w:p>
    <w:p>
      <w:pPr>
        <w:jc w:val="both"/>
        <w:ind w:firstLine="7"/>
        <w:spacing w:after="0" w:line="250" w:lineRule="auto"/>
        <w:tabs>
          <w:tab w:leader="none" w:pos="25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Early Termination Payment calculated as if an Early Termination Notice had been delivered on the closing date of the Change of Control, (2) any Tax Benefit Payment due and payable and that remains unpaid as of the closing date of the Change of Control, and (3) any Tax Benefit Payments due for the Taxable Year ending with or including the closing date of the Change of Control (except to the extent that the amount described in clause (3) is included in the calculation of the Early Termination Payment). For the avoidance of doubt, Sections 4.2 and 4.3 shall apply to a Change of Control,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If the Corporate Taxpayer chooses to exercise its right of early termination under Section 4.1 above, the Corporate Taxpayer shall deliver to each TRA Party written notice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and a schedule (the “</w:t>
      </w:r>
      <w:r>
        <w:rPr>
          <w:rFonts w:ascii="Times New Roman" w:cs="Times New Roman" w:eastAsia="Times New Roman" w:hAnsi="Times New Roman"/>
          <w:sz w:val="18"/>
          <w:szCs w:val="18"/>
          <w:u w:val="single" w:color="auto"/>
          <w:color w:val="auto"/>
        </w:rPr>
        <w:t>Early Termination Schedule</w:t>
      </w:r>
      <w:r>
        <w:rPr>
          <w:rFonts w:ascii="Times New Roman" w:cs="Times New Roman" w:eastAsia="Times New Roman" w:hAnsi="Times New Roman"/>
          <w:sz w:val="18"/>
          <w:szCs w:val="18"/>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a TRA Party (a) provides the Corporate Taxpayer with notice of a material objection to such Schedule made in good faith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or (b) provides a written waiver of such right of a Material Objection Notice, in which case such Schedule will become binding on the date the waiver is received by the Corporate Taxpayer (the “</w:t>
      </w:r>
      <w:r>
        <w:rPr>
          <w:rFonts w:ascii="Times New Roman" w:cs="Times New Roman" w:eastAsia="Times New Roman" w:hAnsi="Times New Roman"/>
          <w:sz w:val="18"/>
          <w:szCs w:val="18"/>
          <w:u w:val="single" w:color="auto"/>
          <w:color w:val="auto"/>
        </w:rPr>
        <w:t>Early Termination Effective Date</w:t>
      </w:r>
      <w:r>
        <w:rPr>
          <w:rFonts w:ascii="Times New Roman" w:cs="Times New Roman" w:eastAsia="Times New Roman" w:hAnsi="Times New Roman"/>
          <w:sz w:val="18"/>
          <w:szCs w:val="18"/>
          <w:color w:val="auto"/>
        </w:rPr>
        <w:t>”). If the Corporate Taxpayer and such TRA Party, for any reason, are unable to successfully resolve the issues raised in such notice within thirty (30) calendar days after receipt by the Corporate Taxpayer of the Material Objection Notice, the Corporate Taxpayer and the TRA Party shall employ the Reconciliation Procedures in which case such Schedule shall become binding ten (10) calendar days after the conclusion of the Reconciliation Procedures.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Payment upon Early Termination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5" w:lineRule="auto"/>
        <w:tabs>
          <w:tab w:leader="none" w:pos="122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date an Early Termination Schedule becomes binding pursuant to Section 4.2,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 or, in the absence of such designation or agreement, by check mailed to the last mailing address provided by such TRA Party to the Corporate Taxpayer.</w:t>
      </w:r>
    </w:p>
    <w:p>
      <w:pPr>
        <w:spacing w:after="0" w:line="77" w:lineRule="exact"/>
        <w:rPr>
          <w:rFonts w:ascii="Times New Roman" w:cs="Times New Roman" w:eastAsia="Times New Roman" w:hAnsi="Times New Roman"/>
          <w:sz w:val="18"/>
          <w:szCs w:val="18"/>
          <w:color w:val="auto"/>
        </w:rPr>
      </w:pPr>
    </w:p>
    <w:p>
      <w:pPr>
        <w:ind w:right="160" w:firstLine="990"/>
        <w:spacing w:after="0" w:line="252" w:lineRule="auto"/>
        <w:tabs>
          <w:tab w:leader="none" w:pos="123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Payment</w:t>
      </w:r>
      <w:r>
        <w:rPr>
          <w:rFonts w:ascii="Times New Roman" w:cs="Times New Roman" w:eastAsia="Times New Roman" w:hAnsi="Times New Roman"/>
          <w:sz w:val="18"/>
          <w:szCs w:val="18"/>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(including extensions) under applicable law as of the Early Termination Date for filing of IRS Form 1120 (or any successor form)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Common Units as of the Early Termination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AND LATE PAYMENTS</w:t>
      </w:r>
    </w:p>
    <w:p>
      <w:pPr>
        <w:spacing w:after="0" w:line="225" w:lineRule="exact"/>
        <w:rPr>
          <w:sz w:val="20"/>
          <w:szCs w:val="20"/>
          <w:color w:val="auto"/>
        </w:rPr>
      </w:pPr>
    </w:p>
    <w:p>
      <w:pPr>
        <w:ind w:right="10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Notwithstanding any other provision of this Agreement to the contrary, any Tax Benefit Payment, Early Termination Payment or any other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xml:space="preserve">”), shall rank senior in right of payment to any principal, interest or other amounts due and payable in respect of any Other Tax Receivable Obligation,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w:t>
      </w:r>
    </w:p>
    <w:p>
      <w:pPr>
        <w:spacing w:after="0" w:line="192" w:lineRule="exact"/>
        <w:rPr>
          <w:sz w:val="20"/>
          <w:szCs w:val="20"/>
          <w:color w:val="auto"/>
        </w:rPr>
      </w:pPr>
    </w:p>
    <w:p>
      <w:pPr>
        <w:jc w:val="both"/>
        <w:ind w:right="80" w:firstLine="982"/>
        <w:spacing w:after="0" w:line="285"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Late Payments by the Corporate Taxpayer</w:t>
      </w:r>
      <w:r>
        <w:rPr>
          <w:rFonts w:ascii="Times New Roman" w:cs="Times New Roman" w:eastAsia="Times New Roman" w:hAnsi="Times New Roman"/>
          <w:sz w:val="17"/>
          <w:szCs w:val="17"/>
          <w:color w:val="auto"/>
        </w:rPr>
        <w:t>. The amount of all or any portion of any Tax Benefit Payment or Early Termination Payment not made to the TRA Parties when due under the terms of this Agreement shall be payable together with any interest thereon, computed at the Default Rate and commencing from the date on which such Tax Benefit Payment or Early Termination Payment was due and payable.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 DISPUTES; CONSISTENCY; COOPERATION</w:t>
      </w:r>
    </w:p>
    <w:p>
      <w:pPr>
        <w:spacing w:after="0" w:line="225"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Participation in the Corporate Taxpayer’s and OpCo’s Tax Matters</w:t>
      </w:r>
      <w:r>
        <w:rPr>
          <w:rFonts w:ascii="Times New Roman" w:cs="Times New Roman" w:eastAsia="Times New Roman" w:hAnsi="Times New Roman"/>
          <w:sz w:val="18"/>
          <w:szCs w:val="18"/>
          <w:color w:val="auto"/>
        </w:rPr>
        <w:t xml:space="preserve">. Except as otherwise provided herein, the Corporate Taxpayer shall have full responsibility for, and sole discretion over, all Tax matters concerning the Corporate Taxpayer and, to the extent not inconsistent with the LLC Agreement or the Merger Agreement, OpCo, including the preparation, filing or amending of any Tax Return and defending, contesting or settling any issue pertaining to Taxes. Notwithstanding the foregoing, the Corporate Taxpayer shall notify the relevant TRA Party of, and keep such TRA Party reasonably informed with respect to, the portion of any audit of the Corporate Taxpayer and OpCo by a Taxing Authority the outcome of which is reasonably expected to affect the rights and obligations of such TRA Party under this Agreement, and (x) shall provide to the relevant TRA Party reasonable opportunity to provide information and other input to the Corporate Taxpayer, OpCo and their respective advisors concerning the conduct of any such portion of such audit and (y) the TRA Party shall have the right to participate in and monitor at the applicable TRA Party’s expense (but not to control) any such portion of any such audit;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Corporate Taxpayer and OpCo shall not (i) be required to take any action that is inconsistent with any provision of the LLC Agreement or (ii) settle or fail to contest any issue pertaining to Taxes that is reasonably expected to materially adversely affect any TRA Party’s rights or obligations under this Agreement without the prior written consent of such TRA Party, such consent not to be unreasonably withheld, conditioned or delayed.</w:t>
      </w:r>
    </w:p>
    <w:p>
      <w:pPr>
        <w:spacing w:after="0" w:line="194" w:lineRule="exact"/>
        <w:rPr>
          <w:sz w:val="20"/>
          <w:szCs w:val="20"/>
          <w:color w:val="auto"/>
        </w:rPr>
      </w:pPr>
    </w:p>
    <w:p>
      <w:pPr>
        <w:jc w:val="both"/>
        <w:ind w:right="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Consistency</w:t>
      </w:r>
      <w:r>
        <w:rPr>
          <w:rFonts w:ascii="Times New Roman" w:cs="Times New Roman" w:eastAsia="Times New Roman" w:hAnsi="Times New Roman"/>
          <w:sz w:val="18"/>
          <w:szCs w:val="18"/>
          <w:color w:val="auto"/>
        </w:rPr>
        <w:t>. The Corporate Taxpayer and the TRA Parties agree to report and cause to be reported for all purposes, including U.S. federal, state and local Tax purposes and financial reporting purposes, all Tax-related items (including the Basis Adjustments and each Tax Benefit Payment) in a manner consistent with that specified by the Corporate Taxpayer in any Schedule required to be provided by or on behalf of the Corporate Taxpayer under this Agreement unless otherwise required by law.</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4" w:right="519" w:bottom="1440" w:gutter="0" w:footer="0" w:header="0"/>
        </w:sectPr>
      </w:pPr>
    </w:p>
    <w:bookmarkStart w:id="209" w:name="page210"/>
    <w:bookmarkEnd w:id="209"/>
    <w:p>
      <w:pPr>
        <w:ind w:right="4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 6.3.</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firstLine="982"/>
        <w:spacing w:after="0" w:line="277"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Corporate Taxpayer, to:</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required copy to (which shall not constitute notice):</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 Matthew Lyons</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matt.lyons@shearman.com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TRA Parties, to:</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fax number and email address set forth in the records of OpCo.</w:t>
      </w:r>
    </w:p>
    <w:p>
      <w:pPr>
        <w:spacing w:after="0" w:line="22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Any party may change its address, fax number or email by giving the other party written notice of its new address, fax number or email in the manner set forth above.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210" w:name="page211"/>
    <w:bookmarkEnd w:id="210"/>
    <w:p>
      <w:pPr>
        <w:jc w:val="both"/>
        <w:ind w:right="4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4" w:lineRule="exact"/>
        <w:rPr>
          <w:sz w:val="20"/>
          <w:szCs w:val="20"/>
          <w:color w:val="auto"/>
        </w:rPr>
      </w:pPr>
    </w:p>
    <w:p>
      <w:pPr>
        <w:ind w:right="3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62" w:lineRule="exact"/>
        <w:rPr>
          <w:sz w:val="20"/>
          <w:szCs w:val="20"/>
          <w:color w:val="auto"/>
        </w:rPr>
      </w:pPr>
    </w:p>
    <w:p>
      <w:pPr>
        <w:ind w:right="100"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Successors; Assignment; Amendments; Waivers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50" w:lineRule="auto"/>
        <w:tabs>
          <w:tab w:leader="none" w:pos="122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TRA Party Transfers Common Units to any of such TRA Party’s Permitted Transferees in accordance with the terms of the LLC Agreement and the Stockholders Agreement, such TRA Party shall have the option to assign, without the approval of the Corporate Taxpayer, to the Transferee of such Common Units the TRA Party’s rights and obligations under this Agreement with respect to such Common Units. As a condition to any such Transfer, each Transferee which is a Permitted Transferee shall execute and deliver a joinder to this Agreement, in the form attached hereto as Exhibit A, agreeing to become a TRA Party for all purposes of this Agreement, except as otherwise provided in such joinder. If a TRA Party Transfers Common Units in accordance with the terms of the LLC Agreement but does not assign to the Transferee of such Common Units its rights and obligations under this Agreement with respect to such Transferred Common Units, (i) such TRA Party shall remain a TRA Party under this Agreement for all purposes, including with respect to the receipt of Tax Benefit Payments to the extent payable hereunder (including any Tax Benefit Payments in respect of the Exchanges of such Transferred Common Units by such Transferee), and (ii) the Transferee of such Common Units shall not be a TRA Party. Any purported assignment in violation of the terms of this Section 7.6(a) shall be null and void. Notwithstanding the foregoing, once an Exchange has occurred, any and all payments that may become payable to a TRA Party pursuant to this Agreement with respect to such Exchange may be assigned to any Person or Persons, as long as any such Person has executed and delivered, or, in connection with such assignment, executes and delivers, a joinder to this Agreement, in form and substance reasonably satisfactory to the Corporate Taxpayer.</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68" w:right="499" w:bottom="1440" w:gutter="0" w:footer="0" w:header="0"/>
        </w:sectPr>
      </w:pPr>
    </w:p>
    <w:bookmarkStart w:id="211" w:name="page212"/>
    <w:bookmarkEnd w:id="211"/>
    <w:p>
      <w:pPr>
        <w:ind w:right="60" w:firstLine="990"/>
        <w:spacing w:after="0" w:line="252" w:lineRule="auto"/>
        <w:tabs>
          <w:tab w:leader="none" w:pos="12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 provision of this Agreement may be amended unless such amendment is approved in writing by the Corporate Taxpayer and no provision of this Agreement may be waived unless such waiver is in writing and signed by the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a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80" w:lineRule="exact"/>
        <w:rPr>
          <w:rFonts w:ascii="Times New Roman" w:cs="Times New Roman" w:eastAsia="Times New Roman" w:hAnsi="Times New Roman"/>
          <w:sz w:val="18"/>
          <w:szCs w:val="18"/>
          <w:color w:val="auto"/>
        </w:rPr>
      </w:pPr>
    </w:p>
    <w:p>
      <w:pPr>
        <w:ind w:right="40" w:firstLine="990"/>
        <w:spacing w:after="0" w:line="255" w:lineRule="auto"/>
        <w:tabs>
          <w:tab w:leader="none" w:pos="122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spacing w:after="0" w:line="184" w:lineRule="exact"/>
        <w:rPr>
          <w:sz w:val="20"/>
          <w:szCs w:val="20"/>
          <w:color w:val="auto"/>
        </w:rPr>
      </w:pPr>
    </w:p>
    <w:p>
      <w:pPr>
        <w:ind w:right="1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 considered in construing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Except with respect to Reconciliation Disputes governed by Section 7.9, each of the parties hereto</w:t>
      </w:r>
    </w:p>
    <w:p>
      <w:pPr>
        <w:spacing w:after="0" w:line="26" w:lineRule="exact"/>
        <w:rPr>
          <w:sz w:val="20"/>
          <w:szCs w:val="20"/>
          <w:color w:val="auto"/>
        </w:rPr>
      </w:pPr>
    </w:p>
    <w:p>
      <w:pPr>
        <w:ind w:firstLine="7"/>
        <w:spacing w:after="0" w:line="248" w:lineRule="auto"/>
        <w:tabs>
          <w:tab w:leader="none" w:pos="21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however, shall affect the right of any party to serve legal process in any other manner permitted by law. TO THE EXTENT PERMITTED BY APPLICABLE LAW, EACH PARTY HEREBY IRREVOCABLY AND UNCONDITIONALLY WAIVES ALL RIGHTS TO TRIAL BY JURY IN ANY ACTION OR PROCEEDING CONTEMPLATED HEREBY.</w:t>
      </w:r>
    </w:p>
    <w:p>
      <w:pPr>
        <w:spacing w:after="0" w:line="196"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Reconciliation</w:t>
      </w:r>
      <w:r>
        <w:rPr>
          <w:rFonts w:ascii="Times New Roman" w:cs="Times New Roman" w:eastAsia="Times New Roman" w:hAnsi="Times New Roman"/>
          <w:sz w:val="18"/>
          <w:szCs w:val="18"/>
          <w:color w:val="auto"/>
        </w:rPr>
        <w:t>. In the event that the Corporate Taxpayer and a TRA Party are unable to resolve a disagreement with respect to the matters governed by Sections 2.3 and 4.2 or described in the definition of “LIBOR” within the relevant period designated in this Agreement (“</w:t>
      </w:r>
      <w:r>
        <w:rPr>
          <w:rFonts w:ascii="Times New Roman" w:cs="Times New Roman" w:eastAsia="Times New Roman" w:hAnsi="Times New Roman"/>
          <w:sz w:val="18"/>
          <w:szCs w:val="18"/>
          <w:u w:val="single" w:color="auto"/>
          <w:color w:val="auto"/>
        </w:rPr>
        <w:t>Reconciliation Dispute</w:t>
      </w:r>
      <w:r>
        <w:rPr>
          <w:rFonts w:ascii="Times New Roman" w:cs="Times New Roman" w:eastAsia="Times New Roman" w:hAnsi="Times New Roman"/>
          <w:sz w:val="18"/>
          <w:szCs w:val="18"/>
          <w:color w:val="auto"/>
        </w:rPr>
        <w:t>”), the Reconciliation Dispute shall be submitted for determination to a nationally recognized expert (the “</w:t>
      </w:r>
      <w:r>
        <w:rPr>
          <w:rFonts w:ascii="Times New Roman" w:cs="Times New Roman" w:eastAsia="Times New Roman" w:hAnsi="Times New Roman"/>
          <w:sz w:val="18"/>
          <w:szCs w:val="18"/>
          <w:u w:val="single" w:color="auto"/>
          <w:color w:val="auto"/>
        </w:rPr>
        <w:t>Expert</w:t>
      </w:r>
      <w:r>
        <w:rPr>
          <w:rFonts w:ascii="Times New Roman" w:cs="Times New Roman" w:eastAsia="Times New Roman" w:hAnsi="Times New Roman"/>
          <w:sz w:val="18"/>
          <w:szCs w:val="18"/>
          <w:color w:val="auto"/>
        </w:rPr>
        <w:t>”) in the particular area of disagreement mutually acceptable to the Corporate Taxpayer and the relevant TRA Party. The Expert shall be a partner or principal in a nationally recognized accounting firm, and unless the Corporate Taxpayer and the TRA Party agree otherwise, the Expert shall not, and the firm that employs the Expert shall not, have any material relationship with the Corporate Taxpayer or the TRA Party or other actual or potential conflict of interest. If the Corporate Taxpayer and the TRA Party are unable to agree on an Expert within fifteen (15) calendar days of receipt by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212" w:name="page213"/>
    <w:bookmarkEnd w:id="212"/>
    <w:p>
      <w:pPr>
        <w:ind w:right="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respondent(s) of written notice of a Reconciliation Dispute, the Expert shall be appointed by the International Chamber of Commerce Centre for Expertise. The Expert shall resolve any matter relating to the Exchange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(and, if applicable, selection by the International Chamber of Commerce Centre for Expertise) or amending any Tax Return shall be borne by the Corporate Taxpayer except as provided in the next sentence. The Corporate Taxpayer and the relevant TRA Party shall bear their own costs and expenses of such proceeding, unless the relevant TRA Party has a prevailing position that is more than 25% of the payment at issue, in which case the Corporate Taxpayer shall reimburse the relevant TRA Party for any reasonable out-of-pocket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90"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reasonably requested by the Corporate Taxpayer in connection with determining whether any such deductions and withholdings are required under the Code or any provision of state, local or foreign tax law.</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Admission of the Corporate Taxpayer into a Consolidated Group; Transfers of Corporate Assets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8" w:lineRule="auto"/>
        <w:tabs>
          <w:tab w:leader="none" w:pos="122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Corporate Taxpayer is or becomes a member of an affiliated or consolidated group of corporations that files a consolidated income tax return pursuant to Sections 1501 et seq. of the Code or any corresponding provisions of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72" w:lineRule="exact"/>
        <w:rPr>
          <w:rFonts w:ascii="Times New Roman" w:cs="Times New Roman" w:eastAsia="Times New Roman" w:hAnsi="Times New Roman"/>
          <w:sz w:val="18"/>
          <w:szCs w:val="18"/>
          <w:color w:val="auto"/>
        </w:rPr>
      </w:pPr>
    </w:p>
    <w:p>
      <w:pPr>
        <w:ind w:firstLine="990"/>
        <w:spacing w:after="0" w:line="253" w:lineRule="auto"/>
        <w:tabs>
          <w:tab w:leader="none" w:pos="123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entity that is obligated to make a Tax Benefit Payment or Early Termination Payment hereunder transfers one or more assets to a corporation (or a Person classified as a corporation for U.S. federal income tax purposes) with which such entity does not file a consolidated tax return pursuant to Section 1501 of the Code, such entity, for purposes of calculating the amount of any Tax Benefit Payment or Early Termination Payment (e.g., calculating the gross income of the entity and determining the Realized Tax Benefit of such entity) due hereunder, shall be treated as having disposed of such asset in a fully taxable transaction on the date of such transfer. The consideration deemed to be received by such entity shall be equal to the gross fair market value of the transferred asset. For purposes of this Section 7.11(b), a transfer of a partnership interest shall be treated as a transfer of the transferring partner’s share of each of the assets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80" w:top="268" w:right="519" w:bottom="1440" w:gutter="0" w:footer="0" w:header="0"/>
        </w:sectPr>
      </w:pPr>
    </w:p>
    <w:bookmarkStart w:id="213" w:name="page214"/>
    <w:bookmarkEnd w:id="21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liabilities of that partnership allocated to such partner. Notwithstanding the foregoing, after the occurrence of any such transfer as described in the first sentence of this Section 7.11(b), if the Corporate Taxpayer takes actions to ensure that the amount to be received by the TRA Parties hereunder and the timing thereof, taking into account such actions (which actions may, at the election of the Corporate Taxpayer, include the payment of an additional amount to a TRA Party), would be the same amount and timing as if such transfer described in the first sentence Section 7.11(b) did not occur then this Section 7.11(b) shall not apply with respect to such transfer.</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65" w:lineRule="auto"/>
        <w:tabs>
          <w:tab w:leader="none" w:pos="1225"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(ii) the disclosure of information to the extent necessary for the TRA Party to assert its rights hereunder or defend itself in connection with any action or proceeding arising out of, or relating to, this Agreement,</w:t>
      </w:r>
    </w:p>
    <w:p>
      <w:pPr>
        <w:spacing w:after="0" w:line="3" w:lineRule="exact"/>
        <w:rPr>
          <w:rFonts w:ascii="Times New Roman" w:cs="Times New Roman" w:eastAsia="Times New Roman" w:hAnsi="Times New Roman"/>
          <w:sz w:val="17"/>
          <w:szCs w:val="17"/>
          <w:color w:val="auto"/>
        </w:rPr>
      </w:pPr>
    </w:p>
    <w:p>
      <w:pPr>
        <w:ind w:right="40" w:firstLine="7"/>
        <w:spacing w:after="0" w:line="248" w:lineRule="auto"/>
        <w:tabs>
          <w:tab w:leader="none" w:pos="31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was in the possession of, or becomes available to, the TRA Party from a source other than the Corporate Taxpayer, its Affiliates or its or their respective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w:t>
      </w:r>
    </w:p>
    <w:p>
      <w:pPr>
        <w:ind w:right="20" w:firstLine="7"/>
        <w:spacing w:after="0" w:line="270" w:lineRule="auto"/>
        <w:tabs>
          <w:tab w:leader="none" w:pos="252"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to any and all Persons the tax treatment and tax structure of the Corporate Taxpayer, OpCo and their Affiliates, and any of their transactions, and all materials of any kind (including any Schedules, opinions or other tax analyses) that are provided to the TRA Party relating to such tax treatment and tax structure, and (y) disclose any such confidential information to any Representative of such TRA Party so long as such Representative has a “need to know” such information for a valid business purpose and has been advised of the confidential nature of such information.</w:t>
      </w:r>
    </w:p>
    <w:p>
      <w:pPr>
        <w:spacing w:after="0" w:line="64" w:lineRule="exact"/>
        <w:rPr>
          <w:rFonts w:ascii="Times New Roman" w:cs="Times New Roman" w:eastAsia="Times New Roman" w:hAnsi="Times New Roman"/>
          <w:sz w:val="17"/>
          <w:szCs w:val="17"/>
          <w:color w:val="auto"/>
        </w:rPr>
      </w:pPr>
    </w:p>
    <w:p>
      <w:pPr>
        <w:ind w:right="240" w:firstLine="990"/>
        <w:spacing w:after="0" w:line="258" w:lineRule="auto"/>
        <w:tabs>
          <w:tab w:leader="none" w:pos="123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80" w:top="268" w:right="519" w:bottom="1440" w:gutter="0" w:footer="0" w:header="0"/>
        </w:sectPr>
      </w:pPr>
    </w:p>
    <w:bookmarkStart w:id="214" w:name="page215"/>
    <w:bookmarkEnd w:id="21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further effect with respect to such TRA Party, (ii) shall not apply to an Exchange by such TRA Party occurring after a date specified by such TRA Party, or (iii) shall otherwise be amended in a manner determined by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80" w:lineRule="exact"/>
        <w:rPr>
          <w:sz w:val="20"/>
          <w:szCs w:val="20"/>
          <w:color w:val="auto"/>
        </w:rPr>
      </w:pPr>
    </w:p>
    <w:p>
      <w:pPr>
        <w:ind w:right="10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This Agreement shall be treated as part of the partnership agreement of OpCo as described in Section 761(c) of the Code and Sections 1.704-1(b)(2)(ii)(h) and 1.761-1(c) of the Treasury Regulations.</w:t>
      </w:r>
    </w:p>
    <w:p>
      <w:pPr>
        <w:spacing w:after="0" w:line="162" w:lineRule="exact"/>
        <w:rPr>
          <w:sz w:val="20"/>
          <w:szCs w:val="20"/>
          <w:color w:val="auto"/>
        </w:rPr>
      </w:pPr>
    </w:p>
    <w:p>
      <w:pPr>
        <w:ind w:right="20"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Independent Nature of TRA Parties’ Rights and Obligations</w:t>
      </w:r>
      <w:r>
        <w:rPr>
          <w:rFonts w:ascii="Times New Roman" w:cs="Times New Roman" w:eastAsia="Times New Roman" w:hAnsi="Times New Roman"/>
          <w:sz w:val="18"/>
          <w:szCs w:val="18"/>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87"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Installment Sale Reporting</w:t>
      </w:r>
      <w:r>
        <w:rPr>
          <w:rFonts w:ascii="Times New Roman" w:cs="Times New Roman" w:eastAsia="Times New Roman" w:hAnsi="Times New Roman"/>
          <w:sz w:val="18"/>
          <w:szCs w:val="18"/>
          <w:color w:val="auto"/>
        </w:rPr>
        <w:t>. The Corporate Taxpayer and the Members hereby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at the election of a TRA Party specified in the Exchange Notice (as defined in the Exchange Agreement) for the applicable Exchange, the aggregate Tax Benefit Payments in respect of such Exchange (other than amounts accounted for as Imputed Interest under the Code) shall not exceed, as specified by a TRA Party,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of the amount of the initial consideration received in connection with such Exchange (which, for the avoidance of doubt, shall include the amount of any cash and the fair market value of any Class A Common Stock received in such Exchange and shall exclude the fair market value of any Tax Benefit Payments).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645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6" w:lineRule="exact"/>
        <w:rPr>
          <w:sz w:val="20"/>
          <w:szCs w:val="20"/>
          <w:color w:val="auto"/>
        </w:rPr>
      </w:pPr>
    </w:p>
    <w:p>
      <w:pPr>
        <w:ind w:left="440" w:hanging="433"/>
        <w:spacing w:after="0"/>
        <w:tabs>
          <w:tab w:leader="none" w:pos="44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Figure to be included in the execution version.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8" w:right="499" w:bottom="1440" w:gutter="0" w:footer="0" w:header="0"/>
        </w:sectPr>
      </w:pPr>
    </w:p>
    <w:bookmarkStart w:id="215" w:name="page216"/>
    <w:bookmarkEnd w:id="21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Corporate Taxpayer and each TRA Party have duly executed this Agreement as of the date first written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Tax Receivable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480" w:top="268" w:right="839" w:bottom="1440" w:gutter="0" w:footer="0" w:header="0"/>
        </w:sectPr>
      </w:pPr>
    </w:p>
    <w:bookmarkStart w:id="216" w:name="page217"/>
    <w:bookmarkEnd w:id="216"/>
    <w:p>
      <w:pPr>
        <w:jc w:val="right"/>
        <w:ind w:right="2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TRA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Tax Receivable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Included Prior to Closing]</w:t>
      </w:r>
    </w:p>
    <w:p>
      <w:pPr>
        <w:sectPr>
          <w:pgSz w:w="11900" w:h="16838" w:orient="portrait"/>
          <w:cols w:equalWidth="0" w:num="1">
            <w:col w:w="9019"/>
          </w:cols>
          <w:pgMar w:left="1440" w:top="264" w:right="1440"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REGISTRATION RIGHTS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 2021, by and among (i) Bakkt Holdings Inc., a Delaware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known as VPC Impact Acquisition Holdings)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(ii) each of the parties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Bakkt Equity Holder</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collectively, the “</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(iii) VPC Impact Acquisition Holdings Sponsor, LLC, a Delaware limited liability company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(iv) the other individuals identified on the signature pages hereto and any person or entity who hereafter becomes a party to this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WHEREAS, Pubco, which was formerly a Cayman Islands exempted company named VPC Impact Acquisition Holdings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completed its initial public offering on September 25, 2020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WHEREAS, Pubco has entered into that certain Agreement and Plan of Merger, dated as of January 11, 2021 (as may be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Pylon Merger Company LLC, a Delaware limited liability company and wholly-owned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Bakkt Holdings, LLC, a Delaware limited liability company (together with any successor thereto upon the consummation of the Merger (as defined below),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pursuant to which Merger Sub merged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surviving the Merger;</w:t>
      </w:r>
    </w:p>
    <w:p>
      <w:pPr>
        <w:spacing w:after="0" w:line="184"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WHEREAS, immediately prior to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Pubco effected a transfer by way of continuation of Pubco from the Cayman Islands to the State of Delaware in accordance with the applicable provisions of the Companies Law (2020 Revisions) of the Cayman Islands and a transfer by way of domestication under Section 388 of the General Corporation Law of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36"/>
        <w:spacing w:after="0" w:line="270" w:lineRule="auto"/>
        <w:rPr>
          <w:sz w:val="20"/>
          <w:szCs w:val="20"/>
          <w:color w:val="auto"/>
        </w:rPr>
      </w:pPr>
      <w:r>
        <w:rPr>
          <w:rFonts w:ascii="Times New Roman" w:cs="Times New Roman" w:eastAsia="Times New Roman" w:hAnsi="Times New Roman"/>
          <w:sz w:val="17"/>
          <w:szCs w:val="17"/>
          <w:color w:val="auto"/>
        </w:rPr>
        <w:t>WHEREAS, in connection with the Domestication and the Transactions, among other things, (i) Pubco changed its name from “</w:t>
      </w:r>
      <w:r>
        <w:rPr>
          <w:rFonts w:ascii="Times New Roman" w:cs="Times New Roman" w:eastAsia="Times New Roman" w:hAnsi="Times New Roman"/>
          <w:sz w:val="17"/>
          <w:szCs w:val="17"/>
          <w:u w:val="single" w:color="auto"/>
          <w:color w:val="auto"/>
        </w:rPr>
        <w:t>VPC Impact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Acquisition Holdings</w:t>
      </w:r>
      <w:r>
        <w:rPr>
          <w:rFonts w:ascii="Times New Roman" w:cs="Times New Roman" w:eastAsia="Times New Roman" w:hAnsi="Times New Roman"/>
          <w:sz w:val="17"/>
          <w:szCs w:val="17"/>
          <w:color w:val="auto"/>
        </w:rPr>
        <w:t>” to “</w:t>
      </w:r>
      <w:r>
        <w:rPr>
          <w:rFonts w:ascii="Times New Roman" w:cs="Times New Roman" w:eastAsia="Times New Roman" w:hAnsi="Times New Roman"/>
          <w:sz w:val="17"/>
          <w:szCs w:val="17"/>
          <w:u w:val="single" w:color="auto"/>
          <w:color w:val="auto"/>
        </w:rPr>
        <w:t>Bakkt Holdings, Inc.</w:t>
      </w:r>
      <w:r>
        <w:rPr>
          <w:rFonts w:ascii="Times New Roman" w:cs="Times New Roman" w:eastAsia="Times New Roman" w:hAnsi="Times New Roman"/>
          <w:sz w:val="17"/>
          <w:szCs w:val="17"/>
          <w:color w:val="auto"/>
        </w:rPr>
        <w:t>”, (ii) each VIH Public Unit issued and outstanding immediately prior to the Domestication was separated into its component Pubco Class A ordinary share and warrant; (ii) the issued and outstanding Class A ordinary shares of Pubco, par value $0.0001 per share, were automatically converted into shares of Class A common stock, par value $0.0001 per share, of Pubco (the “</w:t>
      </w:r>
      <w:r>
        <w:rPr>
          <w:rFonts w:ascii="Times New Roman" w:cs="Times New Roman" w:eastAsia="Times New Roman" w:hAnsi="Times New Roman"/>
          <w:sz w:val="17"/>
          <w:szCs w:val="17"/>
          <w:u w:val="single" w:color="auto"/>
          <w:color w:val="auto"/>
        </w:rPr>
        <w:t>Class A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(iii) the issued and outstanding Class B ordinary shares of Pubco (collectively, the “</w:t>
      </w:r>
      <w:r>
        <w:rPr>
          <w:rFonts w:ascii="Times New Roman" w:cs="Times New Roman" w:eastAsia="Times New Roman" w:hAnsi="Times New Roman"/>
          <w:sz w:val="17"/>
          <w:szCs w:val="17"/>
          <w:u w:val="single" w:color="auto"/>
          <w:color w:val="auto"/>
        </w:rPr>
        <w:t>Founders Shares</w:t>
      </w:r>
      <w:r>
        <w:rPr>
          <w:rFonts w:ascii="Times New Roman" w:cs="Times New Roman" w:eastAsia="Times New Roman" w:hAnsi="Times New Roman"/>
          <w:sz w:val="17"/>
          <w:szCs w:val="17"/>
          <w:color w:val="auto"/>
        </w:rPr>
        <w:t>”), all of which were held by the Sponsor and the independent directors of Pubco (the “</w:t>
      </w:r>
      <w:r>
        <w:rPr>
          <w:rFonts w:ascii="Times New Roman" w:cs="Times New Roman" w:eastAsia="Times New Roman" w:hAnsi="Times New Roman"/>
          <w:sz w:val="17"/>
          <w:szCs w:val="17"/>
          <w:u w:val="single" w:color="auto"/>
          <w:color w:val="auto"/>
        </w:rPr>
        <w:t>Pre-Closing Independent Directors</w:t>
      </w:r>
      <w:r>
        <w:rPr>
          <w:rFonts w:ascii="Times New Roman" w:cs="Times New Roman" w:eastAsia="Times New Roman" w:hAnsi="Times New Roman"/>
          <w:sz w:val="17"/>
          <w:szCs w:val="17"/>
          <w:color w:val="auto"/>
        </w:rPr>
        <w:t>”), automatically converted into shares of Class A Common Stock on a one-for-one basis; and (iv) each VIH Warrant became exercisable for shares of Class A Common Stock in accordance with the terms of such warrants;</w:t>
      </w:r>
    </w:p>
    <w:p>
      <w:pPr>
        <w:spacing w:after="0" w:line="172"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WHEREAS, pursuant to the Merger Agreement, at the Closing (and following the filing of the Certificate of Incorporation), (i) the Bakkt Equity Holders received Bakkt Opco Common Units and shares of Pubco Class V Common Stock, and (ii) Pubco received Bakkt Opco Common Units in an amount equal to the number of shares of Class A Common Stock outstanding immediately prior to the Effective Time;</w:t>
      </w:r>
    </w:p>
    <w:p>
      <w:pPr>
        <w:spacing w:after="0" w:line="175"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WHEREAS, following the Closing, each Bakkt Equity Holder has the right to exchange Bakkt Opco Common Units received by such Bakkt Equity Holder in connection with the Merger, and cancel an equal number of shares of Class V Common Stock, for shares of Class A Common Stock (the “</w:t>
      </w:r>
      <w:r>
        <w:rPr>
          <w:rFonts w:ascii="Times New Roman" w:cs="Times New Roman" w:eastAsia="Times New Roman" w:hAnsi="Times New Roman"/>
          <w:sz w:val="18"/>
          <w:szCs w:val="18"/>
          <w:u w:val="single" w:color="auto"/>
          <w:color w:val="auto"/>
        </w:rPr>
        <w:t>Pubco Exchanged Shares</w:t>
      </w:r>
      <w:r>
        <w:rPr>
          <w:rFonts w:ascii="Times New Roman" w:cs="Times New Roman" w:eastAsia="Times New Roman" w:hAnsi="Times New Roman"/>
          <w:sz w:val="18"/>
          <w:szCs w:val="18"/>
          <w:color w:val="auto"/>
        </w:rPr>
        <w:t>”) in the manner set forth in, and pursuant to the terms and conditions of, the Surviving Company LLC Agreement and the Exchange Agreement;</w:t>
      </w:r>
    </w:p>
    <w:p>
      <w:pPr>
        <w:spacing w:after="0" w:line="180" w:lineRule="exact"/>
        <w:rPr>
          <w:sz w:val="20"/>
          <w:szCs w:val="20"/>
          <w:color w:val="auto"/>
        </w:rPr>
      </w:pPr>
    </w:p>
    <w:p>
      <w:pPr>
        <w:ind w:right="560" w:firstLine="436"/>
        <w:spacing w:after="0" w:line="278" w:lineRule="auto"/>
        <w:rPr>
          <w:sz w:val="20"/>
          <w:szCs w:val="20"/>
          <w:color w:val="auto"/>
        </w:rPr>
      </w:pPr>
      <w:r>
        <w:rPr>
          <w:rFonts w:ascii="Times New Roman" w:cs="Times New Roman" w:eastAsia="Times New Roman" w:hAnsi="Times New Roman"/>
          <w:sz w:val="18"/>
          <w:szCs w:val="18"/>
          <w:color w:val="auto"/>
        </w:rPr>
        <w:t>WHEREAS, immediately prior to the Closing of the Transactions, the Sponsor and the Pre-Closing Independent Directors owned all of the 5,184,300 Founder Shares then outstanding;</w:t>
      </w:r>
    </w:p>
    <w:p>
      <w:pPr>
        <w:sectPr>
          <w:pgSz w:w="11900" w:h="16838" w:orient="portrait"/>
          <w:cols w:equalWidth="0" w:num="1">
            <w:col w:w="10920"/>
          </w:cols>
          <w:pgMar w:left="480" w:top="264" w:right="499" w:bottom="1440" w:gutter="0" w:footer="0" w:header="0"/>
        </w:sectPr>
      </w:pPr>
    </w:p>
    <w:bookmarkStart w:id="220" w:name="page221"/>
    <w:bookmarkEnd w:id="220"/>
    <w:p>
      <w:pPr>
        <w:ind w:right="100" w:firstLine="436"/>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the Sponsor also holds an aggregate of 6,147,440 Private Placement Warrants (as defined below), each of which became exercisable to purchase one share of Class A Common Stock after the Closing of the Transactions, in accordance with its terms (the “</w:t>
      </w:r>
      <w:r>
        <w:rPr>
          <w:rFonts w:ascii="Times New Roman" w:cs="Times New Roman" w:eastAsia="Times New Roman" w:hAnsi="Times New Roman"/>
          <w:sz w:val="17"/>
          <w:szCs w:val="17"/>
          <w:u w:val="single" w:color="auto"/>
          <w:color w:val="auto"/>
        </w:rPr>
        <w:t>Class A Warrant Shares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WHEREAS, in connection with the IPO, VIH, the Sponsor and the Pre-Closing Independent Directors entered into that certain Registration Rights Agreement, dated as of September 22, 2020 (the “</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WHEREAS, in connection with the execution of this Agreement, the parties to the Original RRA desire to terminate the Original RRA and replace it with this Agreement;</w:t>
      </w:r>
    </w:p>
    <w:p>
      <w:pPr>
        <w:spacing w:after="0" w:line="162" w:lineRule="exact"/>
        <w:rPr>
          <w:sz w:val="20"/>
          <w:szCs w:val="20"/>
          <w:color w:val="auto"/>
        </w:rPr>
      </w:pPr>
    </w:p>
    <w:p>
      <w:pPr>
        <w:ind w:right="480" w:firstLine="436"/>
        <w:spacing w:after="0" w:line="278" w:lineRule="auto"/>
        <w:rPr>
          <w:sz w:val="20"/>
          <w:szCs w:val="20"/>
          <w:color w:val="auto"/>
        </w:rPr>
      </w:pPr>
      <w:r>
        <w:rPr>
          <w:rFonts w:ascii="Times New Roman" w:cs="Times New Roman" w:eastAsia="Times New Roman" w:hAnsi="Times New Roman"/>
          <w:sz w:val="18"/>
          <w:szCs w:val="18"/>
          <w:color w:val="auto"/>
        </w:rPr>
        <w:t>WHEREAS, in connection with the Transactions, Pubco and the Stockholders wish to set forth certain understandings between such parties, including with respect to certain rights and obligations associated with the Registrable Securities (as defined below);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capitalized term used but not otherwise defined herein shall have the meanings ascribed to such terms in the Merger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right="120" w:firstLine="436"/>
        <w:spacing w:after="0" w:line="308" w:lineRule="auto"/>
        <w:rPr>
          <w:sz w:val="20"/>
          <w:szCs w:val="20"/>
          <w:color w:val="auto"/>
        </w:rPr>
      </w:pPr>
      <w:r>
        <w:rPr>
          <w:rFonts w:ascii="Times New Roman" w:cs="Times New Roman" w:eastAsia="Times New Roman" w:hAnsi="Times New Roman"/>
          <w:sz w:val="17"/>
          <w:szCs w:val="17"/>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b w:val="1"/>
          <w:bCs w:val="1"/>
          <w:color w:val="auto"/>
        </w:rPr>
        <w:t xml:space="preserve">Section 1.1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terms defined in this Article I shall, for all purposes of this Agreement, have the respective meanings set forth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given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 Lock-up Period</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federal or New York State holiday or other day on which commercial banks in New York City are authorized or required by law to be closed for business; provided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shall mean the Class A common stock, par value $0.0001 per share, of Pubco.</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given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1"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means a holder or holders of Registrable Securities that have a value of at least $50,000,000 based on the average closing price of the Class A common stock in the preceding thirty (30) trading days prior to the date of such determination.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221" w:name="page222"/>
    <w:bookmarkEnd w:id="2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 shall have the meaning given in the Recitals, and shall include the Class A Common Stock issuable in exchange therefor pursuant to the Domestication and Merger.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ICE</w:t>
      </w:r>
      <w:r>
        <w:rPr>
          <w:rFonts w:ascii="Times New Roman" w:cs="Times New Roman" w:eastAsia="Times New Roman" w:hAnsi="Times New Roman"/>
          <w:sz w:val="17"/>
          <w:szCs w:val="17"/>
          <w:color w:val="auto"/>
        </w:rPr>
        <w:t>” means Intercontinental Exchange Holdings, Inc. and its Affiliates (as defined in the Stockholders Agreement) other than Pubco and Bakkt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Periods</w:t>
      </w:r>
      <w:r>
        <w:rPr>
          <w:rFonts w:ascii="Times New Roman" w:cs="Times New Roman" w:eastAsia="Times New Roman" w:hAnsi="Times New Roman"/>
          <w:sz w:val="18"/>
          <w:szCs w:val="18"/>
          <w:color w:val="auto"/>
        </w:rPr>
        <w:t>” shall mean the Sponsor Lock-up Period, the Private Placement Lock-up Period and the Bakkt Equity Holder Lock-up Period, as the context requires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the meaning given in the Recitals.</w:t>
      </w:r>
    </w:p>
    <w:p>
      <w:pPr>
        <w:spacing w:after="0" w:line="221"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shall have the meaning given to it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means the warrants that were issued to the Sponsor concurrently with the IPO, each of which will become exercisable for one share of Class A Common Stock after the closing of the Transaction, in accordance with its terms.</w:t>
      </w:r>
    </w:p>
    <w:p>
      <w:pPr>
        <w:spacing w:after="0" w:line="162"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shall have the meaning given in the Preamble.</w:t>
      </w:r>
    </w:p>
    <w:p>
      <w:pPr>
        <w:spacing w:after="0" w:line="221"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Qualifying Registration Event</w:t>
      </w:r>
      <w:r>
        <w:rPr>
          <w:rFonts w:ascii="Times New Roman" w:cs="Times New Roman" w:eastAsia="Times New Roman" w:hAnsi="Times New Roman"/>
          <w:sz w:val="17"/>
          <w:szCs w:val="17"/>
          <w:color w:val="auto"/>
        </w:rPr>
        <w:t>”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 under the Securities Act with aggregate gross proceeds of at least fifty million U.S. dollars ($50,000,000.00) (net of any underwriting discount or other underwriting fees, commissions or expenses).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Lock-up Period</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jc w:val="both"/>
        <w:ind w:right="34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(a) any of the Founders Shares (including any Founder Shares held by the members of the Sponsor upon Sponsor’s distribution of such Founder Shares to its members), (b) any Pubco Exchanged Shares issuable to Bakkt Equity Holders pursuant to the Surviving Company LLC Agreement and Exchange Agreement, (c) the Private Placement Warrants and any of the Class A</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480" w:top="268" w:right="619" w:bottom="1440" w:gutter="0" w:footer="0" w:header="0"/>
        </w:sectPr>
      </w:pPr>
    </w:p>
    <w:bookmarkStart w:id="222" w:name="page223"/>
    <w:bookmarkEnd w:id="22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Common Stock issuable upon the exercise thereof, and (d) any other equity security of Pubco issued or issuable to any Stockholder with respect to any such share of Class A Common Stock referred to in clauses (a) – (c) by way of a stock dividend or stock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(iii) such shares of Class A Common Stock are eligible for resale without volume or manner-of-sale restrictions and without current public information pursuant to Rule 144; or (iv) such securities have been sold to, or through, a broker, dealer or underwriter in a public distribution or other public securities transaction.</w:t>
      </w:r>
    </w:p>
    <w:p>
      <w:pPr>
        <w:spacing w:after="0" w:line="189" w:lineRule="exact"/>
        <w:rPr>
          <w:sz w:val="20"/>
          <w:szCs w:val="20"/>
          <w:color w:val="auto"/>
        </w:rPr>
      </w:pPr>
    </w:p>
    <w:p>
      <w:pPr>
        <w:jc w:val="center"/>
        <w:ind w:right="40"/>
        <w:spacing w:after="0" w:line="30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114" w:lineRule="exact"/>
        <w:rPr>
          <w:sz w:val="20"/>
          <w:szCs w:val="20"/>
          <w:color w:val="auto"/>
        </w:rPr>
      </w:pPr>
    </w:p>
    <w:p>
      <w:pPr>
        <w:ind w:right="600" w:firstLine="990"/>
        <w:spacing w:after="0" w:line="278" w:lineRule="auto"/>
        <w:tabs>
          <w:tab w:leader="none" w:pos="12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Class A Common Stock is then listed;</w:t>
      </w:r>
    </w:p>
    <w:p>
      <w:pPr>
        <w:spacing w:after="0" w:line="55" w:lineRule="exact"/>
        <w:rPr>
          <w:rFonts w:ascii="Times New Roman" w:cs="Times New Roman" w:eastAsia="Times New Roman" w:hAnsi="Times New Roman"/>
          <w:sz w:val="18"/>
          <w:szCs w:val="18"/>
          <w:color w:val="auto"/>
        </w:rPr>
      </w:pPr>
    </w:p>
    <w:p>
      <w:pPr>
        <w:ind w:right="460" w:firstLine="990"/>
        <w:spacing w:after="0" w:line="278" w:lineRule="auto"/>
        <w:tabs>
          <w:tab w:leader="none" w:pos="123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Pubco;</w:t>
      </w:r>
    </w:p>
    <w:p>
      <w:pPr>
        <w:spacing w:after="0" w:line="113"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Pubco incurred specifically in connection with such Registration (including the expenses of any special audit and “comfort letters” required by or incident to such performance); and</w:t>
      </w:r>
    </w:p>
    <w:p>
      <w:pPr>
        <w:spacing w:after="0" w:line="55"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of the Stockholders in connection with any Registration.</w:t>
      </w:r>
    </w:p>
    <w:p>
      <w:pPr>
        <w:spacing w:after="0" w:line="221"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shall mean, with respect to any person, such person’s affiliates and its and their respective directors, officers, employees, managers, members, stockholders, partners, incorporators, trustees, counsel, financial advisors, accountants, auditors and other agents or authorized representatives.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23" w:name="page224"/>
    <w:bookmarkEnd w:id="2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Sponsor Lock-up Period</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means a holder of Registrable Securities or its Permitted Transferee.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have the meaning given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shall mean an offering in which securities of Pubco are sold to an Underwriter in a firm commitment underwriting for distribution to the public.</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Pubco shall, as soon as practicable after the Closing Date, but in any event within 30 days after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Date, file a Registration Statement under the Securities Act to permit the public resale of all the Registrable Securities held by the Stockholders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time to time as permitted by Rule 415 under the Securities Act (or any successor or similar provision adopted by the Commission then in effect) 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terms and conditions specified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shall use its reasonable best efforts to cause such Registration Statement to be declared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soon as practicable after the filing thereof, but in any event no later than the earlier of (a) 60 days (or 90 days if the Commission notifies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Pubco that it will “review” the Registration Statement) after the Closing Date and (b) the tenth Business Day after the date Pubco is notified (orally or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whichever is earlier) by the Commission that such Registration Statement will not be “reviewed” or will not be subject to further review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The Registration Statement filed with the Commission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on Form S-1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form of registration statement as is then available to effect a registration for resale of such Registrable Securities, covering such Registrable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shall contain a Prospectus in such form as to permit any Stockholder to sell such Registrable Securities pursuant to Rule 415 under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any successor or similar provision adopted by the Commission then in effect) at any time beginning on the effective date for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If the initial Registration Statement (the “</w:t>
      </w:r>
      <w:r>
        <w:rPr>
          <w:rFonts w:ascii="Times New Roman" w:cs="Times New Roman" w:eastAsia="Times New Roman" w:hAnsi="Times New Roman"/>
          <w:sz w:val="18"/>
          <w:szCs w:val="18"/>
          <w:u w:val="single" w:color="auto"/>
          <w:color w:val="auto"/>
        </w:rPr>
        <w:t>Initial Shelf</w:t>
      </w:r>
      <w:r>
        <w:rPr>
          <w:rFonts w:ascii="Times New Roman" w:cs="Times New Roman" w:eastAsia="Times New Roman" w:hAnsi="Times New Roman"/>
          <w:sz w:val="18"/>
          <w:szCs w:val="18"/>
          <w:color w:val="auto"/>
        </w:rPr>
        <w:t xml:space="preserve">”) filed by Pubco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is on Form S-1, upon Pubco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becoming eligible to register the Registrable Securities for resale by the Stockholders on Form S-3, Pubco shall use its reasonable best efforts to amend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Shelf to a Registration Statement on Form S-3 or file a Registration Statement on Form S-3 in substitution of the Initial Shelf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Replacement S-3 Shelf</w:t>
      </w:r>
      <w:r>
        <w:rPr>
          <w:rFonts w:ascii="Times New Roman" w:cs="Times New Roman" w:eastAsia="Times New Roman" w:hAnsi="Times New Roman"/>
          <w:sz w:val="17"/>
          <w:szCs w:val="17"/>
          <w:color w:val="auto"/>
        </w:rPr>
        <w:t>”) and cause the Replacement S-3 Shelf to be declared effective as soon as practicable thereafter. A Registration Statement filed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provide for the resale pursuant to any method or combination of methods legally available to, and requested by,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Stockholders. Pubco shall use its reasonable best efforts to cause a Registration Statement filed pursuant to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to remain effective, and to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and amended to the extent necessary to ensure that such Registration Statement is available or, if not available, that another registration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is available, for the resale of all the Registrable Securities held by the Stockholders until all such Registrable Securities have ceased to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Registrable Securities. If at any time a Registration Statement filed pursuant to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is not effective or is not otherwise available for the resale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the Registrable Securities held by the Stockholders, Stockholder(s) may demand registration under the Securities Act of all or part of their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Registrable Securities at any time and from time to time, and Pubco shall use its reasonable best efforts to file with the Commission following receipt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demand one or more Registration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224" w:name="page225"/>
    <w:bookmarkEnd w:id="224"/>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but in any event within three Business Days of such date, Pubco shall notify the Stockholders of the effectiveness of such Registration Statement. When effective, a Registration Statement filed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990"/>
        <w:spacing w:after="0" w:line="250" w:lineRule="auto"/>
        <w:tabs>
          <w:tab w:leader="none" w:pos="122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(5) Business Days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enter into an underwriting agreement with the underwriters, which underwriting agreement shall contain such representations, covenants, indemnities (subject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other rights and obligations as are customary in underwritten offerings of equity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w:t>
      </w:r>
    </w:p>
    <w:p>
      <w:pPr>
        <w:spacing w:after="0" w:line="82" w:lineRule="exact"/>
        <w:rPr>
          <w:rFonts w:ascii="Times New Roman" w:cs="Times New Roman" w:eastAsia="Times New Roman" w:hAnsi="Times New Roman"/>
          <w:sz w:val="18"/>
          <w:szCs w:val="18"/>
          <w:color w:val="auto"/>
        </w:rPr>
      </w:pPr>
    </w:p>
    <w:p>
      <w:pPr>
        <w:ind w:right="20" w:firstLine="990"/>
        <w:spacing w:after="0" w:line="252" w:lineRule="auto"/>
        <w:tabs>
          <w:tab w:leader="none" w:pos="123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then Pubco shall include in such Underwritten Offering, as follows:</w:t>
      </w:r>
    </w:p>
    <w:p>
      <w:pPr>
        <w:spacing w:after="0" w:line="78" w:lineRule="exact"/>
        <w:rPr>
          <w:rFonts w:ascii="Times New Roman" w:cs="Times New Roman" w:eastAsia="Times New Roman" w:hAnsi="Times New Roman"/>
          <w:sz w:val="18"/>
          <w:szCs w:val="18"/>
          <w:color w:val="auto"/>
        </w:rPr>
      </w:pPr>
    </w:p>
    <w:p>
      <w:pPr>
        <w:ind w:left="440" w:right="180" w:firstLine="947"/>
        <w:spacing w:after="0" w:line="258" w:lineRule="auto"/>
        <w:tabs>
          <w:tab w:leader="none" w:pos="159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the Registrable Securities of the Demanding Holders pro rata based on the respective number of Registrable Securities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Demanding Holder has requested be included in such Underwritten Offering and the aggregate number of Registrable Securities that the Demanding Holders have requested be included in such Underwritten Offering that can be sold without exceeding the Maximum Number of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225" w:name="page226"/>
    <w:bookmarkEnd w:id="225"/>
    <w:p>
      <w:pPr>
        <w:ind w:left="433" w:firstLine="947"/>
        <w:spacing w:after="0" w:line="258" w:lineRule="auto"/>
        <w:tabs>
          <w:tab w:leader="none" w:pos="1638"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second</w:t>
      </w:r>
      <w:r>
        <w:rPr>
          <w:rFonts w:ascii="Times New Roman" w:cs="Times New Roman" w:eastAsia="Times New Roman" w:hAnsi="Times New Roman"/>
          <w:sz w:val="18"/>
          <w:szCs w:val="18"/>
          <w:color w:val="auto"/>
        </w:rPr>
        <w:t>, to the extent that the Maximum Number of Securities has not been reached under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of Stockholders (pro rata, based on the respective number of Registrable Securities that each such Stockholder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without exceeding the Maximum Number of Securities;</w:t>
      </w:r>
    </w:p>
    <w:p>
      <w:pPr>
        <w:spacing w:after="0" w:line="72" w:lineRule="exact"/>
        <w:rPr>
          <w:rFonts w:ascii="Times New Roman" w:cs="Times New Roman" w:eastAsia="Times New Roman" w:hAnsi="Times New Roman"/>
          <w:sz w:val="18"/>
          <w:szCs w:val="18"/>
          <w:color w:val="auto"/>
        </w:rPr>
      </w:pPr>
    </w:p>
    <w:p>
      <w:pPr>
        <w:ind w:left="433" w:right="20" w:firstLine="947"/>
        <w:spacing w:after="0" w:line="264" w:lineRule="auto"/>
        <w:tabs>
          <w:tab w:leader="none" w:pos="168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extent that the Maximum Number of Securities has not been reached under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A Common Stock held by persons or entities that Pubco is obligated to register in a Registration pursuant to separate written contractual arrangements with such persons, which collectively can be sold without exceeding the Maximum Number of Securities; and</w:t>
      </w:r>
    </w:p>
    <w:p>
      <w:pPr>
        <w:spacing w:after="0" w:line="65" w:lineRule="exact"/>
        <w:rPr>
          <w:rFonts w:ascii="Times New Roman" w:cs="Times New Roman" w:eastAsia="Times New Roman" w:hAnsi="Times New Roman"/>
          <w:sz w:val="18"/>
          <w:szCs w:val="18"/>
          <w:color w:val="auto"/>
        </w:rPr>
      </w:pPr>
    </w:p>
    <w:p>
      <w:pPr>
        <w:ind w:left="433" w:right="160" w:firstLine="947"/>
        <w:spacing w:after="0" w:line="264" w:lineRule="auto"/>
        <w:tabs>
          <w:tab w:leader="none" w:pos="167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extent that the Maximum Number of Securities has not been reached under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shares of Class A Common Stock or other equity securities that Pubco desires to sell, which can be sold without exceeding the Maximum Number of Securities.</w:t>
      </w:r>
    </w:p>
    <w:p>
      <w:pPr>
        <w:spacing w:after="0" w:line="67" w:lineRule="exact"/>
        <w:rPr>
          <w:rFonts w:ascii="Times New Roman" w:cs="Times New Roman" w:eastAsia="Times New Roman" w:hAnsi="Times New Roman"/>
          <w:sz w:val="18"/>
          <w:szCs w:val="18"/>
          <w:color w:val="auto"/>
        </w:rPr>
      </w:pPr>
    </w:p>
    <w:p>
      <w:pPr>
        <w:ind w:left="-7" w:right="100" w:firstLine="990"/>
        <w:spacing w:after="0" w:line="266" w:lineRule="auto"/>
        <w:tabs>
          <w:tab w:leader="none" w:pos="1217"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Demanding Holder shall have the right to withdraw all or any portion of its Registrable Securities included in an Underwritten Offering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unless (x) such Demanding Holder reimburses the Company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w:t>
      </w:r>
    </w:p>
    <w:p>
      <w:pPr>
        <w:ind w:left="253" w:hanging="253"/>
        <w:spacing w:after="0"/>
        <w:tabs>
          <w:tab w:leader="none" w:pos="25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withdrawal is the result of a Suspension Notice as contemplated by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7" w:right="40" w:firstLine="990"/>
        <w:spacing w:after="0" w:line="255" w:lineRule="auto"/>
        <w:tabs>
          <w:tab w:leader="none" w:pos="122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no circumstances shall Pubco be obligated to effect more three (3) Registrations pursuant to a request by a Demanding Holder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(each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w:t>
      </w:r>
    </w:p>
    <w:p>
      <w:pPr>
        <w:spacing w:after="0" w:line="180"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7" w:right="60" w:firstLine="990"/>
        <w:spacing w:after="0" w:line="254" w:lineRule="auto"/>
        <w:tabs>
          <w:tab w:leader="none" w:pos="1217"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on a form that would permit registration of Registrable Securities, other than a Registration Statement (i) filed in connection with any employee stock option or other benefit plan, (ii) for an exchange offer or offering of securities solely to Pubco’s existing stockholders, (iii) for an offering of debt that is convertible into equity securities of Pubco, (iv) for a dividend reinvestment plan or (v) on Form S-4, then Pubco shall give</w:t>
      </w:r>
    </w:p>
    <w:p>
      <w:pPr>
        <w:spacing w:after="0" w:line="11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93"/>
          </w:cols>
          <w:pgMar w:left="487" w:top="267" w:right="519" w:bottom="1440" w:gutter="0" w:footer="0" w:header="0"/>
        </w:sectPr>
      </w:pPr>
    </w:p>
    <w:bookmarkStart w:id="226" w:name="page227"/>
    <w:bookmarkEnd w:id="226"/>
    <w:p>
      <w:pPr>
        <w:ind w:right="2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written notice of such proposed filing to all of the Stockholders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(in the case of an “overnight” or “bought” offering, such requests must be made by the Stockholders within three Business Days after the delivery of any such notice by Pubco) (such Registration a “</w:t>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shall enter into an underwriting agreement in customary form with the Underwriter(s) selected for such Underwritten Offering by Pubco;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298" w:lineRule="exact"/>
        <w:rPr>
          <w:sz w:val="20"/>
          <w:szCs w:val="20"/>
          <w:color w:val="auto"/>
        </w:rPr>
      </w:pPr>
    </w:p>
    <w:p>
      <w:pPr>
        <w:ind w:firstLine="990"/>
        <w:spacing w:after="0" w:line="268" w:lineRule="auto"/>
        <w:tabs>
          <w:tab w:leader="none" w:pos="1235" w:val="left"/>
        </w:tabs>
        <w:numPr>
          <w:ilvl w:val="2"/>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w:t>
      </w:r>
    </w:p>
    <w:p>
      <w:pPr>
        <w:spacing w:after="0" w:line="1" w:lineRule="exact"/>
        <w:rPr>
          <w:rFonts w:ascii="Times New Roman" w:cs="Times New Roman" w:eastAsia="Times New Roman" w:hAnsi="Times New Roman"/>
          <w:sz w:val="17"/>
          <w:szCs w:val="17"/>
          <w:color w:val="auto"/>
        </w:rPr>
      </w:pPr>
    </w:p>
    <w:p>
      <w:pPr>
        <w:ind w:right="40" w:firstLine="7"/>
        <w:spacing w:after="0" w:line="252" w:lineRule="auto"/>
        <w:tabs>
          <w:tab w:leader="none" w:pos="26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Registrable Securities as to which registration has been requested pursuant to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and (iii) the shares of Class A Common Stock, if any, as to which Registration has been requested pursuant to separate written contractual piggy-back registration rights of other stockholders of Pubco, exceeds the Maximum Number of Securities, then:</w:t>
      </w:r>
    </w:p>
    <w:p>
      <w:pPr>
        <w:spacing w:after="0" w:line="76" w:lineRule="exact"/>
        <w:rPr>
          <w:rFonts w:ascii="Times New Roman" w:cs="Times New Roman" w:eastAsia="Times New Roman" w:hAnsi="Times New Roman"/>
          <w:sz w:val="18"/>
          <w:szCs w:val="18"/>
          <w:color w:val="auto"/>
        </w:rPr>
      </w:pPr>
    </w:p>
    <w:p>
      <w:pPr>
        <w:jc w:val="both"/>
        <w:ind w:left="440" w:right="320" w:firstLine="947"/>
        <w:spacing w:after="0" w:line="275" w:lineRule="auto"/>
        <w:tabs>
          <w:tab w:leader="none" w:pos="1596" w:val="left"/>
        </w:tabs>
        <w:numPr>
          <w:ilvl w:val="3"/>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Registration is undertaken for Pubco’s account, Pubco shall include in any such Registration (A)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shares of Class A Common Stock or other equity securities that Pubco desires to sell, which can be sold without exceeding the Maximum Number of Securities;</w:t>
      </w:r>
    </w:p>
    <w:p>
      <w:pPr>
        <w:ind w:left="440" w:right="100" w:firstLine="4"/>
        <w:spacing w:after="0" w:line="285" w:lineRule="auto"/>
        <w:tabs>
          <w:tab w:leader="none" w:pos="722"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to the extent that the Maximum Number of Securities has not been reached under the foregoing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the Registrable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Stockholders exercising their rights to register their Registrable Securities pursuant to </w:t>
      </w:r>
      <w:r>
        <w:rPr>
          <w:rFonts w:ascii="Times New Roman" w:cs="Times New Roman" w:eastAsia="Times New Roman" w:hAnsi="Times New Roman"/>
          <w:sz w:val="17"/>
          <w:szCs w:val="17"/>
          <w:u w:val="single" w:color="auto"/>
          <w:color w:val="auto"/>
        </w:rPr>
        <w:t>Sections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hereof which can be sold without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227" w:name="page228"/>
    <w:bookmarkEnd w:id="227"/>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exceeding the Maximum Number of Securities, allocated pro rata based on the respective number of Registrable Securities that each such Stockholder has requested be included in such Registration; and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shares of Class A Common Stock, if any, as to which Registration has been requested pursuant to written contractual piggy-back registration rights of other stockholders of Pubco, which can be sold without exceeding the Maximum Number of Securities;</w:t>
      </w:r>
    </w:p>
    <w:p>
      <w:pPr>
        <w:spacing w:after="0" w:line="77" w:lineRule="exact"/>
        <w:rPr>
          <w:sz w:val="20"/>
          <w:szCs w:val="20"/>
          <w:color w:val="auto"/>
        </w:rPr>
      </w:pPr>
    </w:p>
    <w:p>
      <w:pPr>
        <w:ind w:left="440" w:firstLine="947"/>
        <w:spacing w:after="0" w:line="266" w:lineRule="auto"/>
        <w:tabs>
          <w:tab w:leader="none" w:pos="1645" w:val="left"/>
        </w:tabs>
        <w:numPr>
          <w:ilvl w:val="2"/>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Registration is pursuant to a request by persons or entities other than the Stockholders, then Pubco shall include in any such Registration (A)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shares of Class A Common Stock or other equity securities, if any, of such requesting persons or entities, other than the Stockholders of Registrable Securities, which can be sold without exceeding the Maximum Number of Securities; (B)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the Registrable Securities of Stockholders exercising their rights to register their Registrable Securities pursuant to </w:t>
      </w:r>
      <w:r>
        <w:rPr>
          <w:rFonts w:ascii="Times New Roman" w:cs="Times New Roman" w:eastAsia="Times New Roman" w:hAnsi="Times New Roman"/>
          <w:sz w:val="17"/>
          <w:szCs w:val="17"/>
          <w:u w:val="single" w:color="auto"/>
          <w:color w:val="auto"/>
        </w:rPr>
        <w:t>Sections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hereof which can be sold without exceeding the Maximum Number of Securities, allocated pro rata based on the respective number of Registrable Securities that each such Stockholder has requested be included in such Registration; (C)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clauses</w:t>
      </w:r>
    </w:p>
    <w:p>
      <w:pPr>
        <w:ind w:left="440" w:right="140" w:firstLine="4"/>
        <w:spacing w:after="0" w:line="250" w:lineRule="auto"/>
        <w:tabs>
          <w:tab w:leader="none" w:pos="732" w:val="left"/>
        </w:tabs>
        <w:numPr>
          <w:ilvl w:val="0"/>
          <w:numId w:val="2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shares of Class A Common Stock or other equity securities that Pubco desires to sell, which can be sold without exceeding the Maximum Number of Securities; and (D)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w:t>
      </w:r>
    </w:p>
    <w:p>
      <w:pPr>
        <w:spacing w:after="0" w:line="79" w:lineRule="exact"/>
        <w:rPr>
          <w:rFonts w:ascii="Times New Roman" w:cs="Times New Roman" w:eastAsia="Times New Roman" w:hAnsi="Times New Roman"/>
          <w:sz w:val="18"/>
          <w:szCs w:val="18"/>
          <w:u w:val="single" w:color="auto"/>
          <w:color w:val="auto"/>
        </w:rPr>
      </w:pPr>
    </w:p>
    <w:p>
      <w:pPr>
        <w:ind w:firstLine="990"/>
        <w:spacing w:after="0" w:line="253" w:lineRule="auto"/>
        <w:tabs>
          <w:tab w:leader="none" w:pos="121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Stockholder that indicated an intention to sell Registrable Securities under this Section 2.3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220" w:firstLine="990"/>
        <w:spacing w:after="0" w:line="278" w:lineRule="auto"/>
        <w:tabs>
          <w:tab w:leader="none" w:pos="123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clarity, any Registration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shall not be counted as a Registration effected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request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provided, however, that Pubco shall not be obligated to effect such request through an Underwritten Offering. Within five (5)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ten (10) days after the receipt by the Stockholder of the notice from Pubco. As soon as practicable thereafter, but not more than twenty (20) days after Pubco’s initial receipt of such written request for a Registration on Form S-3, Pubco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228" w:name="page229"/>
    <w:bookmarkEnd w:id="22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provided, however, that Pubco shall not be obligated to effect any such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$15,000,000.</w:t>
      </w:r>
    </w:p>
    <w:p>
      <w:pPr>
        <w:spacing w:after="0" w:line="180" w:lineRule="exact"/>
        <w:rPr>
          <w:sz w:val="20"/>
          <w:szCs w:val="20"/>
          <w:color w:val="auto"/>
        </w:rPr>
      </w:pPr>
    </w:p>
    <w:p>
      <w:pPr>
        <w:ind w:right="80" w:firstLine="98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2.5 </w:t>
      </w:r>
      <w:r>
        <w:rPr>
          <w:rFonts w:ascii="Times New Roman" w:cs="Times New Roman" w:eastAsia="Times New Roman" w:hAnsi="Times New Roman"/>
          <w:sz w:val="17"/>
          <w:szCs w:val="17"/>
          <w:u w:val="single" w:color="auto"/>
          <w:color w:val="auto"/>
        </w:rPr>
        <w:t>Market Stand-off</w:t>
      </w:r>
      <w:r>
        <w:rPr>
          <w:rFonts w:ascii="Times New Roman" w:cs="Times New Roman" w:eastAsia="Times New Roman" w:hAnsi="Times New Roman"/>
          <w:sz w:val="17"/>
          <w:szCs w:val="17"/>
          <w:color w:val="auto"/>
        </w:rPr>
        <w:t>. In connection with any Underwritten Offering of Class A Common Stock of Pubco, if requested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Underwriters managing the offering, each Stockholder that is an executive officer or director of Pubco or the beneficial owner of more than one percent (1%)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w:t>
      </w:r>
    </w:p>
    <w:p>
      <w:pPr>
        <w:spacing w:after="0" w:line="2"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18"/>
          <w:szCs w:val="18"/>
          <w:color w:val="auto"/>
        </w:rPr>
        <w:t>ninety (90)-day period (or such shorter time agreed to by the managing Underwriters) beginning on the date of pricing of such offering, except as expressly permitted by such lock-up agreement or in the event the managing Underwriters otherwise agree by written consent.</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990"/>
        <w:spacing w:after="0" w:line="251" w:lineRule="auto"/>
        <w:tabs>
          <w:tab w:leader="none" w:pos="122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xml:space="preserve">”), with a total offering price reasonably expected to exceed, in the aggregate, either (x) $20,000,000 or (y) all remaining Registrable Securities held by the Demanding Holder, then such Demanding Holder only needs to notify Pubco of the Block Trade at least five (5) business days prior to the day such offering is to commence and Pubco shall as expeditiously as possible use its commercially reasonable efforts to facilitate such Block Trade;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Demanding Holders representing a majority of the Registrable Securities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w:t>
      </w:r>
    </w:p>
    <w:p>
      <w:pPr>
        <w:spacing w:after="0" w:line="84" w:lineRule="exact"/>
        <w:rPr>
          <w:rFonts w:ascii="Times New Roman" w:cs="Times New Roman" w:eastAsia="Times New Roman" w:hAnsi="Times New Roman"/>
          <w:sz w:val="18"/>
          <w:szCs w:val="18"/>
          <w:color w:val="auto"/>
        </w:rPr>
      </w:pPr>
    </w:p>
    <w:p>
      <w:pPr>
        <w:ind w:firstLine="990"/>
        <w:spacing w:after="0" w:line="263" w:lineRule="auto"/>
        <w:tabs>
          <w:tab w:leader="none" w:pos="12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w:t>
      </w:r>
    </w:p>
    <w:p>
      <w:pPr>
        <w:spacing w:after="0" w:line="68" w:lineRule="exact"/>
        <w:rPr>
          <w:rFonts w:ascii="Times New Roman" w:cs="Times New Roman" w:eastAsia="Times New Roman" w:hAnsi="Times New Roman"/>
          <w:sz w:val="18"/>
          <w:szCs w:val="18"/>
          <w:color w:val="auto"/>
        </w:rPr>
      </w:pPr>
    </w:p>
    <w:p>
      <w:pPr>
        <w:ind w:right="340" w:firstLine="990"/>
        <w:spacing w:after="0" w:line="278" w:lineRule="auto"/>
        <w:tabs>
          <w:tab w:leader="none" w:pos="122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apply to a Block Trade initiated by a Demanding Holder pursuant to this Agreement.</w:t>
      </w:r>
    </w:p>
    <w:p>
      <w:pPr>
        <w:spacing w:after="0" w:line="55" w:lineRule="exact"/>
        <w:rPr>
          <w:rFonts w:ascii="Times New Roman" w:cs="Times New Roman" w:eastAsia="Times New Roman" w:hAnsi="Times New Roman"/>
          <w:sz w:val="18"/>
          <w:szCs w:val="18"/>
          <w:color w:val="auto"/>
        </w:rPr>
      </w:pPr>
    </w:p>
    <w:p>
      <w:pPr>
        <w:ind w:right="240" w:firstLine="990"/>
        <w:spacing w:after="0" w:line="278" w:lineRule="auto"/>
        <w:tabs>
          <w:tab w:leader="none" w:pos="12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Demanding Holder in a Block Trade shall have the right to select the Underwriters for such Block Trade (which shall consist of one or more reputable nationally recognized investment banks).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198" w:lineRule="exact"/>
        <w:rPr>
          <w:sz w:val="20"/>
          <w:szCs w:val="20"/>
          <w:color w:val="auto"/>
        </w:rPr>
      </w:pPr>
    </w:p>
    <w:p>
      <w:pPr>
        <w:ind w:right="8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Pubco shall use its reasonable best efforts to effect the Registration of Registrable Securities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intended plan of distribution thereof, and pursuant thereto Pubco shall, as expeditiously as practicable:</w:t>
      </w:r>
    </w:p>
    <w:p>
      <w:pPr>
        <w:spacing w:after="0" w:line="53" w:lineRule="exact"/>
        <w:rPr>
          <w:sz w:val="20"/>
          <w:szCs w:val="20"/>
          <w:color w:val="auto"/>
        </w:rPr>
      </w:pPr>
    </w:p>
    <w:p>
      <w:pPr>
        <w:ind w:right="180" w:firstLine="990"/>
        <w:spacing w:after="0" w:line="263" w:lineRule="auto"/>
        <w:tabs>
          <w:tab w:leader="none" w:pos="1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w:t>
      </w:r>
    </w:p>
    <w:p>
      <w:pPr>
        <w:spacing w:after="0" w:line="68"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post-effective amendments to the Registration Statement, and such supplements to the Prospectus, as may be required by the rules, regulations or instructions applicable to the registration form used by Pubco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w:t>
      </w:r>
    </w:p>
    <w:p>
      <w:pPr>
        <w:spacing w:after="0" w:line="72" w:lineRule="exact"/>
        <w:rPr>
          <w:rFonts w:ascii="Times New Roman" w:cs="Times New Roman" w:eastAsia="Times New Roman" w:hAnsi="Times New Roman"/>
          <w:sz w:val="18"/>
          <w:szCs w:val="18"/>
          <w:color w:val="auto"/>
        </w:rPr>
      </w:pPr>
    </w:p>
    <w:p>
      <w:pPr>
        <w:ind w:right="20" w:firstLine="990"/>
        <w:spacing w:after="0" w:line="253" w:lineRule="auto"/>
        <w:tabs>
          <w:tab w:leader="none" w:pos="1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w:t>
      </w:r>
    </w:p>
    <w:p>
      <w:pPr>
        <w:spacing w:after="0" w:line="77" w:lineRule="exact"/>
        <w:rPr>
          <w:rFonts w:ascii="Times New Roman" w:cs="Times New Roman" w:eastAsia="Times New Roman" w:hAnsi="Times New Roman"/>
          <w:sz w:val="18"/>
          <w:szCs w:val="18"/>
          <w:color w:val="auto"/>
        </w:rPr>
      </w:pPr>
    </w:p>
    <w:p>
      <w:pPr>
        <w:ind w:firstLine="990"/>
        <w:spacing w:after="0" w:line="251" w:lineRule="auto"/>
        <w:tabs>
          <w:tab w:leader="none" w:pos="12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84" w:lineRule="exact"/>
        <w:rPr>
          <w:rFonts w:ascii="Times New Roman" w:cs="Times New Roman" w:eastAsia="Times New Roman" w:hAnsi="Times New Roman"/>
          <w:sz w:val="18"/>
          <w:szCs w:val="18"/>
          <w:color w:val="auto"/>
        </w:rPr>
      </w:pPr>
    </w:p>
    <w:p>
      <w:pPr>
        <w:ind w:right="220" w:firstLine="990"/>
        <w:spacing w:after="0" w:line="278" w:lineRule="auto"/>
        <w:tabs>
          <w:tab w:leader="none" w:pos="1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to be listed on each securities exchange or automated quotation system on which similar securities issued by Pubco are then listed;</w:t>
      </w:r>
    </w:p>
    <w:p>
      <w:pPr>
        <w:spacing w:after="0" w:line="55" w:lineRule="exact"/>
        <w:rPr>
          <w:rFonts w:ascii="Times New Roman" w:cs="Times New Roman" w:eastAsia="Times New Roman" w:hAnsi="Times New Roman"/>
          <w:sz w:val="18"/>
          <w:szCs w:val="18"/>
          <w:color w:val="auto"/>
        </w:rPr>
      </w:pPr>
    </w:p>
    <w:p>
      <w:pPr>
        <w:ind w:left="5380" w:right="120" w:hanging="4390"/>
        <w:spacing w:after="0" w:line="448" w:lineRule="auto"/>
        <w:tabs>
          <w:tab w:leader="none" w:pos="121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such Registrable Securities no later than the effective date of such Registration Statement; 11</w:t>
      </w:r>
    </w:p>
    <w:p>
      <w:pPr>
        <w:sectPr>
          <w:pgSz w:w="11900" w:h="16838" w:orient="portrait"/>
          <w:cols w:equalWidth="0" w:num="1">
            <w:col w:w="10900"/>
          </w:cols>
          <w:pgMar w:left="480" w:top="264" w:right="519" w:bottom="1440" w:gutter="0" w:footer="0" w:header="0"/>
        </w:sectPr>
      </w:pPr>
    </w:p>
    <w:bookmarkStart w:id="230" w:name="page231"/>
    <w:bookmarkEnd w:id="230"/>
    <w:p>
      <w:pPr>
        <w:ind w:left="-20" w:firstLine="990"/>
        <w:spacing w:after="0" w:line="25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72" w:lineRule="exact"/>
        <w:rPr>
          <w:rFonts w:ascii="Times New Roman" w:cs="Times New Roman" w:eastAsia="Times New Roman" w:hAnsi="Times New Roman"/>
          <w:sz w:val="18"/>
          <w:szCs w:val="18"/>
          <w:color w:val="auto"/>
        </w:rPr>
      </w:pPr>
    </w:p>
    <w:p>
      <w:pPr>
        <w:ind w:left="-20" w:right="200" w:firstLine="990"/>
        <w:spacing w:after="0" w:line="263"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68" w:lineRule="exact"/>
        <w:rPr>
          <w:rFonts w:ascii="Times New Roman" w:cs="Times New Roman" w:eastAsia="Times New Roman" w:hAnsi="Times New Roman"/>
          <w:sz w:val="18"/>
          <w:szCs w:val="18"/>
          <w:color w:val="auto"/>
        </w:rPr>
      </w:pPr>
    </w:p>
    <w:p>
      <w:pPr>
        <w:ind w:left="-20" w:right="280" w:firstLine="990"/>
        <w:spacing w:after="0" w:line="263" w:lineRule="auto"/>
        <w:tabs>
          <w:tab w:leader="none" w:pos="11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68" w:lineRule="exact"/>
        <w:rPr>
          <w:rFonts w:ascii="Times New Roman" w:cs="Times New Roman" w:eastAsia="Times New Roman" w:hAnsi="Times New Roman"/>
          <w:sz w:val="18"/>
          <w:szCs w:val="18"/>
          <w:color w:val="auto"/>
        </w:rPr>
      </w:pPr>
    </w:p>
    <w:p>
      <w:pPr>
        <w:ind w:left="-20" w:right="80" w:firstLine="990"/>
        <w:spacing w:after="0" w:line="254" w:lineRule="auto"/>
        <w:tabs>
          <w:tab w:leader="none" w:pos="11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w:t>
      </w:r>
    </w:p>
    <w:p>
      <w:pPr>
        <w:spacing w:after="0" w:line="76" w:lineRule="exact"/>
        <w:rPr>
          <w:rFonts w:ascii="Times New Roman" w:cs="Times New Roman" w:eastAsia="Times New Roman" w:hAnsi="Times New Roman"/>
          <w:sz w:val="18"/>
          <w:szCs w:val="18"/>
          <w:color w:val="auto"/>
        </w:rPr>
      </w:pPr>
    </w:p>
    <w:p>
      <w:pPr>
        <w:ind w:left="-20" w:right="380" w:firstLine="990"/>
        <w:spacing w:after="0" w:line="263"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“cold comfort” letter from Pubco’s independent registered public accountants in the event of an Underwritten Offering, in customary form and covering such matters of the type customarily covered by “cold comfort” letters as the managing Underwriter may reasonably request;</w:t>
      </w:r>
    </w:p>
    <w:p>
      <w:pPr>
        <w:spacing w:after="0" w:line="68" w:lineRule="exact"/>
        <w:rPr>
          <w:rFonts w:ascii="Times New Roman" w:cs="Times New Roman" w:eastAsia="Times New Roman" w:hAnsi="Times New Roman"/>
          <w:sz w:val="18"/>
          <w:szCs w:val="18"/>
          <w:color w:val="auto"/>
        </w:rPr>
      </w:pPr>
    </w:p>
    <w:p>
      <w:pPr>
        <w:jc w:val="both"/>
        <w:ind w:left="-20" w:right="60" w:firstLine="990"/>
        <w:spacing w:after="0" w:line="258" w:lineRule="auto"/>
        <w:tabs>
          <w:tab w:leader="none" w:pos="11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Registrable Securities are delivered for sale pursuant to such Registration, obtain an opinion,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w:t>
      </w:r>
    </w:p>
    <w:p>
      <w:pPr>
        <w:spacing w:after="0" w:line="72" w:lineRule="exact"/>
        <w:rPr>
          <w:rFonts w:ascii="Times New Roman" w:cs="Times New Roman" w:eastAsia="Times New Roman" w:hAnsi="Times New Roman"/>
          <w:sz w:val="18"/>
          <w:szCs w:val="18"/>
          <w:color w:val="auto"/>
        </w:rPr>
      </w:pPr>
    </w:p>
    <w:p>
      <w:pPr>
        <w:ind w:left="-20" w:right="80" w:firstLine="990"/>
        <w:spacing w:after="0" w:line="278" w:lineRule="auto"/>
        <w:tabs>
          <w:tab w:leader="none" w:pos="126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Offering, enter into and perform its obligations under an underwriting agreement, on terms agreed to by Pubco with the managing Underwriter of such offering;</w:t>
      </w:r>
    </w:p>
    <w:p>
      <w:pPr>
        <w:spacing w:after="0" w:line="55" w:lineRule="exact"/>
        <w:rPr>
          <w:rFonts w:ascii="Times New Roman" w:cs="Times New Roman" w:eastAsia="Times New Roman" w:hAnsi="Times New Roman"/>
          <w:sz w:val="18"/>
          <w:szCs w:val="18"/>
          <w:color w:val="auto"/>
        </w:rPr>
      </w:pPr>
    </w:p>
    <w:p>
      <w:pPr>
        <w:ind w:left="-20" w:right="60" w:firstLine="990"/>
        <w:spacing w:after="0" w:line="25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its security holders, as soon as reasonably practicable, an earnings statement (which need not be audited) covering the period of at least twelve (12)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w:t>
      </w:r>
    </w:p>
    <w:p>
      <w:pPr>
        <w:spacing w:after="0" w:line="72" w:lineRule="exact"/>
        <w:rPr>
          <w:rFonts w:ascii="Times New Roman" w:cs="Times New Roman" w:eastAsia="Times New Roman" w:hAnsi="Times New Roman"/>
          <w:sz w:val="18"/>
          <w:szCs w:val="18"/>
          <w:color w:val="auto"/>
        </w:rPr>
      </w:pPr>
    </w:p>
    <w:p>
      <w:pPr>
        <w:ind w:left="-20" w:right="580" w:firstLine="990"/>
        <w:spacing w:after="0" w:line="27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involves an Underwritten Offering, use its reasonable efforts to make available senior executives of Pubco to participate in customary “road show” presentations that may be reasonably requested by the Underwriter in such Underwritten Offering; and</w:t>
      </w:r>
    </w:p>
    <w:p>
      <w:pPr>
        <w:spacing w:after="0" w:line="55" w:lineRule="exact"/>
        <w:rPr>
          <w:rFonts w:ascii="Times New Roman" w:cs="Times New Roman" w:eastAsia="Times New Roman" w:hAnsi="Times New Roman"/>
          <w:sz w:val="18"/>
          <w:szCs w:val="18"/>
          <w:color w:val="auto"/>
        </w:rPr>
      </w:pPr>
    </w:p>
    <w:p>
      <w:pPr>
        <w:ind w:left="-20" w:right="420" w:firstLine="990"/>
        <w:spacing w:after="0" w:line="27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take such customary actions reasonably necessary to effect the registration of such Registrable Securities contemplated hereby.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500" w:top="268" w:right="499" w:bottom="1440" w:gutter="0" w:footer="0" w:header="0"/>
        </w:sectPr>
      </w:pPr>
    </w:p>
    <w:bookmarkStart w:id="231" w:name="page232"/>
    <w:bookmarkEnd w:id="231"/>
    <w:p>
      <w:pPr>
        <w:ind w:right="16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Pubco. Stockholders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shall bear all incremental selling expenses relating to the sale of such Registrable Securities, such as Underwriters’ commissions and discounts and brokerage fees.</w:t>
      </w:r>
    </w:p>
    <w:p>
      <w:pPr>
        <w:spacing w:after="0" w:line="170" w:lineRule="exact"/>
        <w:rPr>
          <w:sz w:val="20"/>
          <w:szCs w:val="20"/>
          <w:color w:val="auto"/>
        </w:rPr>
      </w:pPr>
    </w:p>
    <w:p>
      <w:pPr>
        <w:jc w:val="both"/>
        <w:ind w:right="8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u w:val="single" w:color="auto"/>
          <w:color w:val="auto"/>
        </w:rPr>
        <w:t>Suspension of Sales; Blackout Period; Adverse Disclosure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00" w:firstLine="990"/>
        <w:spacing w:after="0" w:line="258" w:lineRule="auto"/>
        <w:tabs>
          <w:tab w:leader="none" w:pos="122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written notice from Pubco that a Registration Statement or Prospectus contains a Misstatement, 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w:t>
      </w:r>
    </w:p>
    <w:p>
      <w:pPr>
        <w:spacing w:after="0" w:line="7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Pubco shall be entitled, by providing written notice (a</w:t>
      </w:r>
    </w:p>
    <w:p>
      <w:pPr>
        <w:spacing w:after="0" w:line="26"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ninety</w:t>
      </w:r>
    </w:p>
    <w:p>
      <w:pPr>
        <w:ind w:right="60" w:firstLine="7"/>
        <w:spacing w:after="0" w:line="249" w:lineRule="auto"/>
        <w:tabs>
          <w:tab w:leader="none" w:pos="34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in the aggregate in any twelve (12)-month period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w:t>
      </w:r>
    </w:p>
    <w:p>
      <w:pPr>
        <w:spacing w:after="0" w:line="83" w:lineRule="exact"/>
        <w:rPr>
          <w:rFonts w:ascii="Times New Roman" w:cs="Times New Roman" w:eastAsia="Times New Roman" w:hAnsi="Times New Roman"/>
          <w:sz w:val="18"/>
          <w:szCs w:val="18"/>
          <w:color w:val="auto"/>
        </w:rPr>
      </w:pPr>
    </w:p>
    <w:p>
      <w:pPr>
        <w:ind w:firstLine="990"/>
        <w:spacing w:after="0" w:line="253" w:lineRule="auto"/>
        <w:tabs>
          <w:tab w:leader="none" w:pos="122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promptly notify in writing the Stockholder, to the extent it still holds Registrable Securities, of the termination of a Suspension Period. After the expiration of any Suspension Period in the case of an effective Registration Statement, and without the need for any further request from the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77" w:lineRule="exact"/>
        <w:rPr>
          <w:rFonts w:ascii="Times New Roman" w:cs="Times New Roman" w:eastAsia="Times New Roman" w:hAnsi="Times New Roman"/>
          <w:sz w:val="18"/>
          <w:szCs w:val="18"/>
          <w:color w:val="auto"/>
        </w:rPr>
      </w:pPr>
    </w:p>
    <w:p>
      <w:pPr>
        <w:ind w:right="80" w:firstLine="990"/>
        <w:spacing w:after="0" w:line="263" w:lineRule="auto"/>
        <w:tabs>
          <w:tab w:leader="none" w:pos="123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Pubco notifies the Demanding Holders of a Suspension Period with respect to an Underwritten Offering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(x) the Demanding Holders may by notice to Pubco withdraw such request without such request counting as a demand under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and without being obligated to reimburse Pubco for any Registration Expenses in connection therewith.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4" w:right="499" w:bottom="1440" w:gutter="0" w:footer="0" w:header="0"/>
        </w:sectPr>
      </w:pPr>
    </w:p>
    <w:bookmarkStart w:id="232" w:name="page233"/>
    <w:bookmarkEnd w:id="232"/>
    <w:p>
      <w:pPr>
        <w:ind w:right="180" w:firstLine="990"/>
        <w:spacing w:after="0" w:line="274" w:lineRule="auto"/>
        <w:tabs>
          <w:tab w:leader="none" w:pos="1225"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w:t>
      </w:r>
    </w:p>
    <w:p>
      <w:pPr>
        <w:ind w:right="120" w:firstLine="7"/>
        <w:spacing w:after="0" w:line="248" w:lineRule="auto"/>
        <w:tabs>
          <w:tab w:leader="none" w:pos="21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or be subject to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and (ii) if, in the good faith determination of Pubco, it is not feasible for Pubco to proceed with the registration or offering because (x) audited financial statements of Pubco or</w:t>
      </w:r>
    </w:p>
    <w:p>
      <w:pPr>
        <w:ind w:right="40" w:firstLine="7"/>
        <w:spacing w:after="0" w:line="249" w:lineRule="auto"/>
        <w:tabs>
          <w:tab w:leader="none" w:pos="25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or be subject to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provided that, with respect to clause (y), Pubco shall use its reasonable best efforts to prepare or obtain the relevant acquired company or pro forma financial statements as quickly as reasonably practicable.</w:t>
      </w:r>
    </w:p>
    <w:p>
      <w:pPr>
        <w:spacing w:after="0" w:line="187" w:lineRule="exact"/>
        <w:rPr>
          <w:sz w:val="20"/>
          <w:szCs w:val="20"/>
          <w:color w:val="auto"/>
        </w:rPr>
      </w:pPr>
    </w:p>
    <w:p>
      <w:pPr>
        <w:ind w:right="3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As long as any Stockholder shall own Registrable Securities, Pubco, at all times while it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company under the Exchange Act, covenants to use commercially reasonably efforts to:</w:t>
      </w:r>
    </w:p>
    <w:p>
      <w:pPr>
        <w:spacing w:after="0" w:line="53" w:lineRule="exact"/>
        <w:rPr>
          <w:sz w:val="20"/>
          <w:szCs w:val="20"/>
          <w:color w:val="auto"/>
        </w:rPr>
      </w:pPr>
    </w:p>
    <w:p>
      <w:pPr>
        <w:ind w:right="120" w:firstLine="990"/>
        <w:spacing w:after="0" w:line="278" w:lineRule="auto"/>
        <w:tabs>
          <w:tab w:leader="none" w:pos="122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Pubco available, as those terms are understood and defined in Rule 144, at all times from and after the Closing Date until there are no Registrable Securities outstanding;</w:t>
      </w:r>
    </w:p>
    <w:p>
      <w:pPr>
        <w:spacing w:after="0" w:line="55" w:lineRule="exact"/>
        <w:rPr>
          <w:rFonts w:ascii="Times New Roman" w:cs="Times New Roman" w:eastAsia="Times New Roman" w:hAnsi="Times New Roman"/>
          <w:sz w:val="18"/>
          <w:szCs w:val="18"/>
          <w:color w:val="auto"/>
        </w:rPr>
      </w:pPr>
    </w:p>
    <w:p>
      <w:pPr>
        <w:jc w:val="both"/>
        <w:ind w:right="100" w:firstLine="990"/>
        <w:spacing w:after="0" w:line="263" w:lineRule="auto"/>
        <w:tabs>
          <w:tab w:leader="none" w:pos="123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w:t>
      </w:r>
    </w:p>
    <w:p>
      <w:pPr>
        <w:spacing w:after="0" w:line="68" w:lineRule="exact"/>
        <w:rPr>
          <w:rFonts w:ascii="Times New Roman" w:cs="Times New Roman" w:eastAsia="Times New Roman" w:hAnsi="Times New Roman"/>
          <w:sz w:val="18"/>
          <w:szCs w:val="18"/>
          <w:color w:val="auto"/>
        </w:rPr>
      </w:pPr>
    </w:p>
    <w:p>
      <w:pPr>
        <w:ind w:firstLine="990"/>
        <w:spacing w:after="0" w:line="255" w:lineRule="auto"/>
        <w:tabs>
          <w:tab w:leader="none" w:pos="122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the reasonable request of any Stockholder, Pubco shall deliver to such Stockholder a written certification of a duly authorized officer as to whether it has complied with such requirements.</w:t>
      </w:r>
    </w:p>
    <w:p>
      <w:pPr>
        <w:spacing w:after="0" w:line="180"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u w:val="single" w:color="auto"/>
          <w:color w:val="auto"/>
        </w:rPr>
        <w:t>Removal of Legend</w:t>
      </w:r>
      <w:r>
        <w:rPr>
          <w:rFonts w:ascii="Times New Roman" w:cs="Times New Roman" w:eastAsia="Times New Roman" w:hAnsi="Times New Roman"/>
          <w:sz w:val="18"/>
          <w:szCs w:val="18"/>
          <w:color w:val="auto"/>
        </w:rPr>
        <w:t>. In connection with a sale of Registrable Securities by a Stockholder in reliance on Rule 144,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20" w:firstLine="990"/>
        <w:spacing w:after="0" w:line="251" w:lineRule="auto"/>
        <w:tabs>
          <w:tab w:leader="none" w:pos="120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agrees to indemnify, to the extent permitted by law, each Stockholder, its officers and directors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 (ii) 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w:t>
      </w:r>
    </w:p>
    <w:p>
      <w:pPr>
        <w:spacing w:after="0" w:line="84" w:lineRule="exact"/>
        <w:rPr>
          <w:rFonts w:ascii="Times New Roman" w:cs="Times New Roman" w:eastAsia="Times New Roman" w:hAnsi="Times New Roman"/>
          <w:sz w:val="18"/>
          <w:szCs w:val="18"/>
          <w:color w:val="auto"/>
        </w:rPr>
      </w:pPr>
    </w:p>
    <w:p>
      <w:pPr>
        <w:ind w:left="-20" w:firstLine="990"/>
        <w:spacing w:after="0" w:line="250" w:lineRule="auto"/>
        <w:tabs>
          <w:tab w:leader="none" w:pos="121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85" w:lineRule="exact"/>
        <w:rPr>
          <w:rFonts w:ascii="Times New Roman" w:cs="Times New Roman" w:eastAsia="Times New Roman" w:hAnsi="Times New Roman"/>
          <w:sz w:val="18"/>
          <w:szCs w:val="18"/>
          <w:color w:val="auto"/>
        </w:rPr>
      </w:pPr>
    </w:p>
    <w:p>
      <w:pPr>
        <w:ind w:left="-20" w:firstLine="990"/>
        <w:spacing w:after="0" w:line="252" w:lineRule="auto"/>
        <w:tabs>
          <w:tab w:leader="none" w:pos="120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4" w:right="519" w:bottom="1440" w:gutter="0" w:footer="0" w:header="0"/>
        </w:sectPr>
      </w:pPr>
    </w:p>
    <w:bookmarkStart w:id="234" w:name="page235"/>
    <w:bookmarkEnd w:id="23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77" w:lineRule="exact"/>
        <w:rPr>
          <w:sz w:val="20"/>
          <w:szCs w:val="20"/>
          <w:color w:val="auto"/>
        </w:rPr>
      </w:pPr>
    </w:p>
    <w:p>
      <w:pPr>
        <w:ind w:right="80" w:firstLine="990"/>
        <w:spacing w:after="0" w:line="258" w:lineRule="auto"/>
        <w:tabs>
          <w:tab w:leader="none" w:pos="12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w:t>
      </w:r>
    </w:p>
    <w:p>
      <w:pPr>
        <w:spacing w:after="0" w:line="72" w:lineRule="exact"/>
        <w:rPr>
          <w:rFonts w:ascii="Times New Roman" w:cs="Times New Roman" w:eastAsia="Times New Roman" w:hAnsi="Times New Roman"/>
          <w:sz w:val="18"/>
          <w:szCs w:val="18"/>
          <w:color w:val="auto"/>
        </w:rPr>
      </w:pPr>
    </w:p>
    <w:p>
      <w:pPr>
        <w:ind w:right="100" w:firstLine="990"/>
        <w:spacing w:after="0" w:line="250" w:lineRule="auto"/>
        <w:tabs>
          <w:tab w:leader="none" w:pos="122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Stockholder under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80" w:lineRule="exact"/>
        <w:rPr>
          <w:rFonts w:ascii="Times New Roman" w:cs="Times New Roman" w:eastAsia="Times New Roman" w:hAnsi="Times New Roman"/>
          <w:sz w:val="18"/>
          <w:szCs w:val="18"/>
          <w:color w:val="auto"/>
        </w:rPr>
      </w:pPr>
    </w:p>
    <w:p>
      <w:pPr>
        <w:ind w:right="520" w:firstLine="990"/>
        <w:spacing w:after="0" w:line="278" w:lineRule="auto"/>
        <w:tabs>
          <w:tab w:leader="none" w:pos="120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under this Article IV with respect to a Stockholder shall survive any disposition of such Stockholder’s Registrable Securities.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68" w:right="499" w:bottom="1440" w:gutter="0" w:footer="0" w:header="0"/>
        </w:sectPr>
      </w:pPr>
    </w:p>
    <w:bookmarkStart w:id="235" w:name="page236"/>
    <w:bookmarkEnd w:id="23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221" w:lineRule="exact"/>
        <w:rPr>
          <w:sz w:val="20"/>
          <w:szCs w:val="20"/>
          <w:color w:val="auto"/>
        </w:rPr>
      </w:pPr>
    </w:p>
    <w:p>
      <w:pPr>
        <w:ind w:right="3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Each Stockholder agrees that it, he or she shall not Transfer any Registrable Securities until the expiration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Lock-Up Period, except as otherwise provided in the Stockholders Agreement.</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98" w:lineRule="exact"/>
        <w:rPr>
          <w:sz w:val="20"/>
          <w:szCs w:val="20"/>
          <w:color w:val="auto"/>
        </w:rPr>
      </w:pPr>
    </w:p>
    <w:p>
      <w:pPr>
        <w:ind w:firstLine="98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6.1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To be valid for purposes hereof, any notice, request, demand, waiver, consent, approval or other communication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foregoing, a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within two Business Days thereafter) if sent during normal business hours of the recipient, and on the next Business Day if sent after normal business hours of the recipient or (d) one Business Day following deposit with a nationally recognized overnight courier service for next day delivery, charges prepaid, and, in each case, addressed to the intended recipient as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Notices to Pubco:</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with copies to (which shall not constitute notice):</w:t>
            </w:r>
          </w:p>
        </w:tc>
      </w:tr>
      <w:tr>
        <w:trPr>
          <w:trHeight w:val="20"/>
        </w:trPr>
        <w:tc>
          <w:tcPr>
            <w:tcW w:w="12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Shearman &amp; Sterling LLP</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5900 Windward Parkway, Suite 450</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Alpharetta, GA 30005</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Austin, Texas 78701</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General Counsel</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Attention: J. Matthew Lyons</w:t>
            </w:r>
          </w:p>
        </w:tc>
      </w:tr>
      <w:tr>
        <w:trPr>
          <w:trHeight w:val="233"/>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marc.dannunzio@bakkt.com</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Email: matt.lyons@shearman.com</w:t>
            </w:r>
          </w:p>
        </w:tc>
      </w:tr>
      <w:tr>
        <w:trPr>
          <w:trHeight w:val="2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Notices to the Sponsor or VIH Independent Directors</w:t>
            </w:r>
          </w:p>
        </w:tc>
        <w:tc>
          <w:tcPr>
            <w:tcW w:w="1880" w:type="dxa"/>
            <w:vAlign w:val="bottom"/>
          </w:tcPr>
          <w:p>
            <w:pPr>
              <w:spacing w:after="0"/>
              <w:rPr>
                <w:sz w:val="24"/>
                <w:szCs w:val="2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with a copy to (which shall not constitute notice):</w:t>
            </w:r>
          </w:p>
        </w:tc>
      </w:tr>
      <w:tr>
        <w:trPr>
          <w:trHeight w:val="216"/>
        </w:trPr>
        <w:tc>
          <w:tcPr>
            <w:tcW w:w="3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 Victory Park Capital Advisors, LLC</w:t>
            </w:r>
          </w:p>
        </w:tc>
        <w:tc>
          <w:tcPr>
            <w:tcW w:w="1880" w:type="dxa"/>
            <w:vAlign w:val="bottom"/>
          </w:tcPr>
          <w:p>
            <w:pPr>
              <w:spacing w:after="0"/>
              <w:rPr>
                <w:sz w:val="18"/>
                <w:szCs w:val="18"/>
                <w:color w:val="auto"/>
              </w:rPr>
            </w:pPr>
          </w:p>
        </w:tc>
        <w:tc>
          <w:tcPr>
            <w:tcW w:w="3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White &amp; Case LLP</w:t>
            </w:r>
          </w:p>
        </w:tc>
        <w:tc>
          <w:tcPr>
            <w:tcW w:w="40" w:type="dxa"/>
            <w:vAlign w:val="bottom"/>
          </w:tcPr>
          <w:p>
            <w:pPr>
              <w:spacing w:after="0"/>
              <w:rPr>
                <w:sz w:val="18"/>
                <w:szCs w:val="18"/>
                <w:color w:val="auto"/>
              </w:rPr>
            </w:pP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150 North Riverside Plaza, Suite 5200</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111 South Wacker Drive, Suite 5100</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Illinois 60606</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Chicago, IL 60606-4302</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Scott R. Zemnick</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Raymond Bogenrief</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szemnick@vpcadvisors.com</w:t>
            </w:r>
          </w:p>
        </w:tc>
        <w:tc>
          <w:tcPr>
            <w:tcW w:w="800" w:type="dxa"/>
            <w:vAlign w:val="bottom"/>
          </w:tcPr>
          <w:p>
            <w:pPr>
              <w:spacing w:after="0"/>
              <w:rPr>
                <w:sz w:val="18"/>
                <w:szCs w:val="18"/>
                <w:color w:val="auto"/>
              </w:rPr>
            </w:pP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Elliott Smith</w:t>
            </w:r>
          </w:p>
        </w:tc>
      </w:tr>
      <w:tr>
        <w:trPr>
          <w:trHeight w:val="214"/>
        </w:trPr>
        <w:tc>
          <w:tcPr>
            <w:tcW w:w="1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raymond.bogenrief@whitecase.com</w:t>
            </w:r>
          </w:p>
        </w:tc>
      </w:tr>
      <w:tr>
        <w:trPr>
          <w:trHeight w:val="233"/>
        </w:trPr>
        <w:tc>
          <w:tcPr>
            <w:tcW w:w="1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elliott.smith@whitecase.com</w:t>
            </w:r>
          </w:p>
        </w:tc>
      </w:tr>
    </w:tbl>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This Agreement and the rights, duties and obligations of Pubco hereunder may not be assigned or delegated by Pubco in whole or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w:t>
      </w:r>
    </w:p>
    <w:p>
      <w:pPr>
        <w:spacing w:after="0" w:line="95" w:lineRule="exact"/>
        <w:rPr>
          <w:sz w:val="20"/>
          <w:szCs w:val="20"/>
          <w:color w:val="auto"/>
        </w:rPr>
      </w:pPr>
    </w:p>
    <w:p>
      <w:pPr>
        <w:jc w:val="both"/>
        <w:ind w:right="400" w:firstLine="990"/>
        <w:spacing w:after="0" w:line="263" w:lineRule="auto"/>
        <w:tabs>
          <w:tab w:leader="none" w:pos="123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rights, duties and obligations of any Stockholder hereunder may be freely assigned or delegated by such Stockholder in conjunction with and to the extent of any transfer of Registrable Securities by any such Stockholder, subject to compliance with the Lock-Up Periods and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below.</w:t>
      </w:r>
    </w:p>
    <w:p>
      <w:pPr>
        <w:spacing w:after="0" w:line="68" w:lineRule="exact"/>
        <w:rPr>
          <w:rFonts w:ascii="Times New Roman" w:cs="Times New Roman" w:eastAsia="Times New Roman" w:hAnsi="Times New Roman"/>
          <w:sz w:val="18"/>
          <w:szCs w:val="18"/>
          <w:color w:val="auto"/>
        </w:rPr>
      </w:pPr>
    </w:p>
    <w:p>
      <w:pPr>
        <w:ind w:right="100" w:firstLine="990"/>
        <w:spacing w:after="0" w:line="278" w:lineRule="auto"/>
        <w:tabs>
          <w:tab w:leader="none" w:pos="122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provisions hereof shall be binding upon and shall inure to the benefit of each of the parties and its successors and the permitted assigns of the Stockholders.</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480" w:top="264" w:right="559" w:bottom="1440" w:gutter="0" w:footer="0" w:header="0"/>
        </w:sectPr>
      </w:pPr>
    </w:p>
    <w:bookmarkStart w:id="236" w:name="page237"/>
    <w:bookmarkEnd w:id="236"/>
    <w:p>
      <w:pPr>
        <w:ind w:right="360" w:firstLine="990"/>
        <w:spacing w:after="0" w:line="278" w:lineRule="auto"/>
        <w:tabs>
          <w:tab w:leader="none" w:pos="123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Nothing expressed or implied in this Agreement is intended or shall be construed to confer upon or give any person, other than the parties hereto, any right or remedies under or by reason of this Agreement.</w:t>
      </w:r>
    </w:p>
    <w:p>
      <w:pPr>
        <w:spacing w:after="0" w:line="55" w:lineRule="exact"/>
        <w:rPr>
          <w:rFonts w:ascii="Times New Roman" w:cs="Times New Roman" w:eastAsia="Times New Roman" w:hAnsi="Times New Roman"/>
          <w:sz w:val="18"/>
          <w:szCs w:val="18"/>
          <w:color w:val="auto"/>
        </w:rPr>
      </w:pPr>
    </w:p>
    <w:p>
      <w:pPr>
        <w:ind w:firstLine="990"/>
        <w:spacing w:after="0" w:line="258" w:lineRule="auto"/>
        <w:tabs>
          <w:tab w:leader="none" w:pos="122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assignment by any party hereto of such party’s rights, duties and obligations hereunder shall be binding upon or obligate Pubco unless and until Pubco shall have received (i) written notice of such assignment as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(ii) the written agreement of the assignee,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be bound by the terms and provisions of this Agreement. Any transfer or assignment made other than as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null and void.</w:t>
      </w:r>
    </w:p>
    <w:p>
      <w:pPr>
        <w:spacing w:after="0" w:line="176" w:lineRule="exact"/>
        <w:rPr>
          <w:sz w:val="20"/>
          <w:szCs w:val="20"/>
          <w:color w:val="auto"/>
        </w:rPr>
      </w:pPr>
    </w:p>
    <w:p>
      <w:pPr>
        <w:jc w:val="both"/>
        <w:ind w:right="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agreements, certificates, instruments and documents entered into in connection herewith,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20" w:firstLine="990"/>
        <w:spacing w:after="0" w:line="263" w:lineRule="auto"/>
        <w:tabs>
          <w:tab w:leader="none" w:pos="122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68" w:lineRule="exact"/>
        <w:rPr>
          <w:rFonts w:ascii="Times New Roman" w:cs="Times New Roman" w:eastAsia="Times New Roman" w:hAnsi="Times New Roman"/>
          <w:sz w:val="18"/>
          <w:szCs w:val="18"/>
          <w:color w:val="auto"/>
        </w:rPr>
      </w:pPr>
    </w:p>
    <w:p>
      <w:pPr>
        <w:ind w:right="60" w:firstLine="990"/>
        <w:spacing w:after="0" w:line="253" w:lineRule="auto"/>
        <w:tabs>
          <w:tab w:leader="none" w:pos="123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w:t>
      </w:r>
    </w:p>
    <w:p>
      <w:pPr>
        <w:spacing w:after="0" w:line="77" w:lineRule="exact"/>
        <w:rPr>
          <w:rFonts w:ascii="Times New Roman" w:cs="Times New Roman" w:eastAsia="Times New Roman" w:hAnsi="Times New Roman"/>
          <w:sz w:val="18"/>
          <w:szCs w:val="18"/>
          <w:color w:val="auto"/>
        </w:rPr>
      </w:pPr>
    </w:p>
    <w:p>
      <w:pPr>
        <w:ind w:right="40" w:firstLine="990"/>
        <w:spacing w:after="0" w:line="253" w:lineRule="auto"/>
        <w:tabs>
          <w:tab w:leader="none" w:pos="122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w:t>
      </w:r>
    </w:p>
    <w:p>
      <w:pPr>
        <w:spacing w:after="0" w:line="180"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agrees that irreparable damage for which monetary damages, even if available,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an adequate remedy, would occur in the event that any party hereto does not perform its obligations under the provisions of this Agreement in accordance with its specified terms or otherwise breach such provisions. Each party hereto acknowledges and agrees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9" w:right="519" w:bottom="1440" w:gutter="0" w:footer="0" w:header="0"/>
        </w:sectPr>
      </w:pPr>
    </w:p>
    <w:bookmarkStart w:id="237" w:name="page238"/>
    <w:bookmarkEnd w:id="237"/>
    <w:p>
      <w:pPr>
        <w:ind w:right="1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required to provide any bond or other security in connection with any such injunction.</w:t>
      </w:r>
    </w:p>
    <w:p>
      <w:pPr>
        <w:spacing w:after="0" w:line="180" w:lineRule="exact"/>
        <w:rPr>
          <w:sz w:val="20"/>
          <w:szCs w:val="20"/>
          <w:color w:val="auto"/>
        </w:rPr>
      </w:pPr>
    </w:p>
    <w:p>
      <w:pPr>
        <w:ind w:right="3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or provision hereof is to any extent declared illegal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sz w:val="20"/>
          <w:szCs w:val="20"/>
          <w:color w:val="auto"/>
        </w:rPr>
      </w:pPr>
    </w:p>
    <w:p>
      <w:pPr>
        <w:ind w:right="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and captions used in this Agreement have been inserted for convenience of reference only and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modify, define or limit any of the terms or provisions hereof.</w:t>
      </w:r>
    </w:p>
    <w:p>
      <w:pPr>
        <w:spacing w:after="0" w:line="156" w:lineRule="exact"/>
        <w:rPr>
          <w:sz w:val="20"/>
          <w:szCs w:val="20"/>
          <w:color w:val="auto"/>
        </w:rPr>
      </w:pPr>
    </w:p>
    <w:p>
      <w:pPr>
        <w:ind w:right="1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Sponsor, the VIH Independent Directors and Pubco agree that the Original RRA is hereby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w:t>
      </w:r>
    </w:p>
    <w:p>
      <w:pPr>
        <w:spacing w:after="0" w:line="180" w:lineRule="exact"/>
        <w:rPr>
          <w:sz w:val="20"/>
          <w:szCs w:val="20"/>
          <w:color w:val="auto"/>
        </w:rPr>
      </w:pPr>
    </w:p>
    <w:p>
      <w:pPr>
        <w:ind w:firstLine="98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6.9 </w:t>
      </w:r>
      <w:r>
        <w:rPr>
          <w:rFonts w:ascii="Times New Roman" w:cs="Times New Roman" w:eastAsia="Times New Roman" w:hAnsi="Times New Roman"/>
          <w:sz w:val="17"/>
          <w:szCs w:val="17"/>
          <w:u w:val="single" w:color="auto"/>
          <w:color w:val="auto"/>
        </w:rPr>
        <w:t>Amendments and Modifications</w:t>
      </w:r>
      <w:r>
        <w:rPr>
          <w:rFonts w:ascii="Times New Roman" w:cs="Times New Roman" w:eastAsia="Times New Roman" w:hAnsi="Times New Roman"/>
          <w:sz w:val="17"/>
          <w:szCs w:val="17"/>
          <w:color w:val="auto"/>
        </w:rPr>
        <w:t>. Upon the written consent of Pubco and the Stockholders holding at least a majority in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w:t>
      </w:r>
    </w:p>
    <w:p>
      <w:pPr>
        <w:spacing w:after="0" w:line="168"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Pubco represents and warrants that, except with respect to registration rights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agreements entered into in connection with the Transactions,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238" w:name="page239"/>
    <w:bookmarkEnd w:id="238"/>
    <w:p>
      <w:pPr>
        <w:ind w:right="1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date as of which no Stockholders (or permitted assignees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 any Registrable Securities.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56"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u w:val="single" w:color="auto"/>
          <w:color w:val="auto"/>
        </w:rPr>
        <w:t>Limitation on Subsequent Registration Rights</w:t>
      </w:r>
      <w:r>
        <w:rPr>
          <w:rFonts w:ascii="Times New Roman" w:cs="Times New Roman" w:eastAsia="Times New Roman" w:hAnsi="Times New Roman"/>
          <w:sz w:val="18"/>
          <w:szCs w:val="18"/>
          <w:color w:val="auto"/>
        </w:rPr>
        <w:t>. From and after the date of this Agreement, Pubco shall not,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consent of ICE, for so long as it owns Registrable Securities representing or exchangeable 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unless such rights are subordinate to those of the Stockholders.</w:t>
      </w:r>
    </w:p>
    <w:p>
      <w:pPr>
        <w:spacing w:after="0" w:line="178"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 provision of this Agreement to the contrary, this Agreement may only be enforced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except to the extent a named party to this Agreement (and then only to the extent of the specific obligations undertaken by such named party to this Agreement), (i) 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w:t>
      </w:r>
    </w:p>
    <w:p>
      <w:pPr>
        <w:spacing w:after="0" w:line="180"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Agreement and the transactions contemplated hereby, upon the written request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Pubco, each Stockholder shall execute and deliver any additional documents and instruments and perform any additional acts that may be reasonably necessary to effectuate and perform the provisions of this Agreement and the transactions contemplated hereby.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4"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each of the undersigned has caused this Agreement to be executed as of the date first written above.</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VPC IMPACT ACQUISITION HOLDINGS SPONSOR,</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LLC</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Victory Park Management, LLC</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VIH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219710</wp:posOffset>
            </wp:positionV>
            <wp:extent cx="27686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Adrienne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219710</wp:posOffset>
            </wp:positionV>
            <wp:extent cx="27686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Kai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219710</wp:posOffset>
            </wp:positionV>
            <wp:extent cx="27686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Kurt Summers</w:t>
      </w:r>
    </w:p>
    <w:p>
      <w:pPr>
        <w:spacing w:after="0" w:line="2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200"/>
          </w:cols>
          <w:pgMar w:left="920" w:top="268" w:right="779" w:bottom="1440" w:gutter="0" w:footer="0" w:header="0"/>
        </w:sectPr>
      </w:pPr>
    </w:p>
    <w:bookmarkStart w:id="240" w:name="page241"/>
    <w:bookmarkEnd w:id="24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EQUITY HOLDER]</w:t>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ectPr>
          <w:pgSz w:w="11900" w:h="16838" w:orient="portrait"/>
          <w:cols w:equalWidth="0" w:num="1">
            <w:col w:w="9019"/>
          </w:cols>
          <w:pgMar w:left="1440" w:top="268" w:right="1440"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BAKKT EQUITY HOLDERS AND NUMBER OF SHARES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INCLUDED PRIOR TO CLOSING]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Schedule I to Registration Rights Agreement</w:t>
      </w:r>
    </w:p>
    <w:p>
      <w:pPr>
        <w:sectPr>
          <w:pgSz w:w="11900" w:h="16838" w:orient="portrait"/>
          <w:cols w:equalWidth="0" w:num="1">
            <w:col w:w="9019"/>
          </w:cols>
          <w:pgMar w:left="1440" w:top="264" w:right="1440" w:bottom="1440" w:gutter="0" w:footer="0" w:header="0"/>
        </w:sectPr>
      </w:pPr>
    </w:p>
    <w:bookmarkStart w:id="242" w:name="page243"/>
    <w:bookmarkEnd w:id="2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Joinder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is executing and delivering this Joinder pursuant to the Registration Rights Agreement, dated as of __________________ (as the</w:t>
      </w:r>
    </w:p>
    <w:p>
      <w:pPr>
        <w:spacing w:after="0" w:line="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same may hereafter be amended,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among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person named as parties therein.</w:t>
      </w:r>
    </w:p>
    <w:p>
      <w:pPr>
        <w:spacing w:after="0" w:line="18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By executing and delivering this Joinder to the Company,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 _____________________ shall be included as Registrable Securities under the Registration Rights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 ___ day of ____________, ____.</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0</wp:posOffset>
            </wp:positionV>
            <wp:extent cx="2292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92985" cy="8255"/>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219710</wp:posOffset>
            </wp:positionV>
            <wp:extent cx="22929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3810</wp:posOffset>
            </wp:positionV>
            <wp:extent cx="24288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15875</wp:posOffset>
            </wp:positionV>
            <wp:extent cx="24288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Exhibit A to Registration Rights Agreement</w:t>
      </w:r>
    </w:p>
    <w:p>
      <w:pPr>
        <w:sectPr>
          <w:pgSz w:w="11900" w:h="16838" w:orient="portrait"/>
          <w:cols w:equalWidth="0" w:num="1">
            <w:col w:w="10860"/>
          </w:cols>
          <w:pgMar w:left="480" w:top="264" w:right="55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VOTING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1" w:lineRule="exact"/>
        <w:rPr>
          <w:sz w:val="20"/>
          <w:szCs w:val="20"/>
          <w:color w:val="auto"/>
        </w:rPr>
      </w:pPr>
    </w:p>
    <w:p>
      <w:pPr>
        <w:ind w:right="6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 2021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by and among Bakkt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Intercontinental Exchange Holdings, Inc., a Delaware corporation (the “</w:t>
      </w: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1" w:lineRule="exact"/>
        <w:rPr>
          <w:sz w:val="20"/>
          <w:szCs w:val="20"/>
          <w:color w:val="auto"/>
        </w:rPr>
      </w:pPr>
    </w:p>
    <w:p>
      <w:pPr>
        <w:ind w:right="2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11, 2021, VPC Impact Acquisition Holdings, a Cayman Islands exempted company (“</w:t>
      </w:r>
      <w:r>
        <w:rPr>
          <w:rFonts w:ascii="Times New Roman" w:cs="Times New Roman" w:eastAsia="Times New Roman" w:hAnsi="Times New Roman"/>
          <w:sz w:val="18"/>
          <w:szCs w:val="18"/>
          <w:b w:val="1"/>
          <w:bCs w:val="1"/>
          <w:u w:val="single" w:color="auto"/>
          <w:color w:val="auto"/>
        </w:rPr>
        <w:t>VIH</w:t>
      </w:r>
      <w:r>
        <w:rPr>
          <w:rFonts w:ascii="Times New Roman" w:cs="Times New Roman" w:eastAsia="Times New Roman" w:hAnsi="Times New Roman"/>
          <w:sz w:val="18"/>
          <w:szCs w:val="18"/>
          <w:color w:val="auto"/>
        </w:rPr>
        <w:t>”), Pylon Merger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Delaware limited liability company and wholly owned subsidiary of VIH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b w:val="1"/>
          <w:bCs w:val="1"/>
          <w:u w:val="single" w:color="auto"/>
          <w:color w:val="auto"/>
        </w:rPr>
        <w:t>Bakkt Opco</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Effective Date, pursuant to the Merger Agreement, Merger Sub merged with and into Bakkt Opco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Bakkt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Opco as the surviving limited liability company in the Merger (“</w:t>
      </w:r>
      <w:r>
        <w:rPr>
          <w:rFonts w:ascii="Times New Roman" w:cs="Times New Roman" w:eastAsia="Times New Roman" w:hAnsi="Times New Roman"/>
          <w:sz w:val="18"/>
          <w:szCs w:val="18"/>
          <w:b w:val="1"/>
          <w:bCs w:val="1"/>
          <w:u w:val="single" w:color="auto"/>
          <w:color w:val="auto"/>
        </w:rPr>
        <w:t>Bakkt Opco</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10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prior to the Effective Time (as defined in the Merger Agreement), VIH effected the transfer by way of continuation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VIH from the Cayman Islands to the State of Delaware in accordance with the applicable provisions of the Companies Act (2020 Revision) of the Cayman Islands and a continuation of VIH by way of domestication under Section 388 of the General Corporation Law of the State of Delaware (the “</w:t>
      </w:r>
      <w:r>
        <w:rPr>
          <w:rFonts w:ascii="Times New Roman" w:cs="Times New Roman" w:eastAsia="Times New Roman" w:hAnsi="Times New Roman"/>
          <w:sz w:val="18"/>
          <w:szCs w:val="18"/>
          <w:b w:val="1"/>
          <w:bCs w:val="1"/>
          <w:u w:val="single" w:color="auto"/>
          <w:color w:val="auto"/>
        </w:rPr>
        <w:t>Domestication</w:t>
      </w:r>
      <w:r>
        <w:rPr>
          <w:rFonts w:ascii="Times New Roman" w:cs="Times New Roman" w:eastAsia="Times New Roman" w:hAnsi="Times New Roman"/>
          <w:sz w:val="18"/>
          <w:szCs w:val="18"/>
          <w:color w:val="auto"/>
        </w:rPr>
        <w:t>”) and was renamed “Bakkt Holdings, Inc.” (with the corporation resulting from the Domestication being the “Company” referred to in the introductory paragraph of this Agreement);</w:t>
      </w:r>
    </w:p>
    <w:p>
      <w:pPr>
        <w:spacing w:after="0" w:line="180" w:lineRule="exact"/>
        <w:rPr>
          <w:sz w:val="20"/>
          <w:szCs w:val="20"/>
          <w:color w:val="auto"/>
        </w:rPr>
      </w:pPr>
    </w:p>
    <w:p>
      <w:pPr>
        <w:ind w:right="24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the Merger Agreement, all public stockholders of VIH prior to the Domestication and certain PIPE Investors received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Class A common stock, par value $0.0001, of the Company (“</w:t>
      </w:r>
      <w:r>
        <w:rPr>
          <w:rFonts w:ascii="Times New Roman" w:cs="Times New Roman" w:eastAsia="Times New Roman" w:hAnsi="Times New Roman"/>
          <w:sz w:val="17"/>
          <w:szCs w:val="17"/>
          <w:b w:val="1"/>
          <w:bCs w:val="1"/>
          <w:u w:val="single" w:color="auto"/>
          <w:color w:val="auto"/>
        </w:rPr>
        <w:t>Class A Shares</w:t>
      </w:r>
      <w:r>
        <w:rPr>
          <w:rFonts w:ascii="Times New Roman" w:cs="Times New Roman" w:eastAsia="Times New Roman" w:hAnsi="Times New Roman"/>
          <w:sz w:val="17"/>
          <w:szCs w:val="17"/>
          <w:color w:val="auto"/>
        </w:rPr>
        <w:t>”), which shares are listed on the New York Stock Exchange;</w:t>
      </w:r>
    </w:p>
    <w:p>
      <w:pPr>
        <w:spacing w:after="0" w:line="132"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the equity holders of Bakkt Opco immediately prior to the Effective Time received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interests in Bakkt Opco (a) common units of limited liability company interests in Bakkt Opco (“</w:t>
      </w:r>
      <w:r>
        <w:rPr>
          <w:rFonts w:ascii="Times New Roman" w:cs="Times New Roman" w:eastAsia="Times New Roman" w:hAnsi="Times New Roman"/>
          <w:sz w:val="18"/>
          <w:szCs w:val="18"/>
          <w:b w:val="1"/>
          <w:bCs w:val="1"/>
          <w:u w:val="single" w:color="auto"/>
          <w:color w:val="auto"/>
        </w:rPr>
        <w:t>Bakkt Opco Common Units</w:t>
      </w:r>
      <w:r>
        <w:rPr>
          <w:rFonts w:ascii="Times New Roman" w:cs="Times New Roman" w:eastAsia="Times New Roman" w:hAnsi="Times New Roman"/>
          <w:sz w:val="18"/>
          <w:szCs w:val="18"/>
          <w:color w:val="auto"/>
        </w:rPr>
        <w:t>”) and (b) an equal number of shares of Class V common stock, par value $0.0001, of the Company (“</w:t>
      </w:r>
      <w:r>
        <w:rPr>
          <w:rFonts w:ascii="Times New Roman" w:cs="Times New Roman" w:eastAsia="Times New Roman" w:hAnsi="Times New Roman"/>
          <w:sz w:val="18"/>
          <w:szCs w:val="18"/>
          <w:b w:val="1"/>
          <w:bCs w:val="1"/>
          <w:u w:val="single" w:color="auto"/>
          <w:color w:val="auto"/>
        </w:rPr>
        <w:t>Class V Shares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2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Class V Shares are non-economic, but each Class V Share is entitled to one vote (with the Class A Shares and Class V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together as a class) on each matter submitted to a vote or consent of the stockholders of the Company;</w:t>
      </w:r>
    </w:p>
    <w:p>
      <w:pPr>
        <w:spacing w:after="0" w:line="156" w:lineRule="exact"/>
        <w:rPr>
          <w:sz w:val="20"/>
          <w:szCs w:val="20"/>
          <w:color w:val="auto"/>
        </w:rPr>
      </w:pPr>
    </w:p>
    <w:p>
      <w:pPr>
        <w:jc w:val="both"/>
        <w:ind w:right="1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Bakkt Opco Common Unit, along with a Class V Share (together, the “</w:t>
      </w:r>
      <w:r>
        <w:rPr>
          <w:rFonts w:ascii="Times New Roman" w:cs="Times New Roman" w:eastAsia="Times New Roman" w:hAnsi="Times New Roman"/>
          <w:sz w:val="18"/>
          <w:szCs w:val="18"/>
          <w:b w:val="1"/>
          <w:bCs w:val="1"/>
          <w:u w:val="single" w:color="auto"/>
          <w:color w:val="auto"/>
        </w:rPr>
        <w:t>Paired Interests</w:t>
      </w:r>
      <w:r>
        <w:rPr>
          <w:rFonts w:ascii="Times New Roman" w:cs="Times New Roman" w:eastAsia="Times New Roman" w:hAnsi="Times New Roman"/>
          <w:sz w:val="18"/>
          <w:szCs w:val="18"/>
          <w:color w:val="auto"/>
        </w:rPr>
        <w:t>”), may be tendered (at the 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thereof) to the Company in exchange for, at the Company’s election, one Class A Share or a cash payment equal to the market value thereof; and</w:t>
      </w:r>
    </w:p>
    <w:p>
      <w:pPr>
        <w:spacing w:after="0" w:line="170" w:lineRule="exact"/>
        <w:rPr>
          <w:sz w:val="20"/>
          <w:szCs w:val="20"/>
          <w:color w:val="auto"/>
        </w:rPr>
      </w:pPr>
    </w:p>
    <w:p>
      <w:pPr>
        <w:jc w:val="both"/>
        <w:ind w:right="1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in exchange for its equity ownership in Bakkt Opco, the Stockholder was issued a number of Class V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entitling it to cast in excess of 50% of the total voting power of the outstanding shares of capital stock of the Company.</w:t>
      </w:r>
    </w:p>
    <w:p>
      <w:pPr>
        <w:sectPr>
          <w:pgSz w:w="11900" w:h="16838" w:orient="portrait"/>
          <w:cols w:equalWidth="0" w:num="1">
            <w:col w:w="10920"/>
          </w:cols>
          <w:pgMar w:left="480" w:top="264" w:right="499" w:bottom="1440" w:gutter="0" w:footer="0" w:header="0"/>
        </w:sectPr>
      </w:pPr>
    </w:p>
    <w:bookmarkStart w:id="245" w:name="page246"/>
    <w:bookmarkEnd w:id="245"/>
    <w:p>
      <w:pPr>
        <w:ind w:right="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mutual promises and covenants set forth herein, and certain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and intending to be legally bound hereby, the parties agree as follows: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1" w:lineRule="exact"/>
        <w:rPr>
          <w:sz w:val="20"/>
          <w:szCs w:val="20"/>
          <w:color w:val="auto"/>
        </w:rPr>
      </w:pPr>
    </w:p>
    <w:p>
      <w:pPr>
        <w:ind w:right="40" w:firstLine="444"/>
        <w:spacing w:after="0" w:line="250" w:lineRule="auto"/>
        <w:tabs>
          <w:tab w:leader="none" w:pos="61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Subject to Agreement; 30% Limitation; Excess Shares</w:t>
      </w:r>
      <w:r>
        <w:rPr>
          <w:rFonts w:ascii="Times New Roman" w:cs="Times New Roman" w:eastAsia="Times New Roman" w:hAnsi="Times New Roman"/>
          <w:sz w:val="18"/>
          <w:szCs w:val="18"/>
          <w:color w:val="auto"/>
        </w:rPr>
        <w:t>. During the existence of this Agreement, promptly following the setting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record date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with respect to any matter for which the Company shall seek a stockholder vote or written consent (the “</w:t>
      </w:r>
      <w:r>
        <w:rPr>
          <w:rFonts w:ascii="Times New Roman" w:cs="Times New Roman" w:eastAsia="Times New Roman" w:hAnsi="Times New Roman"/>
          <w:sz w:val="18"/>
          <w:szCs w:val="18"/>
          <w:b w:val="1"/>
          <w:bCs w:val="1"/>
          <w:u w:val="single" w:color="auto"/>
          <w:color w:val="auto"/>
        </w:rPr>
        <w:t>Stockholder Matter</w:t>
      </w:r>
      <w:r>
        <w:rPr>
          <w:rFonts w:ascii="Times New Roman" w:cs="Times New Roman" w:eastAsia="Times New Roman" w:hAnsi="Times New Roman"/>
          <w:sz w:val="18"/>
          <w:szCs w:val="18"/>
          <w:color w:val="auto"/>
        </w:rPr>
        <w:t>”), the Stockholder and the Company shall jointly calculate the voting power represented by Class A Shares and Class V Shares (collectively,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beneficially owned by the Stockholder and its Affiliates (the “</w:t>
      </w:r>
      <w:r>
        <w:rPr>
          <w:rFonts w:ascii="Times New Roman" w:cs="Times New Roman" w:eastAsia="Times New Roman" w:hAnsi="Times New Roman"/>
          <w:sz w:val="18"/>
          <w:szCs w:val="18"/>
          <w:b w:val="1"/>
          <w:bCs w:val="1"/>
          <w:u w:val="single" w:color="auto"/>
          <w:color w:val="auto"/>
        </w:rPr>
        <w:t>Stockholder Shares</w:t>
      </w:r>
      <w:r>
        <w:rPr>
          <w:rFonts w:ascii="Times New Roman" w:cs="Times New Roman" w:eastAsia="Times New Roman" w:hAnsi="Times New Roman"/>
          <w:sz w:val="18"/>
          <w:szCs w:val="18"/>
          <w:color w:val="auto"/>
        </w:rPr>
        <w:t>”) as of the applicable Record Date. The voting power represented by the Stockholder Shares, if any, that exceeds thirty percent (30%) of the total voting power of the Shares issued and outstanding and entitled to vote as of the Record Date shall be referred to as the “</w:t>
      </w:r>
      <w:r>
        <w:rPr>
          <w:rFonts w:ascii="Times New Roman" w:cs="Times New Roman" w:eastAsia="Times New Roman" w:hAnsi="Times New Roman"/>
          <w:sz w:val="18"/>
          <w:szCs w:val="18"/>
          <w:b w:val="1"/>
          <w:bCs w:val="1"/>
          <w:u w:val="single" w:color="auto"/>
          <w:color w:val="auto"/>
        </w:rPr>
        <w:t>Excess Amount</w:t>
      </w:r>
      <w:r>
        <w:rPr>
          <w:rFonts w:ascii="Times New Roman" w:cs="Times New Roman" w:eastAsia="Times New Roman" w:hAnsi="Times New Roman"/>
          <w:sz w:val="18"/>
          <w:szCs w:val="18"/>
          <w:color w:val="auto"/>
        </w:rPr>
        <w:t>.” The Stockholder hereby agrees that the Stockholder Shares having voting power equal to the Excess Amount (the “</w:t>
      </w:r>
      <w:r>
        <w:rPr>
          <w:rFonts w:ascii="Times New Roman" w:cs="Times New Roman" w:eastAsia="Times New Roman" w:hAnsi="Times New Roman"/>
          <w:sz w:val="18"/>
          <w:szCs w:val="18"/>
          <w:b w:val="1"/>
          <w:bCs w:val="1"/>
          <w:u w:val="single" w:color="auto"/>
          <w:color w:val="auto"/>
        </w:rPr>
        <w:t>Excess Shares</w:t>
      </w:r>
      <w:r>
        <w:rPr>
          <w:rFonts w:ascii="Times New Roman" w:cs="Times New Roman" w:eastAsia="Times New Roman" w:hAnsi="Times New Roman"/>
          <w:sz w:val="18"/>
          <w:szCs w:val="18"/>
          <w:color w:val="auto"/>
        </w:rPr>
        <w:t xml:space="preserve">”) shall be voted as to any Stockholder Matter solely as contemplated by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For the avoidance of doubt, except as expressly set forth herein, the Stockholder and its Affiliates shall be permitted to vote or cause to be voted (whether at a meeting of stockholders or by written consent) all of the shares of capital stock of the Company beneficially owned by them in their respective sole and absolute discretion.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xml:space="preserve">” means, with respect to any specified Person, any Person that, directly or indirectly through one or more entities, controls or is controlled by, or is under common control with, such specified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neither the Company nor the VIH Sponsor (as defined in the Merger Agreement) shall be deemed an Affiliate of the Stockholder for purposes of this Agreement.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 Beneficial ownership shall be determined in the manner required by Rule 13d-3 promulgated under the Securities Exchange Act of 1934.</w:t>
      </w:r>
    </w:p>
    <w:p>
      <w:pPr>
        <w:spacing w:after="0" w:line="79" w:lineRule="exact"/>
        <w:rPr>
          <w:rFonts w:ascii="Times New Roman" w:cs="Times New Roman" w:eastAsia="Times New Roman" w:hAnsi="Times New Roman"/>
          <w:sz w:val="18"/>
          <w:szCs w:val="18"/>
          <w:color w:val="auto"/>
        </w:rPr>
      </w:pPr>
    </w:p>
    <w:p>
      <w:pPr>
        <w:ind w:firstLine="444"/>
        <w:spacing w:after="0" w:line="252" w:lineRule="auto"/>
        <w:tabs>
          <w:tab w:leader="none" w:pos="61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color w:val="auto"/>
        </w:rPr>
        <w:t>. Upon the determination of the existence of any Excess Shares with respect to a Record Date, the Stockholder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appoints the person designated by the Board of Directors of the Company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in writing (the “</w:t>
      </w:r>
      <w:r>
        <w:rPr>
          <w:rFonts w:ascii="Times New Roman" w:cs="Times New Roman" w:eastAsia="Times New Roman" w:hAnsi="Times New Roman"/>
          <w:sz w:val="18"/>
          <w:szCs w:val="18"/>
          <w:b w:val="1"/>
          <w:bCs w:val="1"/>
          <w:u w:val="single" w:color="auto"/>
          <w:color w:val="auto"/>
        </w:rPr>
        <w:t>Proxy Designee</w:t>
      </w:r>
      <w:r>
        <w:rPr>
          <w:rFonts w:ascii="Times New Roman" w:cs="Times New Roman" w:eastAsia="Times New Roman" w:hAnsi="Times New Roman"/>
          <w:sz w:val="18"/>
          <w:szCs w:val="18"/>
          <w:color w:val="auto"/>
        </w:rPr>
        <w:t xml:space="preserve">”) as its proxy and attorney-in-fact, with full power of substitution and resubstitution, to vote or act by written consent all Excess Shares the Stockholder holds as of such Record Date on the applicable Stockholder Matter in the manner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Excess Shares. The power of attorney granted by the Stockholder herein is a durable power of attorney and shall survive the dissolution, insolvency or bankruptcy of the Stockholder. The proxy and power of attorney granted hereunder shall be in effect during the term of this Agreement and shall terminate automatically upon the termination of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246" w:name="page247"/>
    <w:bookmarkEnd w:id="246"/>
    <w:p>
      <w:pPr>
        <w:ind w:right="20" w:firstLine="444"/>
        <w:spacing w:after="0" w:line="259" w:lineRule="auto"/>
        <w:tabs>
          <w:tab w:leader="none" w:pos="61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Obligations to Vote Excess Shares</w:t>
      </w:r>
      <w:r>
        <w:rPr>
          <w:rFonts w:ascii="Times New Roman" w:cs="Times New Roman" w:eastAsia="Times New Roman" w:hAnsi="Times New Roman"/>
          <w:sz w:val="18"/>
          <w:szCs w:val="18"/>
          <w:color w:val="auto"/>
        </w:rPr>
        <w:t>. The Company shall instruct the Proxy Designee to vote any Excess Shares such Proxy Designee is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on any Stockholder Matter in the same percentages for and against such Stockholder Matter as votes were cast for and against such Stockholder Matter by all stockholders of the Company other than the Stockholder (ignoring, for purposes of making these calculations, abstentions and broker nonvotes).</w:t>
      </w:r>
    </w:p>
    <w:p>
      <w:pPr>
        <w:spacing w:after="0" w:line="69" w:lineRule="exact"/>
        <w:rPr>
          <w:rFonts w:ascii="Times New Roman" w:cs="Times New Roman" w:eastAsia="Times New Roman" w:hAnsi="Times New Roman"/>
          <w:sz w:val="18"/>
          <w:szCs w:val="18"/>
          <w:color w:val="auto"/>
        </w:rPr>
      </w:pPr>
    </w:p>
    <w:p>
      <w:pPr>
        <w:ind w:right="20" w:firstLine="444"/>
        <w:spacing w:after="0" w:line="259" w:lineRule="auto"/>
        <w:tabs>
          <w:tab w:leader="none" w:pos="61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w:t>
      </w:r>
      <w:r>
        <w:rPr>
          <w:rFonts w:ascii="Times New Roman" w:cs="Times New Roman" w:eastAsia="Times New Roman" w:hAnsi="Times New Roman"/>
          <w:sz w:val="18"/>
          <w:szCs w:val="18"/>
          <w:color w:val="auto"/>
        </w:rPr>
        <w:t>. The Stockholder represents and warrants to the Company that (a) it has not, prior to the date of this Agreement, executed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any proxy or entered into any other voting agreement or similar arrangement with respect to the Stockholder Shares, and (b) the Stockholder has full power and capacity to execute, deliver and perform this Agreement, which has been duly executed and delivered by, and evidences the valid and binding obligation of, the Stockholder, enforceable in accordance with its terms.</w:t>
      </w:r>
    </w:p>
    <w:p>
      <w:pPr>
        <w:spacing w:after="0" w:line="69"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by such party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Stockholder</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Intercontinental Exchange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5660 New Northside Drive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Atlanta, Georgia 30328</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legal-notices@theice.com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247" w:name="page248"/>
    <w:bookmarkEnd w:id="247"/>
    <w:p>
      <w:pPr>
        <w:ind w:right="180" w:firstLine="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with respect to the specific subject matter hereof of voting of the Excess Shares. Any and all previous agreements and understandings between or among the parties regarding the specific subject matter hereof of voting the Excess Shares, whether written or oral, are superseded by this Agreement; provided that, except with respect to the voting of the Excess Shares as expressly provided herein, this Agreement shall not be deemed to supersede the Organizational Documents (as defined in the Merger Agreement) of the Company, including the Stockholders Agreement.</w:t>
      </w:r>
    </w:p>
    <w:p>
      <w:pPr>
        <w:spacing w:after="0" w:line="73"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Neither of the parties may assign its rights or obligations hereunder without the prior written consent of the other party. No assignment shall relieve the assigning party of any of its obligations hereunder.</w:t>
      </w:r>
    </w:p>
    <w:p>
      <w:pPr>
        <w:spacing w:after="0" w:line="63"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63"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w:t>
      </w:r>
    </w:p>
    <w:p>
      <w:pPr>
        <w:spacing w:after="0" w:line="63"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Submission to Jurisdiction; WAIVER OF JURY TRIAL</w:t>
      </w:r>
      <w:r>
        <w:rPr>
          <w:rFonts w:ascii="Times New Roman" w:cs="Times New Roman" w:eastAsia="Times New Roman" w:hAnsi="Times New Roman"/>
          <w:sz w:val="18"/>
          <w:szCs w:val="18"/>
          <w:color w:val="auto"/>
        </w:rPr>
        <w:t xml:space="preserve">. Each of the parties (i) irrevocably and unconditionally submits to the exclusive personal jurisdiction of the Court of Chancery of the State of Delaware,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however, shall affect the right of any party to serve legal process in any other manner permitted by law. TO THE FULLEST EXTENT PERMITTED BY APPLICABLE LAW, EACH PARTY HEREBY IRREVOCABLY AND UNCONDITIONALLY WAIVES ALL RIGHTS TO TRIAL BY JURY IN ANY ACTION OR PROCEEDING CONTEMPLATED HEREBY.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248" w:name="page249"/>
    <w:bookmarkEnd w:id="248"/>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5.7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acknowledges that the other party will be irreparably harmed and that there will be no adequate remedy at law for any violation by any party of any of the covenants or agreements contained in this Agreement.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party’s covenants and agreements contained in this Agreement,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and to enforce specifically the terms and provisions of this Agreement shall not be required to provide any bond or other security in connection with such order or injunction.</w:t>
      </w:r>
    </w:p>
    <w:p>
      <w:pPr>
        <w:spacing w:after="0" w:line="73"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71"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Agreement may be amended by the parties at any time by execution of an instrument in writing signed on behalf of each of the parties. Any amendment of this Agreement must be approved by the Board or a committee thereof, in each case, with any director that the Stockholder is entitled to nominate pursuant to the Stockholders Agreement, dated as of the Effective Date (as it may be amended from time to time), by and among the Corporation and the other parties thereto (the “</w:t>
      </w:r>
      <w:r>
        <w:rPr>
          <w:rFonts w:ascii="Times New Roman" w:cs="Times New Roman" w:eastAsia="Times New Roman" w:hAnsi="Times New Roman"/>
          <w:sz w:val="18"/>
          <w:szCs w:val="18"/>
          <w:b w:val="1"/>
          <w:bCs w:val="1"/>
          <w:u w:val="single" w:color="auto"/>
          <w:color w:val="auto"/>
        </w:rPr>
        <w:t>Stockholders Agreement</w:t>
      </w:r>
      <w:r>
        <w:rPr>
          <w:rFonts w:ascii="Times New Roman" w:cs="Times New Roman" w:eastAsia="Times New Roman" w:hAnsi="Times New Roman"/>
          <w:sz w:val="18"/>
          <w:szCs w:val="18"/>
          <w:color w:val="auto"/>
        </w:rPr>
        <w:t>”), abstaining. Any extension or waiver by any party of any provision hereto shall be valid only if set forth in an instrument in writing signed on behalf of such party.</w:t>
      </w:r>
    </w:p>
    <w:p>
      <w:pPr>
        <w:spacing w:after="0" w:line="73" w:lineRule="exact"/>
        <w:rPr>
          <w:sz w:val="20"/>
          <w:szCs w:val="20"/>
          <w:color w:val="auto"/>
        </w:rPr>
      </w:pPr>
    </w:p>
    <w:p>
      <w:pPr>
        <w:ind w:righ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terminate without any further action by either of the parties if the voting power represented by the Stockholder Shares beneficially owned by the Stockholder and its Affiliates falls below fifty percent (50%) of the total voting power of the Shares issued and outstanding and entitled to vote at any time, regardless of how that event is brought about, including by sale of Shares to any Person that is not an Affiliate of the Stockholder. Once this Agreement terminates, it shall not spring back into effect for any reason, including the acquisition by the Stockholder of additional securities of the Company.</w:t>
      </w:r>
    </w:p>
    <w:p>
      <w:pPr>
        <w:spacing w:after="0" w:line="73"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Absence of Third Party Beneficiary Rights</w:t>
      </w:r>
      <w:r>
        <w:rPr>
          <w:rFonts w:ascii="Times New Roman" w:cs="Times New Roman" w:eastAsia="Times New Roman" w:hAnsi="Times New Roman"/>
          <w:sz w:val="18"/>
          <w:szCs w:val="18"/>
          <w:color w:val="auto"/>
        </w:rPr>
        <w:t>.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w:t>
      </w:r>
    </w:p>
    <w:p>
      <w:pPr>
        <w:spacing w:after="0" w:line="63"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No Limitations in Capacity as Director or Officer</w:t>
      </w:r>
      <w:r>
        <w:rPr>
          <w:rFonts w:ascii="Times New Roman" w:cs="Times New Roman" w:eastAsia="Times New Roman" w:hAnsi="Times New Roman"/>
          <w:sz w:val="18"/>
          <w:szCs w:val="18"/>
          <w:color w:val="auto"/>
        </w:rPr>
        <w:t>. The Stockholder is signing this Agreement solely in its capacity as a beneficial owner of the Stockholder Shares, and nothing contained in this Agreement shall prohibit, prevent, preclude, or restrict any designee of Stockholder from taking or not taking any action in its capacity as an officer or director of the Company.</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480" w:top="264" w:right="539" w:bottom="1440" w:gutter="0" w:footer="0" w:header="0"/>
        </w:sectPr>
      </w:pPr>
    </w:p>
    <w:bookmarkStart w:id="249" w:name="page250"/>
    <w:bookmarkEnd w:id="249"/>
    <w:p>
      <w:pPr>
        <w:ind w:firstLine="43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5.13 </w:t>
      </w:r>
      <w:r>
        <w:rPr>
          <w:rFonts w:ascii="Times New Roman" w:cs="Times New Roman" w:eastAsia="Times New Roman" w:hAnsi="Times New Roman"/>
          <w:sz w:val="18"/>
          <w:szCs w:val="18"/>
          <w:b w:val="1"/>
          <w:bCs w:val="1"/>
          <w:u w:val="single" w:color="auto"/>
          <w:color w:val="auto"/>
        </w:rPr>
        <w:t>Recapitalization</w:t>
      </w:r>
      <w:r>
        <w:rPr>
          <w:rFonts w:ascii="Times New Roman" w:cs="Times New Roman" w:eastAsia="Times New Roman" w:hAnsi="Times New Roman"/>
          <w:sz w:val="18"/>
          <w:szCs w:val="18"/>
          <w:color w:val="auto"/>
        </w:rPr>
        <w:t xml:space="preserve">. In case of any reclassification, capital reorganization, merger or change in the Class A Shares and Class V Shares of the Company, such that such shares no longer exist in the form that they exist on the date of this Agreement, then this Agreement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to the class or classes of securities of the Company then outstanding and owned by the Stockholder and its Affiliates that have the right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election of directors (or their functional equivalents) of the Company.</w:t>
      </w:r>
    </w:p>
    <w:p>
      <w:pPr>
        <w:spacing w:after="0" w:line="69" w:lineRule="exact"/>
        <w:rPr>
          <w:sz w:val="20"/>
          <w:szCs w:val="20"/>
          <w:color w:val="auto"/>
        </w:rPr>
      </w:pPr>
    </w:p>
    <w:p>
      <w:pPr>
        <w:ind w:right="300" w:firstLine="436"/>
        <w:spacing w:after="0" w:line="313"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b w:val="1"/>
          <w:bCs w:val="1"/>
          <w:u w:val="single" w:color="auto"/>
          <w:color w:val="auto"/>
        </w:rPr>
        <w:t>Mutual Drafting</w:t>
      </w:r>
      <w:r>
        <w:rPr>
          <w:rFonts w:ascii="Times New Roman" w:cs="Times New Roman" w:eastAsia="Times New Roman" w:hAnsi="Times New Roman"/>
          <w:sz w:val="17"/>
          <w:szCs w:val="17"/>
          <w:color w:val="auto"/>
        </w:rPr>
        <w:t>. This Agreement is the mutual product of the parties, and each provision hereof has been subject to the mutual consultation, negotiation and agreement of each of the parties, and shall not be construed for or against any party by virtue of the authorship thereof.</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4" w:right="5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Voting Agreement as of the date first written above.</w:t>
      </w:r>
    </w:p>
    <w:p>
      <w:pPr>
        <w:spacing w:after="0" w:line="24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ectPr>
          <w:pgSz w:w="11900" w:h="16838" w:orient="portrait"/>
          <w:cols w:equalWidth="0" w:num="1">
            <w:col w:w="10120"/>
          </w:cols>
          <w:pgMar w:left="920" w:top="264" w:right="85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F</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STOCKHOLDERS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2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 2021</w:t>
      </w:r>
    </w:p>
    <w:p>
      <w:pPr>
        <w:sectPr>
          <w:pgSz w:w="11900" w:h="16838" w:orient="portrait"/>
          <w:cols w:equalWidth="0" w:num="1">
            <w:col w:w="9960"/>
          </w:cols>
          <w:pgMar w:left="1440" w:top="264" w:right="49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20" w:type="dxa"/>
            <w:vAlign w:val="bottom"/>
          </w:tcPr>
          <w:p>
            <w:pPr>
              <w:jc w:val="right"/>
              <w:ind w:right="463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69"/>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Election of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Compensation; Reimbursement of Expenses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D&amp;O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Sharing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RESTRICTIONS ON TRANSFER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General Restrictions on Transfer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Permitted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Miscellaneous Provisions Relating to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GENERAL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Waiver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Third-Party Beneficiaries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Jurisdiction; WAIVER OF JURY TRIAL</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4.12  Table of Contents, Headings and Captions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4.14  Subsequent Acquisition of Securities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STOCKHOLDERS AGREEMENT</w:t>
      </w:r>
    </w:p>
    <w:p>
      <w:pPr>
        <w:spacing w:after="0" w:line="225"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This Stockholders Agreement is entered into as of [•], 2021, by and among (i) Bakkt Holdings, Inc.,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(ii) each of the parties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Bakkt Equity 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and (iii) VPC Impact Acquisition Holdings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together with the Bakkt Equity Holders,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WHEREAS, Pubco, Pylon Merger Company LLC, a Delaware limited liability company and wholly 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entered into that certain Agreement and Plan of Merger, dated as of January 11, 2021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merged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being the surviving limited liability company of the Merger;</w:t>
      </w:r>
    </w:p>
    <w:p>
      <w:pPr>
        <w:spacing w:after="0" w:line="180"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8"/>
          <w:szCs w:val="18"/>
          <w:color w:val="auto"/>
        </w:rPr>
        <w:t>WHEREAS, (i) prior to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Times New Roman" w:cs="Times New Roman" w:eastAsia="Times New Roman" w:hAnsi="Times New Roman"/>
          <w:sz w:val="18"/>
          <w:szCs w:val="18"/>
          <w:u w:val="single" w:color="auto"/>
          <w:color w:val="auto"/>
        </w:rPr>
        <w:t>Pubco Common Stock Conversion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8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0"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ectPr>
          <w:pgSz w:w="11900" w:h="16838" w:orient="portrait"/>
          <w:cols w:equalWidth="0" w:num="1">
            <w:col w:w="10900"/>
          </w:cols>
          <w:pgMar w:left="480" w:top="264" w:right="519" w:bottom="1440" w:gutter="0" w:footer="0" w:header="0"/>
        </w:sectPr>
      </w:pPr>
    </w:p>
    <w:bookmarkStart w:id="255" w:name="page256"/>
    <w:bookmarkEnd w:id="255"/>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NOW, THEREFORE, in consideration of the premises set forth above and of the mutual representations, warranties, covenants and agreements herein contained, and for other good and valuable consideration, the receipt and sufficiency of which are hereby acknowledged, Pubco and the Stockholders, intending to be legally bound, hereby agree as follows:</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this Agreement, the following terms have the following meanings:</w:t>
      </w:r>
    </w:p>
    <w:p>
      <w:pPr>
        <w:spacing w:after="0" w:line="118"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a Person that directly, or indirectly through one or more intermediaries, Controls, or is Controlled by, or is under common Control with, such specified Person.</w:t>
      </w:r>
    </w:p>
    <w:p>
      <w:pPr>
        <w:spacing w:after="0" w:line="162"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Stockholders Agreement, as the same may be amended, supplemented, restated or otherwise modified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 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 Lock-Up Shares</w:t>
      </w:r>
      <w:r>
        <w:rPr>
          <w:rFonts w:ascii="Times New Roman" w:cs="Times New Roman" w:eastAsia="Times New Roman" w:hAnsi="Times New Roman"/>
          <w:sz w:val="18"/>
          <w:szCs w:val="18"/>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Common Units</w:t>
      </w:r>
      <w:r>
        <w:rPr>
          <w:rFonts w:ascii="Times New Roman" w:cs="Times New Roman" w:eastAsia="Times New Roman" w:hAnsi="Times New Roman"/>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34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LLC Agreement</w:t>
      </w:r>
      <w:r>
        <w:rPr>
          <w:rFonts w:ascii="Times New Roman" w:cs="Times New Roman" w:eastAsia="Times New Roman" w:hAnsi="Times New Roman"/>
          <w:sz w:val="18"/>
          <w:szCs w:val="18"/>
          <w:color w:val="auto"/>
        </w:rPr>
        <w:t>” means the Third Amended and Restated LLC Agreement of Bakkt Opco, dated as of [•], 2021, by and among Bakkt Opco, Pubco and the Bakkt Equity Holders, as the same may be amended, supplemented, restated or otherwise modified from time to time in accordance with the terms thereof.</w:t>
      </w:r>
    </w:p>
    <w:p>
      <w:pPr>
        <w:spacing w:after="0" w:line="175"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set forth in Rule 13d-3 promulgated under the Exchange Act. The terms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shall have correlative meanings.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Pubco.</w:t>
      </w:r>
    </w:p>
    <w:p>
      <w:pPr>
        <w:spacing w:after="0" w:line="221"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80"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by-laws of Pubco, adopted on or substantially around the date of this Agreement, as the same may be amended or restated from time to time.</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8" w:right="539" w:bottom="1440" w:gutter="0" w:footer="0" w:header="0"/>
        </w:sectPr>
      </w:pPr>
    </w:p>
    <w:bookmarkStart w:id="256" w:name="page257"/>
    <w:bookmarkEnd w:id="256"/>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I Director</w:t>
      </w:r>
      <w:r>
        <w:rPr>
          <w:rFonts w:ascii="Times New Roman" w:cs="Times New Roman" w:eastAsia="Times New Roman" w:hAnsi="Times New Roman"/>
          <w:sz w:val="18"/>
          <w:szCs w:val="18"/>
          <w:color w:val="auto"/>
        </w:rPr>
        <w:t>” has the meaning set forth in the Certificate of Incorporation.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II Director</w:t>
      </w:r>
      <w:r>
        <w:rPr>
          <w:rFonts w:ascii="Times New Roman" w:cs="Times New Roman" w:eastAsia="Times New Roman" w:hAnsi="Times New Roman"/>
          <w:sz w:val="18"/>
          <w:szCs w:val="18"/>
          <w:color w:val="auto"/>
        </w:rPr>
        <w:t>” has the meaning set forth in the Certificate of Incorporation.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III Director</w:t>
      </w:r>
      <w:r>
        <w:rPr>
          <w:rFonts w:ascii="Times New Roman" w:cs="Times New Roman" w:eastAsia="Times New Roman" w:hAnsi="Times New Roman"/>
          <w:sz w:val="18"/>
          <w:szCs w:val="18"/>
          <w:color w:val="auto"/>
        </w:rPr>
        <w:t>” has the meaning set forth in the Certificate of Incorporation.</w:t>
      </w:r>
    </w:p>
    <w:p>
      <w:pPr>
        <w:spacing w:after="0" w:line="221" w:lineRule="exact"/>
        <w:rPr>
          <w:sz w:val="20"/>
          <w:szCs w:val="20"/>
          <w:color w:val="auto"/>
        </w:rPr>
      </w:pPr>
    </w:p>
    <w:p>
      <w:pPr>
        <w:ind w:right="60" w:firstLine="43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right="100" w:firstLine="7"/>
        <w:spacing w:after="0" w:line="250" w:lineRule="auto"/>
        <w:tabs>
          <w:tab w:leader="none" w:pos="25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87" w:lineRule="exact"/>
        <w:rPr>
          <w:sz w:val="20"/>
          <w:szCs w:val="20"/>
          <w:color w:val="auto"/>
        </w:rPr>
      </w:pPr>
    </w:p>
    <w:p>
      <w:pPr>
        <w:ind w:right="40" w:firstLine="43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V Common Stock</w:t>
      </w:r>
      <w:r>
        <w:rPr>
          <w:rFonts w:ascii="Times New Roman" w:cs="Times New Roman" w:eastAsia="Times New Roman" w:hAnsi="Times New Roman"/>
          <w:sz w:val="17"/>
          <w:szCs w:val="17"/>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right="360" w:firstLine="7"/>
        <w:spacing w:after="0" w:line="256" w:lineRule="auto"/>
        <w:tabs>
          <w:tab w:leader="none" w:pos="25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given to such term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given to such term in the Merger Agreement.</w:t>
      </w:r>
    </w:p>
    <w:p>
      <w:pPr>
        <w:spacing w:after="0" w:line="221" w:lineRule="exact"/>
        <w:rPr>
          <w:sz w:val="20"/>
          <w:szCs w:val="20"/>
          <w:color w:val="auto"/>
        </w:rPr>
      </w:pPr>
    </w:p>
    <w:p>
      <w:pPr>
        <w:ind w:right="3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75"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7" w:lineRule="exact"/>
        <w:rPr>
          <w:sz w:val="20"/>
          <w:szCs w:val="20"/>
          <w:color w:val="auto"/>
        </w:rPr>
      </w:pPr>
    </w:p>
    <w:p>
      <w:pPr>
        <w:ind w:left="440" w:right="1140" w:firstLine="423"/>
        <w:spacing w:after="0" w:line="278" w:lineRule="auto"/>
        <w:tabs>
          <w:tab w:leader="none" w:pos="110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such Stockholder or any of its Designated Representatives in violation of this Agreement;</w:t>
      </w:r>
    </w:p>
    <w:p>
      <w:pPr>
        <w:spacing w:after="0" w:line="55" w:lineRule="exact"/>
        <w:rPr>
          <w:rFonts w:ascii="Times New Roman" w:cs="Times New Roman" w:eastAsia="Times New Roman" w:hAnsi="Times New Roman"/>
          <w:sz w:val="18"/>
          <w:szCs w:val="18"/>
          <w:color w:val="auto"/>
        </w:rPr>
      </w:pPr>
    </w:p>
    <w:p>
      <w:pPr>
        <w:ind w:left="440" w:firstLine="423"/>
        <w:spacing w:after="0" w:line="263" w:lineRule="auto"/>
        <w:tabs>
          <w:tab w:leader="none" w:pos="111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257" w:name="page258"/>
    <w:bookmarkEnd w:id="257"/>
    <w:p>
      <w:pPr>
        <w:ind w:left="440" w:right="260" w:firstLine="423"/>
        <w:spacing w:after="0" w:line="263" w:lineRule="auto"/>
        <w:tabs>
          <w:tab w:leader="none" w:pos="110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that is received by such Stockholder or any of its Designated Representatives from a source other than Pubco or its Designated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68" w:lineRule="exact"/>
        <w:rPr>
          <w:rFonts w:ascii="Times New Roman" w:cs="Times New Roman" w:eastAsia="Times New Roman" w:hAnsi="Times New Roman"/>
          <w:sz w:val="18"/>
          <w:szCs w:val="18"/>
          <w:color w:val="auto"/>
        </w:rPr>
      </w:pPr>
    </w:p>
    <w:p>
      <w:pPr>
        <w:ind w:left="440" w:right="200" w:firstLine="423"/>
        <w:spacing w:after="0" w:line="278" w:lineRule="auto"/>
        <w:tabs>
          <w:tab w:leader="none" w:pos="111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55" w:lineRule="exact"/>
        <w:rPr>
          <w:rFonts w:ascii="Times New Roman" w:cs="Times New Roman" w:eastAsia="Times New Roman" w:hAnsi="Times New Roman"/>
          <w:sz w:val="18"/>
          <w:szCs w:val="18"/>
          <w:color w:val="auto"/>
        </w:rPr>
      </w:pPr>
    </w:p>
    <w:p>
      <w:pPr>
        <w:ind w:left="440" w:right="20" w:firstLine="423"/>
        <w:spacing w:after="0" w:line="274" w:lineRule="auto"/>
        <w:tabs>
          <w:tab w:leader="none" w:pos="1101"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such Stockholder or any of its Designated Representatives is required or requested, in the good faith determination of such Stockholder or such Designated Representative, to disclose by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Stockholder or such Designated Representative,</w:t>
      </w:r>
    </w:p>
    <w:p>
      <w:pPr>
        <w:ind w:left="440" w:right="80" w:firstLine="4"/>
        <w:spacing w:after="0" w:line="250" w:lineRule="auto"/>
        <w:tabs>
          <w:tab w:leader="none" w:pos="65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87"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75"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Entity</w:t>
      </w:r>
      <w:r>
        <w:rPr>
          <w:rFonts w:ascii="Times New Roman" w:cs="Times New Roman" w:eastAsia="Times New Roman" w:hAnsi="Times New Roman"/>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8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Representatives</w:t>
      </w:r>
      <w:r>
        <w:rPr>
          <w:rFonts w:ascii="Times New Roman" w:cs="Times New Roman" w:eastAsia="Times New Roman" w:hAnsi="Times New Roman"/>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member of the Board from time to time.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has the meaning set forth in the Recitals.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258" w:name="page259"/>
    <w:bookmarkEnd w:id="258"/>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84"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they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as of [•], 2021, by and among Pubco, Bakkt Opco and the other parties thereto.</w:t>
      </w:r>
    </w:p>
    <w:p>
      <w:pPr>
        <w:spacing w:after="0" w:line="221"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means Intercontinental Exchange Holdings, Inc., a Delaware corporation.</w:t>
      </w:r>
    </w:p>
    <w:p>
      <w:pPr>
        <w:spacing w:after="0" w:line="221"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Board</w:t>
      </w:r>
      <w:r>
        <w:rPr>
          <w:rFonts w:ascii="Times New Roman" w:cs="Times New Roman" w:eastAsia="Times New Roman" w:hAnsi="Times New Roman"/>
          <w:sz w:val="18"/>
          <w:szCs w:val="18"/>
          <w:color w:val="auto"/>
        </w:rPr>
        <w:t>” means the Board of Directors of Pubco immediately following the consummation of the Transactions.</w:t>
      </w:r>
    </w:p>
    <w:p>
      <w:pPr>
        <w:spacing w:after="0" w:line="221"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means that certain letter agreement, dated as of September 22, 2020, by and among Pubco, the Sponsor and the other signatories thereto.</w:t>
      </w:r>
    </w:p>
    <w:p>
      <w:pPr>
        <w:spacing w:after="0" w:line="162" w:lineRule="exact"/>
        <w:rPr>
          <w:sz w:val="20"/>
          <w:szCs w:val="20"/>
          <w:color w:val="auto"/>
        </w:rPr>
      </w:pPr>
    </w:p>
    <w:p>
      <w:pPr>
        <w:ind w:right="180" w:firstLine="43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Periods</w:t>
      </w:r>
      <w:r>
        <w:rPr>
          <w:rFonts w:ascii="Times New Roman" w:cs="Times New Roman" w:eastAsia="Times New Roman" w:hAnsi="Times New Roman"/>
          <w:sz w:val="18"/>
          <w:szCs w:val="18"/>
          <w:color w:val="auto"/>
        </w:rPr>
        <w:t>” means the Bakkt Equity Holders Lock-Up Period, the Private Placement Lock-Up Period and the Sponsor Lock-Up Period.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means the Bakkt Equity Holders Lock-Up Shares, the Private Placement Lock-Up Shares and the Sponsor Lock-Up Shares.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480" w:top="268" w:right="579" w:bottom="1440" w:gutter="0" w:footer="0" w:header="0"/>
        </w:sectPr>
      </w:pPr>
    </w:p>
    <w:bookmarkStart w:id="259" w:name="page260"/>
    <w:bookmarkEnd w:id="259"/>
    <w:p>
      <w:pPr>
        <w:ind w:right="12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the New York Stock Exchange.</w:t>
      </w:r>
    </w:p>
    <w:p>
      <w:pPr>
        <w:spacing w:after="0" w:line="221" w:lineRule="exact"/>
        <w:rPr>
          <w:sz w:val="20"/>
          <w:szCs w:val="20"/>
          <w:color w:val="auto"/>
        </w:rPr>
      </w:pPr>
    </w:p>
    <w:p>
      <w:pPr>
        <w:ind w:right="100" w:firstLine="43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1" w:lineRule="exact"/>
        <w:rPr>
          <w:sz w:val="20"/>
          <w:szCs w:val="20"/>
          <w:color w:val="auto"/>
        </w:rPr>
      </w:pPr>
    </w:p>
    <w:p>
      <w:pPr>
        <w:ind w:right="200" w:firstLine="7"/>
        <w:spacing w:after="0" w:line="256" w:lineRule="auto"/>
        <w:tabs>
          <w:tab w:leader="none" w:pos="24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 Stockholder: (a) any Sponsor Member, (b) any Immediate Family Member of such Stockholder,</w:t>
      </w:r>
    </w:p>
    <w:p>
      <w:pPr>
        <w:spacing w:after="0" w:line="26" w:lineRule="exact"/>
        <w:rPr>
          <w:sz w:val="20"/>
          <w:szCs w:val="20"/>
          <w:color w:val="auto"/>
        </w:rPr>
      </w:pPr>
    </w:p>
    <w:p>
      <w:pPr>
        <w:ind w:right="540" w:firstLine="7"/>
        <w:spacing w:after="0" w:line="256" w:lineRule="auto"/>
        <w:tabs>
          <w:tab w:leader="none" w:pos="24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such Stockholder, (d) any Affiliate of any Sponsor Member or any Immediate Family Member of such Stockholder, or (e) any Controlled Entity of such Stockholder.</w:t>
      </w:r>
    </w:p>
    <w:p>
      <w:pPr>
        <w:spacing w:after="0" w:line="182"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Private Placement Lock-Up Period</w:t>
      </w:r>
      <w:r>
        <w:rPr>
          <w:rFonts w:ascii="Times New Roman" w:cs="Times New Roman" w:eastAsia="Times New Roman" w:hAnsi="Times New Roman"/>
          <w:sz w:val="17"/>
          <w:szCs w:val="17"/>
          <w:color w:val="auto"/>
        </w:rPr>
        <w:t>” means the Private Placement Warrants Lock-up Period (as defined in the Insider Letter as of the date hereof).</w:t>
      </w:r>
    </w:p>
    <w:p>
      <w:pPr>
        <w:spacing w:after="0" w:line="232"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Lock-Up Shares</w:t>
      </w:r>
      <w:r>
        <w:rPr>
          <w:rFonts w:ascii="Times New Roman" w:cs="Times New Roman" w:eastAsia="Times New Roman" w:hAnsi="Times New Roman"/>
          <w:sz w:val="18"/>
          <w:szCs w:val="18"/>
          <w:color w:val="auto"/>
        </w:rPr>
        <w:t>” means the Sponsor Warrants and any shares of Class A Common Stock resulting from the exercise of any Sponsor Warrant.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 Common Stock Conversion</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Stockholder</w:t>
      </w:r>
      <w:r>
        <w:rPr>
          <w:rFonts w:ascii="Times New Roman" w:cs="Times New Roman" w:eastAsia="Times New Roman" w:hAnsi="Times New Roman"/>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4"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they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Lock-Up Period</w:t>
      </w:r>
      <w:r>
        <w:rPr>
          <w:rFonts w:ascii="Times New Roman" w:cs="Times New Roman" w:eastAsia="Times New Roman" w:hAnsi="Times New Roman"/>
          <w:sz w:val="18"/>
          <w:szCs w:val="18"/>
          <w:color w:val="auto"/>
        </w:rPr>
        <w:t>” means the Founder Shares Lock-up Period (as defined in the Insider Letter as of the date hereof).</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260" w:name="page261"/>
    <w:bookmarkEnd w:id="260"/>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Sponsor Lock-Up Shares</w:t>
      </w:r>
      <w:r>
        <w:rPr>
          <w:rFonts w:ascii="Times New Roman" w:cs="Times New Roman" w:eastAsia="Times New Roman" w:hAnsi="Times New Roman"/>
          <w:sz w:val="18"/>
          <w:szCs w:val="18"/>
          <w:color w:val="auto"/>
        </w:rPr>
        <w:t xml:space="preserve">” means the Equity Securities of Pubco, including shares of Class A Common Stock, Beneficially Owned or otherwise held, directly or indirectly, by the Sponsor;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Member</w:t>
      </w:r>
      <w:r>
        <w:rPr>
          <w:rFonts w:ascii="Times New Roman" w:cs="Times New Roman" w:eastAsia="Times New Roman" w:hAnsi="Times New Roman"/>
          <w:sz w:val="18"/>
          <w:szCs w:val="18"/>
          <w:color w:val="auto"/>
        </w:rPr>
        <w:t>” means any direct or indirect equityholder of Sponsor as of the date of this Agreement.</w:t>
      </w:r>
    </w:p>
    <w:p>
      <w:pPr>
        <w:spacing w:after="0" w:line="221" w:lineRule="exact"/>
        <w:rPr>
          <w:sz w:val="20"/>
          <w:szCs w:val="20"/>
          <w:color w:val="auto"/>
        </w:rPr>
      </w:pPr>
    </w:p>
    <w:p>
      <w:pPr>
        <w:jc w:val="both"/>
        <w:ind w:right="2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Warrants</w:t>
      </w:r>
      <w:r>
        <w:rPr>
          <w:rFonts w:ascii="Times New Roman" w:cs="Times New Roman" w:eastAsia="Times New Roman" w:hAnsi="Times New Roman"/>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87" w:lineRule="exact"/>
        <w:rPr>
          <w:sz w:val="20"/>
          <w:szCs w:val="20"/>
          <w:color w:val="auto"/>
        </w:rPr>
      </w:pPr>
    </w:p>
    <w:p>
      <w:pPr>
        <w:ind w:right="44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Purchaser</w:t>
      </w:r>
      <w:r>
        <w:rPr>
          <w:rFonts w:ascii="Times New Roman" w:cs="Times New Roman" w:eastAsia="Times New Roman" w:hAnsi="Times New Roman"/>
          <w:sz w:val="18"/>
          <w:szCs w:val="18"/>
          <w:color w:val="auto"/>
        </w:rPr>
        <w:t>” means any Person who, immediately prior to the contemplated transaction, does not Beneficially Own or directly or indirectly have the right to acquire any outstanding Common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16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other forms of the word “Transfer” shall have correlative meanings.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Unaffiliated Directors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and no rule of strict construction will be applied against any party. When used in this Agreement, unless the context otherwise requires: (a)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is disjunctive but not exclusive, (b) terms defined in the singular have a comparable meaning when used in the plural, and vice versa, (c) the words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261" w:name="page262"/>
    <w:bookmarkEnd w:id="2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b w:val="1"/>
          <w:bCs w:val="1"/>
          <w:u w:val="single" w:color="auto"/>
          <w:color w:val="auto"/>
        </w:rPr>
        <w:t>Election of Directors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1426"/>
        <w:spacing w:after="0" w:line="255" w:lineRule="auto"/>
        <w:tabs>
          <w:tab w:leader="none" w:pos="166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 and each Stockholder shall take all Necessary Action to cause the Initial Board to be comprised of </w:t>
      </w:r>
      <w:r>
        <w:rPr>
          <w:rFonts w:ascii="Times New Roman" w:cs="Times New Roman" w:eastAsia="Times New Roman" w:hAnsi="Times New Roman"/>
          <w:sz w:val="18"/>
          <w:szCs w:val="18"/>
          <w:b w:val="1"/>
          <w:bCs w:val="1"/>
          <w:color w:val="auto"/>
        </w:rPr>
        <w:t>[five/seven]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Directors, (i) one (1) of whom has been designated by the Sponsor (the “</w:t>
      </w:r>
      <w:r>
        <w:rPr>
          <w:rFonts w:ascii="Times New Roman" w:cs="Times New Roman" w:eastAsia="Times New Roman" w:hAnsi="Times New Roman"/>
          <w:sz w:val="18"/>
          <w:szCs w:val="18"/>
          <w:u w:val="single" w:color="auto"/>
          <w:color w:val="auto"/>
        </w:rPr>
        <w:t>Sponsor Director</w:t>
      </w:r>
      <w:r>
        <w:rPr>
          <w:rFonts w:ascii="Times New Roman" w:cs="Times New Roman" w:eastAsia="Times New Roman" w:hAnsi="Times New Roman"/>
          <w:sz w:val="18"/>
          <w:szCs w:val="18"/>
          <w:color w:val="auto"/>
        </w:rPr>
        <w:t>”), who shall initially be Gordon Watson, (ii) one (1) of whom has been designated by Bakkt Opco (the “</w:t>
      </w:r>
      <w:r>
        <w:rPr>
          <w:rFonts w:ascii="Times New Roman" w:cs="Times New Roman" w:eastAsia="Times New Roman" w:hAnsi="Times New Roman"/>
          <w:sz w:val="18"/>
          <w:szCs w:val="18"/>
          <w:u w:val="single" w:color="auto"/>
          <w:color w:val="auto"/>
        </w:rPr>
        <w:t>Bakkt Opco Director</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 </w:t>
      </w:r>
      <w:r>
        <w:rPr>
          <w:rFonts w:ascii="Times New Roman" w:cs="Times New Roman" w:eastAsia="Times New Roman" w:hAnsi="Times New Roman"/>
          <w:sz w:val="18"/>
          <w:szCs w:val="18"/>
          <w:b w:val="1"/>
          <w:bCs w:val="1"/>
          <w:color w:val="auto"/>
        </w:rPr>
        <w:t>[three/five]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of whom have been jointly designated by the Sponsor and Bakkt Opco and a majority of whom qualify as “independent directors” under NYSE listing rules (the “</w:t>
      </w:r>
      <w:r>
        <w:rPr>
          <w:rFonts w:ascii="Times New Roman" w:cs="Times New Roman" w:eastAsia="Times New Roman" w:hAnsi="Times New Roman"/>
          <w:sz w:val="18"/>
          <w:szCs w:val="18"/>
          <w:u w:val="single" w:color="auto"/>
          <w:color w:val="auto"/>
        </w:rPr>
        <w:t>Unaffiliated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color w:val="auto"/>
        </w:rPr>
        <w:t>. Pubco and each Stockholder shall take all Necessary Action to cause the foregoing Directors to be divided into three (3) classes of Directors, with each class serving for staggered three (3)-year terms as follows:</w:t>
      </w:r>
    </w:p>
    <w:p>
      <w:pPr>
        <w:spacing w:after="0" w:line="71" w:lineRule="exact"/>
        <w:rPr>
          <w:sz w:val="20"/>
          <w:szCs w:val="20"/>
          <w:color w:val="auto"/>
        </w:rPr>
      </w:pPr>
    </w:p>
    <w:p>
      <w:pPr>
        <w:ind w:left="1640" w:hanging="214"/>
        <w:spacing w:after="0"/>
        <w:tabs>
          <w:tab w:leader="none" w:pos="16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I Directors shall include </w:t>
      </w:r>
      <w:r>
        <w:rPr>
          <w:rFonts w:ascii="Times New Roman" w:cs="Times New Roman" w:eastAsia="Times New Roman" w:hAnsi="Times New Roman"/>
          <w:sz w:val="18"/>
          <w:szCs w:val="18"/>
          <w:b w:val="1"/>
          <w:bCs w:val="1"/>
          <w:color w:val="auto"/>
        </w:rPr>
        <w:t>[one/two/three]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Unaffiliated Director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80" w:hanging="254"/>
        <w:spacing w:after="0"/>
        <w:tabs>
          <w:tab w:leader="none" w:pos="16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shall include the Sponsor Director and the Bakkt Opco Director; and</w:t>
      </w:r>
    </w:p>
    <w:p>
      <w:pPr>
        <w:spacing w:after="0" w:line="109" w:lineRule="exact"/>
        <w:rPr>
          <w:rFonts w:ascii="Times New Roman" w:cs="Times New Roman" w:eastAsia="Times New Roman" w:hAnsi="Times New Roman"/>
          <w:sz w:val="18"/>
          <w:szCs w:val="18"/>
          <w:color w:val="auto"/>
        </w:rPr>
      </w:pPr>
    </w:p>
    <w:p>
      <w:pPr>
        <w:ind w:left="1740" w:hanging="314"/>
        <w:spacing w:after="0"/>
        <w:tabs>
          <w:tab w:leader="none" w:pos="17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III Directors shall include </w:t>
      </w:r>
      <w:r>
        <w:rPr>
          <w:rFonts w:ascii="Times New Roman" w:cs="Times New Roman" w:eastAsia="Times New Roman" w:hAnsi="Times New Roman"/>
          <w:sz w:val="18"/>
          <w:szCs w:val="18"/>
          <w:b w:val="1"/>
          <w:bCs w:val="1"/>
          <w:color w:val="auto"/>
        </w:rPr>
        <w:t>[one/two/three]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Unaffiliated Director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initial term of the Class I Directors shall expire at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annual meeting of stockholders of Pubco following the Closing Date at which Directors are elected. The initial term of the Class II Directors shall expire at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annual meeting of stockholders of Pubco following the Closing Date at which Directors are elected. The initial term of the Class III Directors shall expire at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annual meeting of stockholders of Pubco following the Closing Date at which Directors are elected.</w:t>
      </w:r>
    </w:p>
    <w:p>
      <w:pPr>
        <w:spacing w:after="0" w:line="73" w:lineRule="exact"/>
        <w:rPr>
          <w:sz w:val="20"/>
          <w:szCs w:val="20"/>
          <w:color w:val="auto"/>
        </w:rPr>
      </w:pPr>
    </w:p>
    <w:p>
      <w:pPr>
        <w:ind w:right="60" w:firstLine="1426"/>
        <w:spacing w:after="0" w:line="263" w:lineRule="auto"/>
        <w:tabs>
          <w:tab w:leader="none" w:pos="167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68" w:lineRule="exact"/>
        <w:rPr>
          <w:rFonts w:ascii="Times New Roman" w:cs="Times New Roman" w:eastAsia="Times New Roman" w:hAnsi="Times New Roman"/>
          <w:sz w:val="18"/>
          <w:szCs w:val="18"/>
          <w:color w:val="auto"/>
        </w:rPr>
      </w:pPr>
    </w:p>
    <w:p>
      <w:pPr>
        <w:ind w:firstLine="1426"/>
        <w:spacing w:after="0" w:line="253" w:lineRule="auto"/>
        <w:tabs>
          <w:tab w:leader="none" w:pos="166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80"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 In accordance with the Organizational Documents of Pubco, (i) the Board shall establish and maintain committees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80" w:top="264" w:right="539" w:bottom="1440" w:gutter="0" w:footer="0" w:header="0"/>
        </w:sectPr>
      </w:pPr>
    </w:p>
    <w:bookmarkStart w:id="262" w:name="page263"/>
    <w:bookmarkEnd w:id="262"/>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2.03 </w:t>
      </w:r>
      <w:r>
        <w:rPr>
          <w:rFonts w:ascii="Times New Roman" w:cs="Times New Roman" w:eastAsia="Times New Roman" w:hAnsi="Times New Roman"/>
          <w:sz w:val="18"/>
          <w:szCs w:val="18"/>
          <w:b w:val="1"/>
          <w:bCs w:val="1"/>
          <w:u w:val="single" w:color="auto"/>
          <w:color w:val="auto"/>
        </w:rPr>
        <w:t>Independent Directors</w:t>
      </w:r>
      <w:r>
        <w:rPr>
          <w:rFonts w:ascii="Times New Roman" w:cs="Times New Roman" w:eastAsia="Times New Roman" w:hAnsi="Times New Roman"/>
          <w:sz w:val="18"/>
          <w:szCs w:val="18"/>
          <w:color w:val="auto"/>
        </w:rPr>
        <w:t>. Pubco has determined that the Initial Board referenced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the requisite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76"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b w:val="1"/>
          <w:bCs w:val="1"/>
          <w:u w:val="single" w:color="auto"/>
          <w:color w:val="auto"/>
        </w:rPr>
        <w:t>Compensation; Reimbursement of Expenses</w:t>
      </w:r>
      <w:r>
        <w:rPr>
          <w:rFonts w:ascii="Times New Roman" w:cs="Times New Roman" w:eastAsia="Times New Roman" w:hAnsi="Times New Roman"/>
          <w:sz w:val="18"/>
          <w:szCs w:val="18"/>
          <w:color w:val="auto"/>
        </w:rPr>
        <w:t>. Except to the extent the Sponsor, in respect of the Sponsor Director, or 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78"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Pubco shall enter into an indemnification agreement with each of the Sponsor Director and the Bakkt Opco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89" w:lineRule="exact"/>
        <w:rPr>
          <w:sz w:val="20"/>
          <w:szCs w:val="20"/>
          <w:color w:val="auto"/>
        </w:rPr>
      </w:pPr>
    </w:p>
    <w:p>
      <w:pPr>
        <w:jc w:val="both"/>
        <w:ind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2.06 </w:t>
      </w:r>
      <w:r>
        <w:rPr>
          <w:rFonts w:ascii="Times New Roman" w:cs="Times New Roman" w:eastAsia="Times New Roman" w:hAnsi="Times New Roman"/>
          <w:sz w:val="18"/>
          <w:szCs w:val="18"/>
          <w:b w:val="1"/>
          <w:bCs w:val="1"/>
          <w:u w:val="single" w:color="auto"/>
          <w:color w:val="auto"/>
        </w:rPr>
        <w:t>D&amp;O Insurance</w:t>
      </w:r>
      <w:r>
        <w:rPr>
          <w:rFonts w:ascii="Times New Roman" w:cs="Times New Roman" w:eastAsia="Times New Roman" w:hAnsi="Times New Roman"/>
          <w:sz w:val="18"/>
          <w:szCs w:val="18"/>
          <w:color w:val="auto"/>
        </w:rPr>
        <w:t>. Pubco shall (i) purchase directors’ and officers’ liability insurance in an amount determined by the Board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2.07 </w:t>
      </w:r>
      <w:r>
        <w:rPr>
          <w:rFonts w:ascii="Times New Roman" w:cs="Times New Roman" w:eastAsia="Times New Roman" w:hAnsi="Times New Roman"/>
          <w:sz w:val="18"/>
          <w:szCs w:val="18"/>
          <w:b w:val="1"/>
          <w:bCs w:val="1"/>
          <w:u w:val="single" w:color="auto"/>
          <w:color w:val="auto"/>
        </w:rPr>
        <w:t>Information Sharing</w:t>
      </w:r>
      <w:r>
        <w:rPr>
          <w:rFonts w:ascii="Times New Roman" w:cs="Times New Roman" w:eastAsia="Times New Roman" w:hAnsi="Times New Roman"/>
          <w:sz w:val="18"/>
          <w:szCs w:val="18"/>
          <w:color w:val="auto"/>
        </w:rPr>
        <w:t>. To the extent permitted by applicable Law, each party hereto acknowledges and agrees that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Each of the Sponsor and ICE agrees (severally, and not jointly) that it will, and will direct its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Representatives to, keep confidential and not disclose any Confidential Information to any other Person (other than Pubco and its Designated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each Designated Representative shall be under an obligation</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4" w:right="519" w:bottom="1440" w:gutter="0" w:footer="0" w:header="0"/>
        </w:sectPr>
      </w:pPr>
    </w:p>
    <w:bookmarkStart w:id="263" w:name="page264"/>
    <w:bookmarkEnd w:id="263"/>
    <w:p>
      <w:pPr>
        <w:ind w:right="1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 confidentiality to Pubco or the Sponsor or ICE (as applicable) with respect to such Confidential Information and (ii) each of the Sponsor and ICE agrees (severally, and not jointly) to be responsible for any breaches of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General Restrictions on Transfer</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40" w:firstLine="1426"/>
        <w:spacing w:after="0" w:line="263" w:lineRule="auto"/>
        <w:tabs>
          <w:tab w:leader="none" w:pos="166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Times New Roman" w:cs="Times New Roman" w:eastAsia="Times New Roman" w:hAnsi="Times New Roman"/>
          <w:sz w:val="18"/>
          <w:szCs w:val="18"/>
          <w:u w:val="single" w:color="auto"/>
          <w:color w:val="auto"/>
        </w:rPr>
        <w:t>Bakkt Equity Holders Lock-Up Period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40" w:firstLine="1426"/>
        <w:spacing w:after="0" w:line="278" w:lineRule="auto"/>
        <w:tabs>
          <w:tab w:leader="none" w:pos="167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Sponsor shall not Transfer, or make a public announcement of any intention to Transfer, any Private Placement Lock-Up Shares during the Private Placement Lock-Up Period.</w:t>
      </w:r>
    </w:p>
    <w:p>
      <w:pPr>
        <w:spacing w:after="0" w:line="55" w:lineRule="exact"/>
        <w:rPr>
          <w:rFonts w:ascii="Times New Roman" w:cs="Times New Roman" w:eastAsia="Times New Roman" w:hAnsi="Times New Roman"/>
          <w:sz w:val="18"/>
          <w:szCs w:val="18"/>
          <w:color w:val="auto"/>
        </w:rPr>
      </w:pPr>
    </w:p>
    <w:p>
      <w:pPr>
        <w:ind w:right="60" w:firstLine="1426"/>
        <w:spacing w:after="0" w:line="278" w:lineRule="auto"/>
        <w:tabs>
          <w:tab w:leader="none" w:pos="166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Sponsor shall not Transfer, or make a public announcement of any intention to Transfer, any Sponsor Lock-Up Shares during the Sponsor Lock-Up Period.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Permitted Transfers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40" w:firstLine="1426"/>
        <w:spacing w:after="0" w:line="258" w:lineRule="auto"/>
        <w:tabs>
          <w:tab w:leader="none" w:pos="166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prohibition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apply to: (i) Transfers permitted by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Lock-Up Period.</w:t>
      </w:r>
    </w:p>
    <w:p>
      <w:pPr>
        <w:spacing w:after="0" w:line="72" w:lineRule="exact"/>
        <w:rPr>
          <w:rFonts w:ascii="Times New Roman" w:cs="Times New Roman" w:eastAsia="Times New Roman" w:hAnsi="Times New Roman"/>
          <w:sz w:val="18"/>
          <w:szCs w:val="18"/>
          <w:color w:val="auto"/>
        </w:rPr>
      </w:pPr>
    </w:p>
    <w:p>
      <w:pPr>
        <w:ind w:firstLine="1426"/>
        <w:spacing w:after="0" w:line="263" w:lineRule="auto"/>
        <w:tabs>
          <w:tab w:leader="none" w:pos="167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(including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during the Lock-Up Period applicable to such Person, each Bakkt Equity Holder and the Sponsor may Transfer, without the consent of any other party hereto, any of such Person’s Lock-Up Shares:</w:t>
      </w:r>
    </w:p>
    <w:p>
      <w:pPr>
        <w:spacing w:after="0" w:line="68" w:lineRule="exact"/>
        <w:rPr>
          <w:rFonts w:ascii="Times New Roman" w:cs="Times New Roman" w:eastAsia="Times New Roman" w:hAnsi="Times New Roman"/>
          <w:sz w:val="18"/>
          <w:szCs w:val="18"/>
          <w:color w:val="auto"/>
        </w:rPr>
      </w:pPr>
    </w:p>
    <w:p>
      <w:pPr>
        <w:ind w:left="440" w:right="40" w:firstLine="1366"/>
        <w:spacing w:after="0" w:line="255" w:lineRule="auto"/>
        <w:tabs>
          <w:tab w:leader="none" w:pos="2015"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of such Person’s Permitted Transferees;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Transfers to an Immediate Family Member or an Affiliate of such Person (other than pursuant to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264" w:name="page265"/>
    <w:bookmarkEnd w:id="264"/>
    <w:p>
      <w:pPr>
        <w:ind w:left="440" w:right="100" w:firstLine="1366"/>
        <w:spacing w:after="0" w:line="263" w:lineRule="auto"/>
        <w:tabs>
          <w:tab w:leader="none" w:pos="206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68" w:lineRule="exact"/>
        <w:rPr>
          <w:rFonts w:ascii="Times New Roman" w:cs="Times New Roman" w:eastAsia="Times New Roman" w:hAnsi="Times New Roman"/>
          <w:sz w:val="18"/>
          <w:szCs w:val="18"/>
          <w:color w:val="auto"/>
        </w:rPr>
      </w:pPr>
    </w:p>
    <w:p>
      <w:pPr>
        <w:ind w:left="440" w:right="380" w:firstLine="1366"/>
        <w:spacing w:after="0" w:line="308" w:lineRule="auto"/>
        <w:tabs>
          <w:tab w:leader="none" w:pos="2114"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33" w:lineRule="exact"/>
        <w:rPr>
          <w:rFonts w:ascii="Times New Roman" w:cs="Times New Roman" w:eastAsia="Times New Roman" w:hAnsi="Times New Roman"/>
          <w:sz w:val="17"/>
          <w:szCs w:val="17"/>
          <w:color w:val="auto"/>
        </w:rPr>
      </w:pPr>
    </w:p>
    <w:p>
      <w:pPr>
        <w:ind w:right="20" w:firstLine="1426"/>
        <w:spacing w:after="0" w:line="251" w:lineRule="auto"/>
        <w:tabs>
          <w:tab w:leader="none" w:pos="166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any Transfers permitted by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whereupon such Transferee will be treated as a party hereto (with the same rights and obligations as the Transferor (including, for the avoidance of doubt, the restrictions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 xml:space="preserve">, the restrictions and obligations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continue to apply to such Lock-Up Shares for the Lock-Up Period applicable to the initial Transferor.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b w:val="1"/>
          <w:bCs w:val="1"/>
          <w:u w:val="single" w:color="auto"/>
          <w:color w:val="auto"/>
        </w:rPr>
        <w:t>Miscellaneous Provisions Relating to Transfers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60" w:firstLine="1426"/>
        <w:spacing w:after="0" w:line="285" w:lineRule="auto"/>
        <w:tabs>
          <w:tab w:leader="none" w:pos="1661"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52" w:lineRule="exact"/>
        <w:rPr>
          <w:rFonts w:ascii="Times New Roman" w:cs="Times New Roman" w:eastAsia="Times New Roman" w:hAnsi="Times New Roman"/>
          <w:sz w:val="17"/>
          <w:szCs w:val="17"/>
          <w:color w:val="auto"/>
        </w:rPr>
      </w:pPr>
    </w:p>
    <w:p>
      <w:pPr>
        <w:ind w:right="200" w:firstLine="1426"/>
        <w:spacing w:after="0" w:line="263" w:lineRule="auto"/>
        <w:tabs>
          <w:tab w:leader="none" w:pos="167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68" w:lineRule="exact"/>
        <w:rPr>
          <w:rFonts w:ascii="Times New Roman" w:cs="Times New Roman" w:eastAsia="Times New Roman" w:hAnsi="Times New Roman"/>
          <w:sz w:val="18"/>
          <w:szCs w:val="18"/>
          <w:color w:val="auto"/>
        </w:rPr>
      </w:pPr>
    </w:p>
    <w:p>
      <w:pPr>
        <w:ind w:firstLine="1426"/>
        <w:spacing w:after="0" w:line="255" w:lineRule="auto"/>
        <w:tabs>
          <w:tab w:leader="none" w:pos="16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00" w:firstLine="1426"/>
        <w:spacing w:after="0" w:line="270" w:lineRule="auto"/>
        <w:tabs>
          <w:tab w:leader="none" w:pos="1661"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annual meeting of stockholders of Pubco following the Closing Date at which Directors are elected.</w:t>
      </w:r>
    </w:p>
    <w:p>
      <w:pPr>
        <w:spacing w:after="0" w:line="95" w:lineRule="exact"/>
        <w:rPr>
          <w:rFonts w:ascii="Times New Roman" w:cs="Times New Roman" w:eastAsia="Times New Roman" w:hAnsi="Times New Roman"/>
          <w:sz w:val="18"/>
          <w:szCs w:val="18"/>
          <w:color w:val="auto"/>
        </w:rPr>
      </w:pPr>
    </w:p>
    <w:p>
      <w:pPr>
        <w:ind w:left="1680" w:hanging="254"/>
        <w:spacing w:after="0"/>
        <w:tabs>
          <w:tab w:leader="none" w:pos="16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this Agreement, whether in respect of any particular Stockholder and/or all parties hereto, shall not affect:</w:t>
      </w:r>
    </w:p>
    <w:p>
      <w:pPr>
        <w:spacing w:after="0" w:line="25" w:lineRule="exact"/>
        <w:rPr>
          <w:rFonts w:ascii="Times New Roman" w:cs="Times New Roman" w:eastAsia="Times New Roman" w:hAnsi="Times New Roman"/>
          <w:sz w:val="18"/>
          <w:szCs w:val="18"/>
          <w:color w:val="auto"/>
        </w:rPr>
      </w:pPr>
    </w:p>
    <w:p>
      <w:pPr>
        <w:ind w:right="460" w:firstLine="7"/>
        <w:spacing w:after="0" w:line="250" w:lineRule="auto"/>
        <w:tabs>
          <w:tab w:leader="none" w:pos="213"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designation, request, request for consent or consent provided for in this Agreement shall be in writing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notices, designations, requests, requests for consent or consents shall be sent to the addresses indicated below:</w:t>
      </w:r>
    </w:p>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if to Pubco,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marc.dannuzio@bakkt.com</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300 West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 Matthew Lyons</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Matt.Lyons@Shearman.com</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if to the Sponsor,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Victory Park Management, LLC</w:t>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 VPC Impact Acquisition Holdings Sponsor, LLC</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Zemnick</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(312) 701-0794</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szemnick@vpcadvisors.com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4" w:right="499" w:bottom="1440" w:gutter="0" w:footer="0" w:header="0"/>
        </w:sectPr>
      </w:pPr>
    </w:p>
    <w:bookmarkStart w:id="266" w:name="page267"/>
    <w:bookmarkEnd w:id="266"/>
    <w:p>
      <w:pPr>
        <w:ind w:left="9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 a copy (which shall not constitute notice)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Raymond Bogenrief</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(312) 881-5450</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Raymond.Bogenrief@whitecase.com</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if to any Bakkt Equity Holder, to:</w:t>
      </w:r>
    </w:p>
    <w:p>
      <w:pPr>
        <w:spacing w:after="0" w:line="1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address of such Bakkt Equity Holder set forth on its signature page hereto.</w:t>
      </w:r>
    </w:p>
    <w:p>
      <w:pPr>
        <w:spacing w:after="0" w:line="230"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Agreement may be amended, supplemented or otherwise modified only by a written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executed by (a) Pubco and each Qualified Stockholder at the time of such amendment, supplement or modification;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 waiver of any provision or default under, nor any consent to any exception to, the terms and provisions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party asserted to have granted such waiver or consent.</w:t>
      </w:r>
    </w:p>
    <w:p>
      <w:pPr>
        <w:spacing w:after="0" w:line="191"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Each party to this Agreement shall cooperate and take such action as may be reasonably requested by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this Agreement in order to carry out the provisions and purposes of this Agreement and the transactions contemplated hereby.</w:t>
      </w:r>
    </w:p>
    <w:p>
      <w:pPr>
        <w:spacing w:after="0" w:line="156"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No party may assign this Agreement nor any right or obligation of such party, in whole or in part, without the express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written consent of (a) Pubco and (b) each Qualified Stockholder at the time of such amendment, supplement or modification, and any attempted assignment in violation of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shall be null and void and of no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 Transfer pursuant to and permitted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without the prior consent of any other party, or (y) to any other Person in compliance with, and to the extent not expressly prohibited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375" w:right="519" w:bottom="1440" w:gutter="0" w:footer="0" w:header="0"/>
        </w:sectPr>
      </w:pPr>
    </w:p>
    <w:bookmarkStart w:id="267" w:name="page268"/>
    <w:bookmarkEnd w:id="267"/>
    <w:p>
      <w:pPr>
        <w:jc w:val="both"/>
        <w:ind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4.06 </w:t>
      </w:r>
      <w:r>
        <w:rPr>
          <w:rFonts w:ascii="Times New Roman" w:cs="Times New Roman" w:eastAsia="Times New Roman" w:hAnsi="Times New Roman"/>
          <w:sz w:val="18"/>
          <w:szCs w:val="18"/>
          <w:b w:val="1"/>
          <w:bCs w:val="1"/>
          <w:u w:val="single" w:color="auto"/>
          <w:color w:val="auto"/>
        </w:rPr>
        <w:t>Third-Party Beneficiaries</w:t>
      </w:r>
      <w:r>
        <w:rPr>
          <w:rFonts w:ascii="Times New Roman" w:cs="Times New Roman" w:eastAsia="Times New Roman" w:hAnsi="Times New Roman"/>
          <w:sz w:val="18"/>
          <w:szCs w:val="18"/>
          <w:color w:val="auto"/>
        </w:rPr>
        <w:t>. Nothing in this Agreement, express or implied, is intended to confer upon any Person,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0" w:lineRule="exact"/>
        <w:rPr>
          <w:sz w:val="20"/>
          <w:szCs w:val="20"/>
          <w:color w:val="auto"/>
        </w:rPr>
      </w:pPr>
    </w:p>
    <w:p>
      <w:pPr>
        <w:ind w:right="3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ITS ENFORCEMENT AND ANY CONTROVERSY ARISING OUT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0" w:lineRule="exact"/>
        <w:rPr>
          <w:sz w:val="20"/>
          <w:szCs w:val="20"/>
          <w:color w:val="auto"/>
        </w:rPr>
      </w:pPr>
    </w:p>
    <w:p>
      <w:pPr>
        <w:ind w:right="20" w:firstLine="436"/>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4.08 </w:t>
      </w:r>
      <w:r>
        <w:rPr>
          <w:rFonts w:ascii="Times New Roman" w:cs="Times New Roman" w:eastAsia="Times New Roman" w:hAnsi="Times New Roman"/>
          <w:sz w:val="17"/>
          <w:szCs w:val="17"/>
          <w:b w:val="1"/>
          <w:bCs w:val="1"/>
          <w:u w:val="single" w:color="auto"/>
          <w:color w:val="auto"/>
        </w:rPr>
        <w:t>Jurisdiction; WAIVER OF JURY TRIAL</w:t>
      </w:r>
      <w:r>
        <w:rPr>
          <w:rFonts w:ascii="Times New Roman" w:cs="Times New Roman" w:eastAsia="Times New Roman" w:hAnsi="Times New Roman"/>
          <w:sz w:val="17"/>
          <w:szCs w:val="17"/>
          <w:color w:val="auto"/>
        </w:rPr>
        <w:t>. Each party hereto hereby (i) agrees that any action directly or indirectly arising out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(A) irrevocably and unconditionally consents and submits to the exclusive jurisdiction of the courts identified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(B) irrevocably and unconditionally waives any objection to the laying of venue in any of the courts identified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(C) irrevocably and unconditionally waives and agrees not to plead or claim that any of the courts identified in such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is an inconvenient forum or does not have personal jurisdiction over any party hereto, and</w:t>
      </w:r>
    </w:p>
    <w:p>
      <w:pPr>
        <w:spacing w:after="0" w:line="4" w:lineRule="exact"/>
        <w:rPr>
          <w:sz w:val="20"/>
          <w:szCs w:val="20"/>
          <w:color w:val="auto"/>
        </w:rPr>
      </w:pPr>
    </w:p>
    <w:p>
      <w:pPr>
        <w:ind w:right="120" w:firstLine="7"/>
        <w:spacing w:after="0" w:line="250" w:lineRule="auto"/>
        <w:tabs>
          <w:tab w:leader="none" w:pos="29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3"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7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268" w:name="page269"/>
    <w:bookmarkEnd w:id="268"/>
    <w:p>
      <w:pPr>
        <w:ind w:right="1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80" w:lineRule="exact"/>
        <w:rPr>
          <w:sz w:val="20"/>
          <w:szCs w:val="20"/>
          <w:color w:val="auto"/>
        </w:rPr>
      </w:pPr>
    </w:p>
    <w:p>
      <w:pPr>
        <w:jc w:val="both"/>
        <w:ind w:right="2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 xml:space="preserve">Section 4.12 </w:t>
      </w:r>
      <w:r>
        <w:rPr>
          <w:rFonts w:ascii="Times New Roman" w:cs="Times New Roman" w:eastAsia="Times New Roman" w:hAnsi="Times New Roman"/>
          <w:sz w:val="17"/>
          <w:szCs w:val="17"/>
          <w:b w:val="1"/>
          <w:bCs w:val="1"/>
          <w:u w:val="single" w:color="auto"/>
          <w:color w:val="auto"/>
        </w:rPr>
        <w:t>Table of Contents, Headings and Captions</w:t>
      </w:r>
      <w:r>
        <w:rPr>
          <w:rFonts w:ascii="Times New Roman" w:cs="Times New Roman" w:eastAsia="Times New Roman" w:hAnsi="Times New Roman"/>
          <w:sz w:val="17"/>
          <w:szCs w:val="17"/>
          <w:color w:val="auto"/>
        </w:rPr>
        <w:t>. The table of contents, headings, subheadings and captions contained in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included for convenience of reference only, and in no way define, limit or describe the scope of this Agreement or the intent of any provision hereof.</w:t>
      </w:r>
    </w:p>
    <w:p>
      <w:pPr>
        <w:spacing w:after="0" w:line="132"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 separate counterparts (including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pdf or other electronic document transmission), each of which shall be deemed an original, but all of which taken together shall constitute one Agreement (or amendment, as applicable).</w:t>
      </w:r>
    </w:p>
    <w:p>
      <w:pPr>
        <w:spacing w:after="0" w:line="170" w:lineRule="exact"/>
        <w:rPr>
          <w:sz w:val="20"/>
          <w:szCs w:val="20"/>
          <w:color w:val="auto"/>
        </w:rPr>
      </w:pPr>
    </w:p>
    <w:p>
      <w:pPr>
        <w:jc w:val="both"/>
        <w:ind w:right="1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Subsequent Acquisition of Securities</w:t>
      </w:r>
      <w:r>
        <w:rPr>
          <w:rFonts w:ascii="Times New Roman" w:cs="Times New Roman" w:eastAsia="Times New Roman" w:hAnsi="Times New Roman"/>
          <w:sz w:val="18"/>
          <w:szCs w:val="18"/>
          <w:color w:val="auto"/>
        </w:rPr>
        <w:t>. Each Stockholder agrees that any Equity Securities of Pubco or Bakkt Opco which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70"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claims or cause of action that may be based upon, arise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4" w:right="5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day and year first above written.</w:t>
      </w:r>
    </w:p>
    <w:p>
      <w:pPr>
        <w:spacing w:after="0" w:line="2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PUBCO</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day and year first above written.</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u w:val="single" w:color="auto"/>
          <w:color w:val="auto"/>
        </w:rPr>
        <w:t>BAKKT EQUITY HOLDER</w:t>
      </w:r>
      <w:r>
        <w:rPr>
          <w:rFonts w:ascii="Times New Roman" w:cs="Times New Roman" w:eastAsia="Times New Roman" w:hAnsi="Times New Roman"/>
          <w:sz w:val="17"/>
          <w:szCs w:val="17"/>
          <w:color w:val="auto"/>
        </w:rPr>
        <w:t>:</w:t>
      </w:r>
    </w:p>
    <w:p>
      <w:pPr>
        <w:spacing w:after="0" w:line="2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151765</wp:posOffset>
            </wp:positionV>
            <wp:extent cx="27686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440690</wp:posOffset>
            </wp:positionV>
            <wp:extent cx="27686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729615</wp:posOffset>
            </wp:positionV>
            <wp:extent cx="27686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0</wp:posOffset>
            </wp:positionV>
            <wp:extent cx="22078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0</wp:posOffset>
            </wp:positionV>
            <wp:extent cx="22078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0</wp:posOffset>
            </wp:positionV>
            <wp:extent cx="22078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19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day and year first above written.</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VPC IMPACT ACQUISITION HOLDINGS SPONSOR,</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LLC</w:t>
      </w:r>
    </w:p>
    <w:p>
      <w:pPr>
        <w:spacing w:after="0" w:line="202"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Victory Park Management, LLC</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Scott Zemnick</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8"/>
          <w:szCs w:val="18"/>
          <w:color w:val="auto"/>
        </w:rPr>
        <w:t>]</w:t>
      </w:r>
    </w:p>
    <w:p>
      <w:pPr>
        <w:sectPr>
          <w:pgSz w:w="11900" w:h="16838" w:orient="portrait"/>
          <w:cols w:equalWidth="0" w:num="1">
            <w:col w:w="10200"/>
          </w:cols>
          <w:pgMar w:left="920" w:top="268" w:right="779" w:bottom="1440" w:gutter="0" w:footer="0" w:header="0"/>
        </w:sectPr>
      </w:pPr>
    </w:p>
    <w:bookmarkStart w:id="272" w:name="page273"/>
    <w:bookmarkEnd w:id="272"/>
    <w:p>
      <w:pPr>
        <w:jc w:val="center"/>
        <w:ind w:right="-9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1</w:t>
      </w: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BAKKT EQUITY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BE INCLUDED]</w:t>
      </w:r>
      <w:r>
        <w:rPr>
          <w:rFonts w:ascii="Times New Roman" w:cs="Times New Roman" w:eastAsia="Times New Roman" w:hAnsi="Times New Roman"/>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645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4" w:lineRule="exact"/>
        <w:rPr>
          <w:sz w:val="20"/>
          <w:szCs w:val="20"/>
          <w:color w:val="auto"/>
        </w:rPr>
      </w:pPr>
    </w:p>
    <w:p>
      <w:pPr>
        <w:ind w:left="440" w:hanging="433"/>
        <w:spacing w:after="0"/>
        <w:tabs>
          <w:tab w:leader="none" w:pos="44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b w:val="1"/>
          <w:bCs w:val="1"/>
          <w:color w:val="auto"/>
        </w:rPr>
        <w:t>Note to Draft</w:t>
      </w:r>
      <w:r>
        <w:rPr>
          <w:rFonts w:ascii="Times New Roman" w:cs="Times New Roman" w:eastAsia="Times New Roman" w:hAnsi="Times New Roman"/>
          <w:sz w:val="17"/>
          <w:szCs w:val="17"/>
          <w:color w:val="auto"/>
        </w:rPr>
        <w:t>: All members of Bakkt Holdings, LLC that will receive shares in Pubco to be listed.</w:t>
      </w:r>
    </w:p>
    <w:p>
      <w:pPr>
        <w:sectPr>
          <w:pgSz w:w="11900" w:h="16838" w:orient="portrait"/>
          <w:cols w:equalWidth="0" w:num="1">
            <w:col w:w="9979"/>
          </w:cols>
          <w:pgMar w:left="480" w:top="264" w:right="1440"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JOINDER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4" w:right="1440"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JOINDER</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40" w:type="dxa"/>
            <w:vAlign w:val="bottom"/>
          </w:tcPr>
          <w:p>
            <w:pPr>
              <w:spacing w:after="0"/>
              <w:rPr>
                <w:sz w:val="24"/>
                <w:szCs w:val="24"/>
                <w:color w:val="auto"/>
              </w:rPr>
            </w:pPr>
          </w:p>
        </w:tc>
        <w:tc>
          <w:tcPr>
            <w:tcW w:w="682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w w:val="99"/>
              </w:rPr>
              <w:t>This Joinder (this “Joinder”) to the Stockholders Agreement is made and entered into as of</w:t>
            </w:r>
          </w:p>
        </w:tc>
        <w:tc>
          <w:tcPr>
            <w:tcW w:w="37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 is between</w:t>
            </w:r>
          </w:p>
        </w:tc>
        <w:tc>
          <w:tcPr>
            <w:tcW w:w="0" w:type="dxa"/>
            <w:vAlign w:val="bottom"/>
          </w:tcPr>
          <w:p>
            <w:pPr>
              <w:spacing w:after="0"/>
              <w:rPr>
                <w:sz w:val="1"/>
                <w:szCs w:val="1"/>
                <w:color w:val="auto"/>
              </w:rPr>
            </w:pPr>
          </w:p>
        </w:tc>
      </w:tr>
      <w:tr>
        <w:trPr>
          <w:trHeight w:val="194"/>
        </w:trPr>
        <w:tc>
          <w:tcPr>
            <w:tcW w:w="1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(“Transferor”) and</w:t>
            </w:r>
          </w:p>
        </w:tc>
        <w:tc>
          <w:tcPr>
            <w:tcW w:w="52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80" w:type="dxa"/>
            <w:vAlign w:val="bottom"/>
            <w:gridSpan w:val="5"/>
          </w:tcPr>
          <w:p>
            <w:pPr>
              <w:ind w:left="40"/>
              <w:spacing w:after="0" w:line="194" w:lineRule="exact"/>
              <w:rPr>
                <w:sz w:val="20"/>
                <w:szCs w:val="20"/>
                <w:color w:val="auto"/>
              </w:rPr>
            </w:pPr>
            <w:r>
              <w:rPr>
                <w:rFonts w:ascii="Times New Roman" w:cs="Times New Roman" w:eastAsia="Times New Roman" w:hAnsi="Times New Roman"/>
                <w:sz w:val="18"/>
                <w:szCs w:val="18"/>
                <w:color w:val="auto"/>
              </w:rPr>
              <w:t>(“Transferee”).</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Class A Common Stock/shares of Class V Common</w:t>
            </w:r>
          </w:p>
        </w:tc>
        <w:tc>
          <w:tcPr>
            <w:tcW w:w="0" w:type="dxa"/>
            <w:vAlign w:val="bottom"/>
          </w:tcPr>
          <w:p>
            <w:pPr>
              <w:spacing w:after="0" w:line="20" w:lineRule="exact"/>
              <w:rPr>
                <w:sz w:val="1"/>
                <w:szCs w:val="1"/>
                <w:color w:val="auto"/>
              </w:rPr>
            </w:pPr>
          </w:p>
        </w:tc>
      </w:tr>
      <w:tr>
        <w:trPr>
          <w:trHeight w:val="408"/>
        </w:trPr>
        <w:tc>
          <w:tcPr>
            <w:tcW w:w="140" w:type="dxa"/>
            <w:vAlign w:val="bottom"/>
          </w:tcPr>
          <w:p>
            <w:pPr>
              <w:spacing w:after="0"/>
              <w:rPr>
                <w:sz w:val="24"/>
                <w:szCs w:val="24"/>
                <w:color w:val="auto"/>
              </w:rPr>
            </w:pPr>
          </w:p>
        </w:tc>
        <w:tc>
          <w:tcPr>
            <w:tcW w:w="4920" w:type="dxa"/>
            <w:vAlign w:val="bottom"/>
            <w:gridSpan w:val="10"/>
          </w:tcPr>
          <w:p>
            <w:pPr>
              <w:ind w:left="300"/>
              <w:spacing w:after="0"/>
              <w:rPr>
                <w:sz w:val="20"/>
                <w:szCs w:val="20"/>
                <w:color w:val="auto"/>
              </w:rPr>
            </w:pPr>
            <w:r>
              <w:rPr>
                <w:rFonts w:ascii="Times New Roman" w:cs="Times New Roman" w:eastAsia="Times New Roman" w:hAnsi="Times New Roman"/>
                <w:sz w:val="18"/>
                <w:szCs w:val="18"/>
                <w:color w:val="auto"/>
              </w:rPr>
              <w:t>WHEREAS, as of the date hereof, Transferee is acquiring</w:t>
            </w:r>
          </w:p>
        </w:tc>
        <w:tc>
          <w:tcPr>
            <w:tcW w:w="580" w:type="dxa"/>
            <w:vAlign w:val="bottom"/>
          </w:tcPr>
          <w:p>
            <w:pPr>
              <w:spacing w:after="0"/>
              <w:rPr>
                <w:sz w:val="24"/>
                <w:szCs w:val="24"/>
                <w:color w:val="auto"/>
              </w:rPr>
            </w:pPr>
          </w:p>
        </w:tc>
        <w:tc>
          <w:tcPr>
            <w:tcW w:w="50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gridSpan w:val="7"/>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9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Stock/Bakkt Opco Common Units] </w:t>
            </w:r>
            <w:r>
              <w:rPr>
                <w:rFonts w:ascii="Times New Roman" w:cs="Times New Roman" w:eastAsia="Times New Roman" w:hAnsi="Times New Roman"/>
                <w:sz w:val="18"/>
                <w:szCs w:val="18"/>
                <w:color w:val="auto"/>
              </w:rPr>
              <w:t>(the “Acquired Interests”) from Transferor;</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firstLine="436"/>
        <w:spacing w:after="0" w:line="278" w:lineRule="auto"/>
        <w:rPr>
          <w:sz w:val="20"/>
          <w:szCs w:val="20"/>
          <w:color w:val="auto"/>
        </w:rPr>
      </w:pPr>
      <w:r>
        <w:rPr>
          <w:rFonts w:ascii="Times New Roman" w:cs="Times New Roman" w:eastAsia="Times New Roman" w:hAnsi="Times New Roman"/>
          <w:sz w:val="18"/>
          <w:szCs w:val="18"/>
          <w:color w:val="auto"/>
        </w:rPr>
        <w:t>WHEREAS, Transferor is a party to that certain Stockholders Agreement, dated as of [•], among Bakkt Holdings, Inc. and the other persons party thereto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120" w:firstLine="436"/>
        <w:spacing w:after="0" w:line="263" w:lineRule="auto"/>
        <w:rPr>
          <w:sz w:val="20"/>
          <w:szCs w:val="20"/>
          <w:color w:val="auto"/>
        </w:rPr>
      </w:pPr>
      <w:r>
        <w:rPr>
          <w:rFonts w:ascii="Times New Roman" w:cs="Times New Roman" w:eastAsia="Times New Roman" w:hAnsi="Times New Roman"/>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75"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162"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To the extent capitalized words used in this Joinder are not defined in this Joinder, such words shall have the respective meanings set forth in the Stockholders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The Transferor hereby Transfers to the Transferee all of the Acquired Interests.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Transferee hereby acknowledges and agrees that (a) such Transferee has received and read the Stockholders Agreement,</w:t>
      </w:r>
    </w:p>
    <w:p>
      <w:pPr>
        <w:spacing w:after="0" w:line="26" w:lineRule="exact"/>
        <w:rPr>
          <w:sz w:val="20"/>
          <w:szCs w:val="20"/>
          <w:color w:val="auto"/>
        </w:rPr>
      </w:pPr>
    </w:p>
    <w:p>
      <w:pPr>
        <w:ind w:left="260" w:hanging="253"/>
        <w:spacing w:after="0"/>
        <w:tabs>
          <w:tab w:leader="none" w:pos="2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Transferee is acquiring the Acquired Interests in accordance with and subject to the terms and conditions of the Stockholders Agreement and</w:t>
      </w:r>
    </w:p>
    <w:p>
      <w:pPr>
        <w:spacing w:after="0" w:line="6" w:lineRule="exact"/>
        <w:rPr>
          <w:rFonts w:ascii="Times New Roman" w:cs="Times New Roman" w:eastAsia="Times New Roman" w:hAnsi="Times New Roman"/>
          <w:sz w:val="18"/>
          <w:szCs w:val="18"/>
          <w:color w:val="auto"/>
        </w:rPr>
      </w:pPr>
    </w:p>
    <w:p>
      <w:pPr>
        <w:ind w:right="80" w:firstLine="7"/>
        <w:spacing w:after="0" w:line="256" w:lineRule="auto"/>
        <w:tabs>
          <w:tab w:leader="none" w:pos="24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Transferee will be treated as a party to the Stockholders Agreement (with the same rights and obligations as the Transferor) for all purposes of the Stockholders Agreement.</w:t>
      </w:r>
    </w:p>
    <w:p>
      <w:pPr>
        <w:spacing w:after="0" w:line="182"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Stockholders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Joinder shall be governed by and construed in accordance with the Law of the State of Delaware.</w:t>
      </w:r>
    </w:p>
    <w:p>
      <w:pPr>
        <w:spacing w:after="0" w:line="221"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Counterparts; Electronic Delivery</w:t>
      </w:r>
      <w:r>
        <w:rPr>
          <w:rFonts w:ascii="Times New Roman" w:cs="Times New Roman" w:eastAsia="Times New Roman" w:hAnsi="Times New Roman"/>
          <w:sz w:val="18"/>
          <w:szCs w:val="18"/>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0840"/>
          </w:cols>
          <w:pgMar w:left="480" w:top="253" w:right="5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this Joinder has been duly executed and delivered by the parties as of the date first above written.</w:t>
      </w:r>
    </w:p>
    <w:p>
      <w:pPr>
        <w:spacing w:after="0" w:line="2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TRANSFEROR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this Joinder has been duly executed and delivered by the parties as of the date first above written.</w:t>
      </w:r>
    </w:p>
    <w:p>
      <w:pPr>
        <w:spacing w:after="0" w:line="2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TRANSFEREE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287655</wp:posOffset>
            </wp:positionV>
            <wp:extent cx="27686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576580</wp:posOffset>
            </wp:positionV>
            <wp:extent cx="27686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865505</wp:posOffset>
            </wp:positionV>
            <wp:extent cx="27686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BAKKT PUBCO CHARTER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for the purposes of incorporating and organizing a corporation under the General Corporation Law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does execute this Certificate of Incorporation and does hereby certify as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Bakkt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right="4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The address of the registered office of the Corporation in the State of Delaware is 251 Little Falls Drive, City of Wilmington, County of New Castle, Delaware 19808; and the name of the Corporation’s registered agent at such address is Corporation Service Company.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now or hereafter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Corporation is being incorporated in connection with the domestication of VPC Impact Acquisition Holdings, a Cayman Islands exempted company limited by shares (“</w:t>
      </w:r>
      <w:r>
        <w:rPr>
          <w:rFonts w:ascii="Times New Roman" w:cs="Times New Roman" w:eastAsia="Times New Roman" w:hAnsi="Times New Roman"/>
          <w:sz w:val="18"/>
          <w:szCs w:val="18"/>
          <w:u w:val="single" w:color="auto"/>
          <w:color w:val="auto"/>
        </w:rPr>
        <w:t>VIH Cayman</w:t>
      </w:r>
      <w:r>
        <w:rPr>
          <w:rFonts w:ascii="Times New Roman" w:cs="Times New Roman" w:eastAsia="Times New Roman" w:hAnsi="Times New Roman"/>
          <w:sz w:val="18"/>
          <w:szCs w:val="18"/>
          <w:color w:val="auto"/>
        </w:rPr>
        <w:t>”), as a Delaware corporation, and this Certificate of Incorporation is being filed simultaneously with the Certificate of Corporate Domestication of VIH Cayman (the “</w:t>
      </w:r>
      <w:r>
        <w:rPr>
          <w:rFonts w:ascii="Times New Roman" w:cs="Times New Roman" w:eastAsia="Times New Roman" w:hAnsi="Times New Roman"/>
          <w:sz w:val="18"/>
          <w:szCs w:val="18"/>
          <w:u w:val="single" w:color="auto"/>
          <w:color w:val="auto"/>
        </w:rPr>
        <w:t>Certificate of Domestication</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total number of shares of all classes of capital stock that the Corporation is authorized to issue 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1,001,000,000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1,000,000,000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750,000,000 shares of Class A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and (B) 250,000,000 shares of Class V common stock (“</w:t>
      </w:r>
      <w:r>
        <w:rPr>
          <w:rFonts w:ascii="Times New Roman" w:cs="Times New Roman" w:eastAsia="Times New Roman" w:hAnsi="Times New Roman"/>
          <w:sz w:val="17"/>
          <w:szCs w:val="17"/>
          <w:u w:val="single" w:color="auto"/>
          <w:color w:val="auto"/>
        </w:rPr>
        <w:t>Class V Common Stock</w:t>
      </w:r>
      <w:r>
        <w:rPr>
          <w:rFonts w:ascii="Times New Roman" w:cs="Times New Roman" w:eastAsia="Times New Roman" w:hAnsi="Times New Roman"/>
          <w:sz w:val="17"/>
          <w:szCs w:val="17"/>
          <w:color w:val="auto"/>
        </w:rPr>
        <w:t>”). The number of authorized shares of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Common Stock, Class A Common Stock, Class V Common Stock or Preferred Stock may be increased or decreased (but not below the number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thereof then outstanding) by the affirmative vote of the holders of a majority in voting power of the stock of the Corporation entitled to vote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irrespective of the provisions of Section 242(b)(2) of the DGCL (or any successor provision thereto), and no vote of the holders of any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Class A Common Stock, Class V Common Stock or Preferred Stock voting separately as a class shall be required therefor, unless a vote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holder is required pursuant to this Certificate of Incorporation (including any certificate of designation relating to any series of Preferred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Upon the filing of the Certificate of Domestication and this Certificate of Incorporation, which is occurring on the closing date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contemplated by that certain Merger Agreement, dated as of January [11], 2021, by and among VIH Cayman, Pylon Merger Company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liability company, and Bakkt Holdings, LLC, a Delaware limited liability company (“</w:t>
      </w:r>
      <w:r>
        <w:rPr>
          <w:rFonts w:ascii="Times New Roman" w:cs="Times New Roman" w:eastAsia="Times New Roman" w:hAnsi="Times New Roman"/>
          <w:sz w:val="17"/>
          <w:szCs w:val="17"/>
          <w:u w:val="single" w:color="auto"/>
          <w:color w:val="auto"/>
        </w:rPr>
        <w:t>Bakkt LLC</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each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capital stock of VIH Cayman issued and outstanding immediately prior to the Closing (as defined in the Merger Agreement) will be converted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one issued and outstanding, fully paid and nonassessable share of Class A Common Stock, without any action required on the part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the holders thereof.</w:t>
      </w:r>
    </w:p>
    <w:p>
      <w:pPr>
        <w:sectPr>
          <w:pgSz w:w="11900" w:h="16838" w:orient="portrait"/>
          <w:cols w:equalWidth="0" w:num="1">
            <w:col w:w="10920"/>
          </w:cols>
          <w:pgMar w:left="480" w:top="264" w:right="499" w:bottom="1440" w:gutter="0" w:footer="0" w:header="0"/>
        </w:sectPr>
      </w:pPr>
    </w:p>
    <w:bookmarkStart w:id="279" w:name="page280"/>
    <w:bookmarkEnd w:id="279"/>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990"/>
        <w:spacing w:after="0" w:line="252" w:lineRule="auto"/>
        <w:tabs>
          <w:tab w:leader="none" w:pos="125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full or limited, or no voting powers,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80" w:lineRule="exact"/>
        <w:rPr>
          <w:rFonts w:ascii="Times New Roman" w:cs="Times New Roman" w:eastAsia="Times New Roman" w:hAnsi="Times New Roman"/>
          <w:sz w:val="18"/>
          <w:szCs w:val="18"/>
          <w:color w:val="auto"/>
        </w:rPr>
      </w:pPr>
    </w:p>
    <w:p>
      <w:pPr>
        <w:ind w:left="-20" w:right="120" w:firstLine="990"/>
        <w:spacing w:after="0" w:line="278" w:lineRule="auto"/>
        <w:tabs>
          <w:tab w:leader="none" w:pos="124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hanging="290"/>
        <w:spacing w:after="0"/>
        <w:tabs>
          <w:tab w:leader="none" w:pos="12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20" w:right="60" w:firstLine="947"/>
        <w:spacing w:after="0" w:line="258" w:lineRule="auto"/>
        <w:tabs>
          <w:tab w:leader="none" w:pos="161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A Common Stock, as such, shall be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the Corporation’s capital stock).</w:t>
      </w:r>
    </w:p>
    <w:p>
      <w:pPr>
        <w:spacing w:after="0" w:line="72" w:lineRule="exact"/>
        <w:rPr>
          <w:rFonts w:ascii="Times New Roman" w:cs="Times New Roman" w:eastAsia="Times New Roman" w:hAnsi="Times New Roman"/>
          <w:sz w:val="18"/>
          <w:szCs w:val="18"/>
          <w:color w:val="auto"/>
        </w:rPr>
      </w:pPr>
    </w:p>
    <w:p>
      <w:pPr>
        <w:ind w:left="420" w:right="40" w:firstLine="947"/>
        <w:spacing w:after="0" w:line="258" w:lineRule="auto"/>
        <w:tabs>
          <w:tab w:leader="none" w:pos="161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V Common Stock, as such, shall be entitled to one vote for each share of Class V Common Stock held of record by such holder on all matters on which stockholders generally or holders of Class V Common Stock as a separate class are entitled to vote, including the election or removal of directors (whether voting separately as a class or together with one or more classes of the Corporation’s capital stock).</w:t>
      </w:r>
    </w:p>
    <w:p>
      <w:pPr>
        <w:spacing w:after="0" w:line="72" w:lineRule="exact"/>
        <w:rPr>
          <w:rFonts w:ascii="Times New Roman" w:cs="Times New Roman" w:eastAsia="Times New Roman" w:hAnsi="Times New Roman"/>
          <w:sz w:val="18"/>
          <w:szCs w:val="18"/>
          <w:color w:val="auto"/>
        </w:rPr>
      </w:pPr>
    </w:p>
    <w:p>
      <w:pPr>
        <w:ind w:left="420" w:right="20" w:firstLine="947"/>
        <w:spacing w:after="0" w:line="254" w:lineRule="auto"/>
        <w:tabs>
          <w:tab w:leader="none" w:pos="161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required by applicable law and without limiting the rights of any party to the Stockholders Agreement, dated as of [•], 2021, by and among the Corporation and the other parties thereto (as amended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 holders of Common Stock having the right to vote in respect of such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having voting rights generally.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8" w:right="499" w:bottom="1440" w:gutter="0" w:footer="0" w:header="0"/>
        </w:sectPr>
      </w:pPr>
    </w:p>
    <w:bookmarkStart w:id="280" w:name="page281"/>
    <w:bookmarkEnd w:id="280"/>
    <w:p>
      <w:pPr>
        <w:ind w:left="1280" w:hanging="290"/>
        <w:spacing w:after="0"/>
        <w:tabs>
          <w:tab w:leader="none" w:pos="128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Dividends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440" w:firstLine="423"/>
        <w:spacing w:after="0" w:line="258" w:lineRule="auto"/>
        <w:tabs>
          <w:tab w:leader="none" w:pos="107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Subject to applicable law and the rights, if any, of the holders of any outstanding shares of Preferred Stock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or series of stock having a preference over or the right to participate with the Class A Common Stock with respect to the payment of dividends, dividends may be declared and paid on the Class A Common Stock out of the assets of the Corporation that are by law available therefor at such times and in such amounts as the Board in its discretion shall determine.</w:t>
      </w:r>
    </w:p>
    <w:p>
      <w:pPr>
        <w:spacing w:after="0" w:line="72"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V Common Stock</w:t>
      </w:r>
      <w:r>
        <w:rPr>
          <w:rFonts w:ascii="Times New Roman" w:cs="Times New Roman" w:eastAsia="Times New Roman" w:hAnsi="Times New Roman"/>
          <w:sz w:val="18"/>
          <w:szCs w:val="18"/>
          <w:color w:val="auto"/>
        </w:rPr>
        <w:t>. Dividends shall not be declared or paid on the Class V Common Stock.</w:t>
      </w:r>
    </w:p>
    <w:p>
      <w:pPr>
        <w:spacing w:after="0" w:line="115" w:lineRule="exact"/>
        <w:rPr>
          <w:rFonts w:ascii="Times New Roman" w:cs="Times New Roman" w:eastAsia="Times New Roman" w:hAnsi="Times New Roman"/>
          <w:sz w:val="18"/>
          <w:szCs w:val="18"/>
          <w:color w:val="auto"/>
        </w:rPr>
      </w:pPr>
    </w:p>
    <w:p>
      <w:pPr>
        <w:ind w:firstLine="990"/>
        <w:spacing w:after="0" w:line="270" w:lineRule="auto"/>
        <w:tabs>
          <w:tab w:leader="none" w:pos="1264"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w:t>
      </w:r>
      <w:r>
        <w:rPr>
          <w:rFonts w:ascii="Times New Roman" w:cs="Times New Roman" w:eastAsia="Times New Roman" w:hAnsi="Times New Roman"/>
          <w:sz w:val="17"/>
          <w:szCs w:val="17"/>
          <w:color w:val="auto"/>
        </w:rPr>
        <w:t>. Subject to applicable law, and of the preferential and other amounts, if any, to which the holders of Preferred Stock or any class or series of stock having a preference over the Class A Common Stock as to distributions upon dissolution or liquidation or winding up of the affairs of the Corporation shall be entitled, in the event of any voluntary or involuntary liquidation, dissolution or winding up of the affairs of the Corporation, after payment or provision for payment of the debts and other liabilities of the Corporation, the holders of all outstanding shares of Class A Common Stock shall be entitled to receive the remaining assets of the Corporation available for distribution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w:t>
      </w:r>
    </w:p>
    <w:p>
      <w:pPr>
        <w:spacing w:after="0" w:line="65" w:lineRule="exact"/>
        <w:rPr>
          <w:rFonts w:ascii="Times New Roman" w:cs="Times New Roman" w:eastAsia="Times New Roman" w:hAnsi="Times New Roman"/>
          <w:sz w:val="17"/>
          <w:szCs w:val="17"/>
          <w:color w:val="auto"/>
        </w:rPr>
      </w:pPr>
    </w:p>
    <w:p>
      <w:pPr>
        <w:ind w:right="20" w:firstLine="990"/>
        <w:spacing w:after="0" w:line="264" w:lineRule="auto"/>
        <w:tabs>
          <w:tab w:leader="none" w:pos="1274"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of Class V Common Stock</w:t>
      </w:r>
      <w:r>
        <w:rPr>
          <w:rFonts w:ascii="Times New Roman" w:cs="Times New Roman" w:eastAsia="Times New Roman" w:hAnsi="Times New Roman"/>
          <w:sz w:val="17"/>
          <w:szCs w:val="17"/>
          <w:color w:val="auto"/>
        </w:rPr>
        <w:t>. In the event that any outstanding share of Class V Common Stock shall cease to be held directly or indirectly by a holder of a unit of Bakkt LLC (the “</w:t>
      </w:r>
      <w:r>
        <w:rPr>
          <w:rFonts w:ascii="Times New Roman" w:cs="Times New Roman" w:eastAsia="Times New Roman" w:hAnsi="Times New Roman"/>
          <w:sz w:val="17"/>
          <w:szCs w:val="17"/>
          <w:u w:val="single" w:color="auto"/>
          <w:color w:val="auto"/>
        </w:rPr>
        <w:t>LLC Units</w:t>
      </w:r>
      <w:r>
        <w:rPr>
          <w:rFonts w:ascii="Times New Roman" w:cs="Times New Roman" w:eastAsia="Times New Roman" w:hAnsi="Times New Roman"/>
          <w:sz w:val="17"/>
          <w:szCs w:val="17"/>
          <w:color w:val="auto"/>
        </w:rPr>
        <w:t>”) as set forth in the books and records of Bakkt LLC, such share shall automatically and without further action on the part of the Corporation or any holder of Class V Common Stock be transferred to the Corporation for no consideration, and any purported transfer of Class V Common Stock which does not include the simultaneous transfer of a corresponding number of such holder’s LLC Units to such transferee or is otherwise not in accordance with the [Third Amended and Restated] LLC Agreement of Bakkt LLC (as amended from time to time, the “</w:t>
      </w:r>
      <w:r>
        <w:rPr>
          <w:rFonts w:ascii="Times New Roman" w:cs="Times New Roman" w:eastAsia="Times New Roman" w:hAnsi="Times New Roman"/>
          <w:sz w:val="17"/>
          <w:szCs w:val="17"/>
          <w:u w:val="single" w:color="auto"/>
          <w:color w:val="auto"/>
        </w:rPr>
        <w:t>LLC Agreement</w:t>
      </w:r>
      <w:r>
        <w:rPr>
          <w:rFonts w:ascii="Times New Roman" w:cs="Times New Roman" w:eastAsia="Times New Roman" w:hAnsi="Times New Roman"/>
          <w:sz w:val="17"/>
          <w:szCs w:val="17"/>
          <w:color w:val="auto"/>
        </w:rPr>
        <w:t>”), the Exchange Agreement, dated as of [•], 2021, by and among the Corporation and the other parties thereto (as amended from time to time, the “</w:t>
      </w:r>
      <w:r>
        <w:rPr>
          <w:rFonts w:ascii="Times New Roman" w:cs="Times New Roman" w:eastAsia="Times New Roman" w:hAnsi="Times New Roman"/>
          <w:sz w:val="17"/>
          <w:szCs w:val="17"/>
          <w:u w:val="single" w:color="auto"/>
          <w:color w:val="auto"/>
        </w:rPr>
        <w:t>Exchange Agreement</w:t>
      </w:r>
      <w:r>
        <w:rPr>
          <w:rFonts w:ascii="Times New Roman" w:cs="Times New Roman" w:eastAsia="Times New Roman" w:hAnsi="Times New Roman"/>
          <w:sz w:val="17"/>
          <w:szCs w:val="17"/>
          <w:color w:val="auto"/>
        </w:rPr>
        <w:t>”) and the Stockholders Agreement (collectively, the “</w:t>
      </w: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shall be null and void and such transferee shall not obtain any rights in and to such shares of Class V Common Stock (the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nor shall such transfer be recognized by the Corporation’s transfer agent (the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The Corporation shall not issue additional shares of Class V Common Stock after the effectiveness of this Certificate of Incorporation other than in connection with the valid issuance or transfer of LLC Units in accordance with the LLC Agreement. Upon a determination by the Board that a person has attempted or may attempt to transfer or to acquire Restricted Shares in violation of the Restrictions, the Corporation shall refuse to give effect to such transfer or acquisition on the books and records of the Corporation. In furtherance of the foregoing, the Corporation shall cause the Transfer Agent to refuse to record the proposed transferee as the record owner of the Restricted Shares and shall institute proceedings necessary to enjoin or rescind any such transfer or acquisition. The Board may, to the extent permitted by law, from time to time establish, modify, amend or rescind, by by-law or otherwise, regulations and procedures that are consistent with the provisions of this</w:t>
      </w:r>
    </w:p>
    <w:p>
      <w:pPr>
        <w:spacing w:after="0" w:line="3" w:lineRule="exact"/>
        <w:rPr>
          <w:rFonts w:ascii="Times New Roman" w:cs="Times New Roman" w:eastAsia="Times New Roman" w:hAnsi="Times New Roman"/>
          <w:sz w:val="17"/>
          <w:szCs w:val="17"/>
          <w:color w:val="auto"/>
        </w:rPr>
      </w:pPr>
    </w:p>
    <w:p>
      <w:pPr>
        <w:ind w:right="18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4.3(D) for determining whether any transfer or acquisition of shares of Class V Common Stock would violate the Restrictions and for the orderly application, administration and implementation of the provisions of this Section 4.3(D). Any such procedures and regulations shall be kept on file with the Secretary of the Corporation and with the Transfer Agent and shall be made available for inspection by any prospective transferee and, upon written request, shall be mailed to holders of shares of Class V Common Stock. For the avoidance of doubt, nothing herein restricts the ability of the holders of LLC Units from surrendering shares of Class V Common Stock to the Corporation or Bakkt LLC pursuant to the terms of the Exchange Agreement and in accordance with the Restrictions.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281" w:name="page282"/>
    <w:bookmarkEnd w:id="281"/>
    <w:p>
      <w:pPr>
        <w:ind w:right="160" w:firstLine="990"/>
        <w:spacing w:after="0" w:line="252" w:lineRule="auto"/>
        <w:tabs>
          <w:tab w:leader="none" w:pos="125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Reservation of Stock; Transfer Restrictions</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an amount equal to at least the number of then-outstanding LLC Units subject to exchange pursuant to the Exchange Agreement. No shares of Class V Common Stock may be issued except to a holder of LLC Units (other than the Corporation or any subsidiary of the Corporation that is a holder of LLC Units), such that after such issuance of Class V Common Stock such holder holds an identical number of LLC Units and shares of Class V Common Stock in accordance with the Exchange Agreement. The Corporation shall take all actions necessary so that, for so long as the Class V Common Stock is outstanding, the number of shares of Class V Common Stock outstanding (plus any shares of Class V Common Stock which have been transferred to the Corporation pursuant to Section 4.3(D), if the corresponding LLC Units have not also been removed from issuance) shall equal the number of LLC Units outstanding pursuant to the Exchange Agreement.</w:t>
      </w:r>
    </w:p>
    <w:p>
      <w:pPr>
        <w:spacing w:after="0" w:line="80" w:lineRule="exact"/>
        <w:rPr>
          <w:rFonts w:ascii="Times New Roman" w:cs="Times New Roman" w:eastAsia="Times New Roman" w:hAnsi="Times New Roman"/>
          <w:sz w:val="18"/>
          <w:szCs w:val="18"/>
          <w:color w:val="auto"/>
        </w:rPr>
      </w:pPr>
    </w:p>
    <w:p>
      <w:pPr>
        <w:ind w:right="40" w:firstLine="990"/>
        <w:spacing w:after="0" w:line="263" w:lineRule="auto"/>
        <w:tabs>
          <w:tab w:leader="none" w:pos="124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All certificates or book entries representing shares of Class V Common Stock, as the case may be, shall include a legend in a form determined by the Board referencing the transfer restrictions set forth herein, and in the LLC Agreement, the Exchange Agreement and the Stockholders Agreement.</w:t>
      </w:r>
    </w:p>
    <w:p>
      <w:pPr>
        <w:spacing w:after="0" w:line="68" w:lineRule="exact"/>
        <w:rPr>
          <w:rFonts w:ascii="Times New Roman" w:cs="Times New Roman" w:eastAsia="Times New Roman" w:hAnsi="Times New Roman"/>
          <w:sz w:val="18"/>
          <w:szCs w:val="18"/>
          <w:color w:val="auto"/>
        </w:rPr>
      </w:pPr>
    </w:p>
    <w:p>
      <w:pPr>
        <w:ind w:right="100" w:firstLine="990"/>
        <w:spacing w:after="0" w:line="254" w:lineRule="auto"/>
        <w:tabs>
          <w:tab w:leader="none" w:pos="127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and Cancellation of Class V Common Stock</w:t>
      </w:r>
      <w:r>
        <w:rPr>
          <w:rFonts w:ascii="Times New Roman" w:cs="Times New Roman" w:eastAsia="Times New Roman" w:hAnsi="Times New Roman"/>
          <w:sz w:val="18"/>
          <w:szCs w:val="18"/>
          <w:color w:val="auto"/>
        </w:rPr>
        <w:t>. To the extent that any holder of Class V Common Stock exercises its right pursuant to the Exchange Agreement to exchange some or all of such holder’s LLC Units for Class A Common Stock in accordance with the Exchange Agreement, then, concurrently with such exchange under the Exchange Agreement, a number of shares of Class V Common Stock registered in the name of such holder equal to the number of LLC Units that are exchanged by such holder in such transaction (subject to equitable adjustment for any event described in Section 4.3(H) below, as applicable) shall upon transfer to the Corporation in accordance with the Exchange Agreement be retired and cancelled for no consideration and such shares shall not be reissued by the Corporation.</w:t>
      </w:r>
    </w:p>
    <w:p>
      <w:pPr>
        <w:spacing w:after="0" w:line="76" w:lineRule="exact"/>
        <w:rPr>
          <w:rFonts w:ascii="Times New Roman" w:cs="Times New Roman" w:eastAsia="Times New Roman" w:hAnsi="Times New Roman"/>
          <w:sz w:val="18"/>
          <w:szCs w:val="18"/>
          <w:color w:val="auto"/>
        </w:rPr>
      </w:pPr>
    </w:p>
    <w:p>
      <w:pPr>
        <w:ind w:right="80" w:firstLine="990"/>
        <w:spacing w:after="0" w:line="251" w:lineRule="auto"/>
        <w:tabs>
          <w:tab w:leader="none" w:pos="127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the Corporation at any time combines or subdivides (by any stock split, stock dividend, recapitalization, reorganization, merger, amendment of this Certificate of Incorporation, scheme, arrangement or otherwise) the number of shares of Class A Common Stock into a greater or lesser number of shares, the shares of Class V Common Stock outstanding immediately prior to such combination or subdivision shall be proportionately similarly combined or subdivided such that the ratio of shares of outstanding Class V Common Stock to shares of outstanding Class A Common Stock immediately prior to such combination or subdivision shall be maintained immediately after such combination or subdivision. Any adjustment described in this Section 4.3(H) shall become effective at the close of business on the date the combination or subdivision becomes effective. In no event shall the shares of Class V Common Stock be combined or subdivided (including by way of any stock split, stock dividend, recapitalization, reorganization, merger, amendment of this Certificate of Incorporation, scheme, arrangement or otherwise) unless the outstanding shares of Class A Common Stock shall be proportionately similarly combined or subdivided.</w:t>
      </w:r>
    </w:p>
    <w:p>
      <w:pPr>
        <w:spacing w:after="0" w:line="192"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consideration to be received for shares of capital stock issuable upon exercise thereof may not be less than the par value thereof.</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82" w:name="page283"/>
    <w:bookmarkEnd w:id="2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225"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furtherance and not in limitation of the powers conferred by the DGCL, the Board is expressly authorized to make, amend, alter, change, add to or repeal the by-laws of the Corporation (as the same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without the consent or vote of the stockholders in any manner not inconsistent with the laws of the State of Delaware or this Certificate of Incorporation and without limiting the rights of any party pursuant to the Stockholders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amendment, alteration, change, addition to or repeal of Article V (</w:t>
      </w:r>
      <w:r>
        <w:rPr>
          <w:rFonts w:ascii="Times New Roman" w:cs="Times New Roman" w:eastAsia="Times New Roman" w:hAnsi="Times New Roman"/>
          <w:sz w:val="18"/>
          <w:szCs w:val="18"/>
          <w:i w:val="1"/>
          <w:iCs w:val="1"/>
          <w:color w:val="auto"/>
        </w:rPr>
        <w:t>Indemnification and Advancement of Expenses</w:t>
      </w:r>
      <w:r>
        <w:rPr>
          <w:rFonts w:ascii="Times New Roman" w:cs="Times New Roman" w:eastAsia="Times New Roman" w:hAnsi="Times New Roman"/>
          <w:sz w:val="18"/>
          <w:szCs w:val="18"/>
          <w:color w:val="auto"/>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(regardless of when such Proceeding is first threatened, commenced or completed) arising out of, or related to, any act or omission occurring prior to such repeal or amendment or adoption of such inconsistent provision.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90"/>
        <w:spacing w:after="0" w:line="250" w:lineRule="auto"/>
        <w:tabs>
          <w:tab w:leader="none" w:pos="127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Powers; Number; Election; Term</w:t>
      </w:r>
      <w:r>
        <w:rPr>
          <w:rFonts w:ascii="Times New Roman" w:cs="Times New Roman" w:eastAsia="Times New Roman" w:hAnsi="Times New Roman"/>
          <w:sz w:val="18"/>
          <w:szCs w:val="18"/>
          <w:color w:val="auto"/>
        </w:rPr>
        <w:t>. Except as otherwise provided in this Certificate of Incorporation or the DGCL,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affairs of the Corporation shall be managed by or under the direction of the Board. The total number of directors constituting the whole Board shall be determined from time to time exclusively by resolution adopted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w:t>
      </w:r>
      <w:r>
        <w:rPr>
          <w:rFonts w:ascii="Times New Roman" w:cs="Times New Roman" w:eastAsia="Times New Roman" w:hAnsi="Times New Roman"/>
          <w:sz w:val="18"/>
          <w:szCs w:val="18"/>
          <w:u w:val="single" w:color="auto"/>
          <w:color w:val="auto"/>
        </w:rPr>
        <w:t>Class I Directors</w:t>
      </w:r>
      <w:r>
        <w:rPr>
          <w:rFonts w:ascii="Times New Roman" w:cs="Times New Roman" w:eastAsia="Times New Roman" w:hAnsi="Times New Roman"/>
          <w:sz w:val="18"/>
          <w:szCs w:val="18"/>
          <w:color w:val="auto"/>
        </w:rPr>
        <w:t>”) shall initially serve for a term expiring at the first annual meeting of stockholders following the effectiveness of this Certificate of Incorporation, Class II directors (“</w:t>
      </w:r>
      <w:r>
        <w:rPr>
          <w:rFonts w:ascii="Times New Roman" w:cs="Times New Roman" w:eastAsia="Times New Roman" w:hAnsi="Times New Roman"/>
          <w:sz w:val="18"/>
          <w:szCs w:val="18"/>
          <w:u w:val="single" w:color="auto"/>
          <w:color w:val="auto"/>
        </w:rPr>
        <w:t>Class II Directors</w:t>
      </w:r>
      <w:r>
        <w:rPr>
          <w:rFonts w:ascii="Times New Roman" w:cs="Times New Roman" w:eastAsia="Times New Roman" w:hAnsi="Times New Roman"/>
          <w:sz w:val="18"/>
          <w:szCs w:val="18"/>
          <w:color w:val="auto"/>
        </w:rPr>
        <w:t>”) shall initially serve for a term expiring at the second annual meeting of stockholders following the effectiveness of this Certificate of Incorporation and Class III directors (“</w:t>
      </w:r>
      <w:r>
        <w:rPr>
          <w:rFonts w:ascii="Times New Roman" w:cs="Times New Roman" w:eastAsia="Times New Roman" w:hAnsi="Times New Roman"/>
          <w:sz w:val="18"/>
          <w:szCs w:val="18"/>
          <w:u w:val="single" w:color="auto"/>
          <w:color w:val="auto"/>
        </w:rPr>
        <w:t>Class III Directors</w:t>
      </w:r>
      <w:r>
        <w:rPr>
          <w:rFonts w:ascii="Times New Roman" w:cs="Times New Roman" w:eastAsia="Times New Roman" w:hAnsi="Times New Roman"/>
          <w:sz w:val="18"/>
          <w:szCs w:val="18"/>
          <w:color w:val="auto"/>
        </w:rPr>
        <w:t>”) shall initially serve for a term expiring at the third annual meeting of stockholders following the effectiveness of this Certificate of Incorporation.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but in no case shall a decrease in the number of directors remove or shorten the term of any incumbent director. Subject to the rights granted to the holders of any one or more series of Preferred Stock then outstanding and without limiting the rights of any party pursuant to the Stockholders Agreement, the election of directors shall be determined by a plurality of the votes cast by the stockholders present in person or represented by proxy at the meeting and entitled to vote thereon. Any such director shall hold office until the annual meeting at which his or her term expires and until his or her successor shall be elected and qualified, or his or her earlier death, resignation, retirement or removal from office. The Board is authorized to assign members of the Board already in office to their respective class at the time such classification becomes effective.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4" w:right="499" w:bottom="1440" w:gutter="0" w:footer="0" w:header="0"/>
        </w:sectPr>
      </w:pPr>
    </w:p>
    <w:bookmarkStart w:id="283" w:name="page284"/>
    <w:bookmarkEnd w:id="283"/>
    <w:p>
      <w:pPr>
        <w:ind w:right="20" w:firstLine="990"/>
        <w:spacing w:after="0" w:line="253" w:lineRule="auto"/>
        <w:tabs>
          <w:tab w:leader="none" w:pos="126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Newly Created Directorships and Vacancies</w:t>
      </w:r>
      <w:r>
        <w:rPr>
          <w:rFonts w:ascii="Times New Roman" w:cs="Times New Roman" w:eastAsia="Times New Roman" w:hAnsi="Times New Roman"/>
          <w:sz w:val="18"/>
          <w:szCs w:val="18"/>
          <w:color w:val="auto"/>
        </w:rPr>
        <w:t>. Subject to the rights granted to the holders of any one or more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outstanding or the rights granted pursuant to the Stockholders Agreement, any newly created directorship on the Board that results from an increase in the number of directors or any vacancy occurring in the Board (whether by death, resignation, retirement, removal or other cause) shall be filled by the affirmative vote of a majority of the directors then in office, although less than a quorum, or by a sole remaining director (and not by the stockholders of the 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or removal.</w:t>
      </w:r>
    </w:p>
    <w:p>
      <w:pPr>
        <w:spacing w:after="0" w:line="77" w:lineRule="exact"/>
        <w:rPr>
          <w:rFonts w:ascii="Times New Roman" w:cs="Times New Roman" w:eastAsia="Times New Roman" w:hAnsi="Times New Roman"/>
          <w:sz w:val="18"/>
          <w:szCs w:val="18"/>
          <w:color w:val="auto"/>
        </w:rPr>
      </w:pPr>
    </w:p>
    <w:p>
      <w:pPr>
        <w:jc w:val="both"/>
        <w:ind w:firstLine="990"/>
        <w:spacing w:after="0" w:line="256" w:lineRule="auto"/>
        <w:tabs>
          <w:tab w:leader="none" w:pos="126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and Removal</w:t>
      </w:r>
      <w:r>
        <w:rPr>
          <w:rFonts w:ascii="Times New Roman" w:cs="Times New Roman" w:eastAsia="Times New Roman" w:hAnsi="Times New Roman"/>
          <w:sz w:val="18"/>
          <w:szCs w:val="18"/>
          <w:color w:val="auto"/>
        </w:rPr>
        <w:t>. Any director may resign at any time upon notice to the Corporation given in writing or by any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as permitted by the By-Laws. Any or all of the directors (other than the directors elected by the holders of any series of Preferred Stock, voting separately as a series or together with one or more other such series, as the case may be) may be removed only for cause and upon the affirmative vote of the holders of at least 66 2/3% of the total voting power of all the then-outstanding shares of stock of the Corporation entitled to vote generally in the election of directors, voting together as a single class.</w:t>
      </w:r>
    </w:p>
    <w:p>
      <w:pPr>
        <w:spacing w:after="0" w:line="72" w:lineRule="exact"/>
        <w:rPr>
          <w:rFonts w:ascii="Times New Roman" w:cs="Times New Roman" w:eastAsia="Times New Roman" w:hAnsi="Times New Roman"/>
          <w:sz w:val="18"/>
          <w:szCs w:val="18"/>
          <w:color w:val="auto"/>
        </w:rPr>
      </w:pPr>
    </w:p>
    <w:p>
      <w:pPr>
        <w:ind w:right="40" w:firstLine="990"/>
        <w:spacing w:after="0" w:line="254" w:lineRule="auto"/>
        <w:tabs>
          <w:tab w:leader="none" w:pos="127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Preferred Stock Directors</w:t>
      </w:r>
      <w:r>
        <w:rPr>
          <w:rFonts w:ascii="Times New Roman" w:cs="Times New Roman" w:eastAsia="Times New Roman" w:hAnsi="Times New Roman"/>
          <w:sz w:val="18"/>
          <w:szCs w:val="18"/>
          <w:color w:val="auto"/>
        </w:rPr>
        <w:t>. Whenever the holders of any one or more series of Preferred Stock issued by the Corporation shall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Section 6.1(A), the number of directors that may be elected by the holders of any such series of Preferred Stock shall be in addition to the number fixed pursuant to Section 6.1(A) hereof, and the total number of directors constituting the whole Board shall be automatically adjusted accordingly.</w:t>
      </w:r>
    </w:p>
    <w:p>
      <w:pPr>
        <w:spacing w:after="0" w:line="76"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Election by Written Ballot</w:t>
      </w:r>
      <w:r>
        <w:rPr>
          <w:rFonts w:ascii="Times New Roman" w:cs="Times New Roman" w:eastAsia="Times New Roman" w:hAnsi="Times New Roman"/>
          <w:sz w:val="18"/>
          <w:szCs w:val="18"/>
          <w:color w:val="auto"/>
        </w:rPr>
        <w:t>. Directors of the Corporation need not be elected by written ballot unless the By-Laws shall so provide.</w:t>
      </w:r>
    </w:p>
    <w:p>
      <w:pPr>
        <w:spacing w:after="0" w:line="113"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holders of shares of Common Stock shall not have cumulative voting rights.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right="20" w:firstLine="982"/>
        <w:spacing w:after="0" w:line="250"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 xml:space="preserve">. Any action required or permitted to be taken by the holders of stock of the Corporation must be effected at a duly called annual or special meeting of such holders in accordance with the By-Laws and may not be effected by any consent by such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action required or permitted to be taken by the holders of Class V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the manner forth in Section 228 of the DGCL. Subject to the rights of the holders of any series of Preferred Stock, special meetings of the stockholders of the Corporation for any purpose or purposes may be called only by or at the direction of the Board, the Chairman of the Board or the Chief Executive Officer of the Corporation.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6" w:right="499" w:bottom="1440" w:gutter="0" w:footer="0" w:header="0"/>
        </w:sectPr>
      </w:pPr>
    </w:p>
    <w:bookmarkStart w:id="284" w:name="page285"/>
    <w:bookmarkEnd w:id="2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225" w:lineRule="exact"/>
        <w:rPr>
          <w:sz w:val="20"/>
          <w:szCs w:val="20"/>
          <w:color w:val="auto"/>
        </w:rPr>
      </w:pPr>
    </w:p>
    <w:p>
      <w:pPr>
        <w:ind w:firstLine="982"/>
        <w:spacing w:after="0" w:line="270"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Limited Liability of Directors</w:t>
      </w:r>
      <w:r>
        <w:rPr>
          <w:rFonts w:ascii="Times New Roman" w:cs="Times New Roman" w:eastAsia="Times New Roman" w:hAnsi="Times New Roman"/>
          <w:sz w:val="17"/>
          <w:szCs w:val="17"/>
          <w:color w:val="auto"/>
        </w:rPr>
        <w:t>.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Article VIII shall eliminate or reduce the effect thereof in respect of any state of facts existing or act or omission occurring, or any cause of action, suit or claim that, but for this Article VIII, would accrue or arise, or otherwise adversely affect any limitation on the personal liability of a director of the Corporation existing prior to such amendment or repeal.</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p>
    <w:p>
      <w:pPr>
        <w:spacing w:after="0" w:line="114" w:lineRule="exact"/>
        <w:rPr>
          <w:sz w:val="20"/>
          <w:szCs w:val="20"/>
          <w:color w:val="auto"/>
        </w:rPr>
      </w:pPr>
    </w:p>
    <w:p>
      <w:pPr>
        <w:ind w:firstLine="990"/>
        <w:spacing w:after="0" w:line="249" w:lineRule="auto"/>
        <w:tabs>
          <w:tab w:leader="none" w:pos="127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Indemnification and Advancement of Expenses</w:t>
      </w:r>
      <w:r>
        <w:rPr>
          <w:rFonts w:ascii="Times New Roman" w:cs="Times New Roman" w:eastAsia="Times New Roman" w:hAnsi="Times New Roman"/>
          <w:sz w:val="18"/>
          <w:szCs w:val="18"/>
          <w:color w:val="auto"/>
        </w:rPr>
        <w:t>. To the fullest extent permitted by applicable law, as the same exists or may hereafter be amended, the Corporation shall indemnify and hold harmless each person who is or was made a party or is threatened to be made a party to or is otherwise involved in a Proceeding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93" w:lineRule="exact"/>
        <w:rPr>
          <w:rFonts w:ascii="Times New Roman" w:cs="Times New Roman" w:eastAsia="Times New Roman" w:hAnsi="Times New Roman"/>
          <w:sz w:val="18"/>
          <w:szCs w:val="18"/>
          <w:color w:val="auto"/>
        </w:rPr>
      </w:pPr>
    </w:p>
    <w:p>
      <w:pPr>
        <w:ind w:left="1280" w:hanging="290"/>
        <w:spacing w:after="0"/>
        <w:tabs>
          <w:tab w:leader="none" w:pos="12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advancement of expenses conferred on any Indemnitee by this</w:t>
      </w:r>
    </w:p>
    <w:p>
      <w:pPr>
        <w:spacing w:after="0" w:line="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Section 8.2 shall not be exclusive of any other rights that any Indemnitee may have or hereafter acquire under law, this Certificate of Incorporation, the By-Laws, an agreement, vote of stockholders or disinterested directors, or otherwise.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285" w:name="page286"/>
    <w:bookmarkEnd w:id="285"/>
    <w:p>
      <w:pPr>
        <w:ind w:left="-20" w:right="100" w:firstLine="990"/>
        <w:spacing w:after="0" w:line="253" w:lineRule="auto"/>
        <w:tabs>
          <w:tab w:leader="none" w:pos="12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Amendments</w:t>
      </w:r>
      <w:r>
        <w:rPr>
          <w:rFonts w:ascii="Times New Roman" w:cs="Times New Roman" w:eastAsia="Times New Roman" w:hAnsi="Times New Roman"/>
          <w:sz w:val="18"/>
          <w:szCs w:val="18"/>
          <w:color w:val="auto"/>
        </w:rPr>
        <w:t>. Any repeal or amendment of this Section 8.2 by the stockholders of the Corporation or by changes in law, or the adoption of any other provision of this Certificate of Incorporation inconsistent with this Section 8.2,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77" w:lineRule="exact"/>
        <w:rPr>
          <w:rFonts w:ascii="Times New Roman" w:cs="Times New Roman" w:eastAsia="Times New Roman" w:hAnsi="Times New Roman"/>
          <w:sz w:val="18"/>
          <w:szCs w:val="18"/>
          <w:color w:val="auto"/>
        </w:rPr>
      </w:pPr>
    </w:p>
    <w:p>
      <w:pPr>
        <w:ind w:left="-20" w:right="60" w:firstLine="990"/>
        <w:spacing w:after="0" w:line="255" w:lineRule="auto"/>
        <w:tabs>
          <w:tab w:leader="none" w:pos="125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advancement of expenses and other rights contained in this Section 8.2 in entering into or continuing such service. The rights to indemnification and to the advancement of expenses conferred in this Section 8.2 shall apply to claims made against an Indemnitee arising out of acts or omissions which occurred or occur both prior and subsequent to the adoption hereof.</w:t>
      </w:r>
    </w:p>
    <w:p>
      <w:pPr>
        <w:spacing w:after="0" w:line="77" w:lineRule="exact"/>
        <w:rPr>
          <w:rFonts w:ascii="Times New Roman" w:cs="Times New Roman" w:eastAsia="Times New Roman" w:hAnsi="Times New Roman"/>
          <w:sz w:val="18"/>
          <w:szCs w:val="18"/>
          <w:color w:val="auto"/>
        </w:rPr>
      </w:pPr>
    </w:p>
    <w:p>
      <w:pPr>
        <w:ind w:left="-20" w:right="40" w:firstLine="990"/>
        <w:spacing w:after="0" w:line="278" w:lineRule="auto"/>
        <w:tabs>
          <w:tab w:leader="none" w:pos="123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other than Indemnitees</w:t>
      </w:r>
      <w:r>
        <w:rPr>
          <w:rFonts w:ascii="Times New Roman" w:cs="Times New Roman" w:eastAsia="Times New Roman" w:hAnsi="Times New Roman"/>
          <w:sz w:val="18"/>
          <w:szCs w:val="18"/>
          <w:color w:val="auto"/>
        </w:rPr>
        <w:t>. This Section 8.2 shall not limit the right of the Corporation, to the extent and in the manner authorized or permitted by law, to indemnify and to advance expenses to persons other than Indemnitees.</w:t>
      </w:r>
    </w:p>
    <w:p>
      <w:pPr>
        <w:spacing w:after="0" w:line="3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DGCL Section 203 and Business Combinations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hanging="290"/>
        <w:spacing w:after="0"/>
        <w:tabs>
          <w:tab w:leader="none" w:pos="12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expressly elects not to be governed by Section 203 of the DGCL.</w:t>
      </w:r>
    </w:p>
    <w:p>
      <w:pPr>
        <w:spacing w:after="0" w:line="113" w:lineRule="exact"/>
        <w:rPr>
          <w:rFonts w:ascii="Times New Roman" w:cs="Times New Roman" w:eastAsia="Times New Roman" w:hAnsi="Times New Roman"/>
          <w:sz w:val="18"/>
          <w:szCs w:val="18"/>
          <w:color w:val="auto"/>
        </w:rPr>
      </w:pPr>
    </w:p>
    <w:p>
      <w:pPr>
        <w:ind w:left="-20" w:right="40" w:firstLine="990"/>
        <w:spacing w:after="0" w:line="258" w:lineRule="auto"/>
        <w:tabs>
          <w:tab w:leader="none" w:pos="124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below) for a period of three years following the time that such stockholder became an interested stockholder, unless:</w:t>
      </w:r>
    </w:p>
    <w:p>
      <w:pPr>
        <w:spacing w:after="0" w:line="72" w:lineRule="exact"/>
        <w:rPr>
          <w:rFonts w:ascii="Times New Roman" w:cs="Times New Roman" w:eastAsia="Times New Roman" w:hAnsi="Times New Roman"/>
          <w:sz w:val="18"/>
          <w:szCs w:val="18"/>
          <w:color w:val="auto"/>
        </w:rPr>
      </w:pPr>
    </w:p>
    <w:p>
      <w:pPr>
        <w:ind w:left="420" w:right="540" w:firstLine="947"/>
        <w:spacing w:after="0" w:line="278" w:lineRule="auto"/>
        <w:tabs>
          <w:tab w:leader="none" w:pos="16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 or</w:t>
      </w:r>
    </w:p>
    <w:p>
      <w:pPr>
        <w:spacing w:after="0" w:line="55" w:lineRule="exact"/>
        <w:rPr>
          <w:rFonts w:ascii="Times New Roman" w:cs="Times New Roman" w:eastAsia="Times New Roman" w:hAnsi="Times New Roman"/>
          <w:sz w:val="18"/>
          <w:szCs w:val="18"/>
          <w:color w:val="auto"/>
        </w:rPr>
      </w:pPr>
    </w:p>
    <w:p>
      <w:pPr>
        <w:ind w:left="420" w:firstLine="947"/>
        <w:spacing w:after="0" w:line="255" w:lineRule="auto"/>
        <w:tabs>
          <w:tab w:leader="none" w:pos="16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7" w:lineRule="exact"/>
        <w:rPr>
          <w:rFonts w:ascii="Times New Roman" w:cs="Times New Roman" w:eastAsia="Times New Roman" w:hAnsi="Times New Roman"/>
          <w:sz w:val="18"/>
          <w:szCs w:val="18"/>
          <w:color w:val="auto"/>
        </w:rPr>
      </w:pPr>
    </w:p>
    <w:p>
      <w:pPr>
        <w:ind w:left="420" w:right="40" w:firstLine="947"/>
        <w:spacing w:after="0" w:line="263" w:lineRule="auto"/>
        <w:tabs>
          <w:tab w:leader="none" w:pos="16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500" w:top="268" w:right="499" w:bottom="1440" w:gutter="0" w:footer="0" w:header="0"/>
        </w:sectPr>
      </w:pPr>
    </w:p>
    <w:bookmarkStart w:id="286" w:name="page287"/>
    <w:bookmarkEnd w:id="286"/>
    <w:p>
      <w:pPr>
        <w:ind w:left="840" w:hanging="290"/>
        <w:spacing w:after="0"/>
        <w:tabs>
          <w:tab w:leader="none" w:pos="8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purposes of this Article IX, references to:</w:t>
      </w:r>
    </w:p>
    <w:p>
      <w:pPr>
        <w:spacing w:after="0" w:line="113" w:lineRule="exact"/>
        <w:rPr>
          <w:rFonts w:ascii="Times New Roman" w:cs="Times New Roman" w:eastAsia="Times New Roman" w:hAnsi="Times New Roman"/>
          <w:sz w:val="18"/>
          <w:szCs w:val="18"/>
          <w:color w:val="auto"/>
        </w:rPr>
      </w:pPr>
    </w:p>
    <w:p>
      <w:pPr>
        <w:ind w:right="40" w:firstLine="947"/>
        <w:spacing w:after="0" w:line="278" w:lineRule="auto"/>
        <w:tabs>
          <w:tab w:leader="none" w:pos="119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55" w:lineRule="exact"/>
        <w:rPr>
          <w:rFonts w:ascii="Times New Roman" w:cs="Times New Roman" w:eastAsia="Times New Roman" w:hAnsi="Times New Roman"/>
          <w:sz w:val="18"/>
          <w:szCs w:val="18"/>
          <w:color w:val="auto"/>
        </w:rPr>
      </w:pPr>
    </w:p>
    <w:p>
      <w:pPr>
        <w:ind w:right="20" w:firstLine="947"/>
        <w:spacing w:after="0" w:line="255" w:lineRule="auto"/>
        <w:tabs>
          <w:tab w:leader="none" w:pos="119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7"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127" w:lineRule="exact"/>
        <w:rPr>
          <w:sz w:val="20"/>
          <w:szCs w:val="20"/>
          <w:color w:val="auto"/>
        </w:rPr>
      </w:pPr>
    </w:p>
    <w:p>
      <w:pPr>
        <w:ind w:left="1520" w:hanging="535"/>
        <w:spacing w:after="0"/>
        <w:tabs>
          <w:tab w:leader="none" w:pos="15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w:t>
      </w:r>
    </w:p>
    <w:p>
      <w:pPr>
        <w:spacing w:after="0" w:line="25" w:lineRule="exact"/>
        <w:rPr>
          <w:rFonts w:ascii="Times New Roman" w:cs="Times New Roman" w:eastAsia="Times New Roman" w:hAnsi="Times New Roman"/>
          <w:sz w:val="18"/>
          <w:szCs w:val="18"/>
          <w:color w:val="auto"/>
        </w:rPr>
      </w:pPr>
    </w:p>
    <w:p>
      <w:pPr>
        <w:ind w:left="1520"/>
        <w:spacing w:after="0" w:line="262" w:lineRule="auto"/>
        <w:tabs>
          <w:tab w:leader="none" w:pos="1733"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interested stockholder, or (ii) with any other corporation, partnership, unincorporated association or other entity if the merger or consolidation is caused by the interested stockholder and as a result of such merger or consolidation Section</w:t>
      </w:r>
    </w:p>
    <w:p>
      <w:pPr>
        <w:spacing w:after="0" w:line="1" w:lineRule="exact"/>
        <w:rPr>
          <w:rFonts w:ascii="Times New Roman" w:cs="Times New Roman" w:eastAsia="Times New Roman" w:hAnsi="Times New Roman"/>
          <w:sz w:val="17"/>
          <w:szCs w:val="17"/>
          <w:color w:val="auto"/>
        </w:rPr>
      </w:pPr>
    </w:p>
    <w:p>
      <w:pPr>
        <w:ind w:left="1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this Article IX is not applicable to the surviving entity;</w:t>
      </w:r>
    </w:p>
    <w:p>
      <w:pPr>
        <w:spacing w:after="0" w:line="108" w:lineRule="exact"/>
        <w:rPr>
          <w:rFonts w:ascii="Times New Roman" w:cs="Times New Roman" w:eastAsia="Times New Roman" w:hAnsi="Times New Roman"/>
          <w:sz w:val="17"/>
          <w:szCs w:val="17"/>
          <w:color w:val="auto"/>
        </w:rPr>
      </w:pPr>
    </w:p>
    <w:p>
      <w:pPr>
        <w:ind w:left="1520" w:right="40" w:hanging="535"/>
        <w:spacing w:after="0" w:line="254" w:lineRule="auto"/>
        <w:tabs>
          <w:tab w:leader="none" w:pos="15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89" w:lineRule="exact"/>
        <w:rPr>
          <w:rFonts w:ascii="Times New Roman" w:cs="Times New Roman" w:eastAsia="Times New Roman" w:hAnsi="Times New Roman"/>
          <w:sz w:val="18"/>
          <w:szCs w:val="18"/>
          <w:color w:val="auto"/>
        </w:rPr>
      </w:pPr>
    </w:p>
    <w:p>
      <w:pPr>
        <w:ind w:left="1520" w:right="380" w:hanging="535"/>
        <w:spacing w:after="0" w:line="274" w:lineRule="auto"/>
        <w:tabs>
          <w:tab w:leader="none" w:pos="152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w:t>
      </w:r>
    </w:p>
    <w:p>
      <w:pPr>
        <w:ind w:left="1520" w:right="40"/>
        <w:spacing w:after="0" w:line="249" w:lineRule="auto"/>
        <w:tabs>
          <w:tab w:leader="none" w:pos="173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20" w:top="268" w:right="519" w:bottom="1440" w:gutter="0" w:footer="0" w:header="0"/>
        </w:sectPr>
      </w:pPr>
    </w:p>
    <w:bookmarkStart w:id="287" w:name="page288"/>
    <w:bookmarkEnd w:id="287"/>
    <w:p>
      <w:pPr>
        <w:ind w:left="1520" w:right="160" w:hanging="535"/>
        <w:spacing w:after="0" w:line="255" w:lineRule="auto"/>
        <w:tabs>
          <w:tab w:leader="none" w:pos="15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90" w:lineRule="exact"/>
        <w:rPr>
          <w:rFonts w:ascii="Times New Roman" w:cs="Times New Roman" w:eastAsia="Times New Roman" w:hAnsi="Times New Roman"/>
          <w:sz w:val="18"/>
          <w:szCs w:val="18"/>
          <w:color w:val="auto"/>
        </w:rPr>
      </w:pPr>
    </w:p>
    <w:p>
      <w:pPr>
        <w:ind w:left="1520" w:right="60" w:hanging="535"/>
        <w:spacing w:after="0" w:line="258" w:lineRule="auto"/>
        <w:tabs>
          <w:tab w:leader="none" w:pos="15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73" w:lineRule="exact"/>
        <w:rPr>
          <w:sz w:val="20"/>
          <w:szCs w:val="20"/>
          <w:color w:val="auto"/>
        </w:rPr>
      </w:pPr>
    </w:p>
    <w:p>
      <w:pPr>
        <w:ind w:right="40" w:firstLine="947"/>
        <w:spacing w:after="0" w:line="253" w:lineRule="auto"/>
        <w:tabs>
          <w:tab w:leader="none" w:pos="11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(C) of Article IX, as an agent, bank, broker, nominee, custodian or trustee for one or more owners who do not individually or as a group have control of such entity.</w:t>
      </w:r>
    </w:p>
    <w:p>
      <w:pPr>
        <w:spacing w:after="0" w:line="77" w:lineRule="exact"/>
        <w:rPr>
          <w:rFonts w:ascii="Times New Roman" w:cs="Times New Roman" w:eastAsia="Times New Roman" w:hAnsi="Times New Roman"/>
          <w:sz w:val="18"/>
          <w:szCs w:val="18"/>
          <w:color w:val="auto"/>
        </w:rPr>
      </w:pPr>
    </w:p>
    <w:p>
      <w:pPr>
        <w:ind w:firstLine="947"/>
        <w:spacing w:after="0" w:line="250" w:lineRule="auto"/>
        <w:tabs>
          <w:tab w:leader="none" w:pos="11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but “interested stockholder” shall not include (I) any Stockholder Party, any Stockholder Party Direct Transferee, any Stockholder Party Indirect Transferee or any of their respective Affiliates or associates or successors or any “group,” or any member of any such group, to which such persons are a party under Rule 13d-5 of the Exchange Act, or (II) any person whose ownership of shares in excess of the 15% limitation set forth herein is the result of any action taken solely by the 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0"/>
          </w:cols>
          <w:pgMar w:left="920" w:top="268" w:right="499" w:bottom="1440" w:gutter="0" w:footer="0" w:header="0"/>
        </w:sectPr>
      </w:pPr>
    </w:p>
    <w:bookmarkStart w:id="288" w:name="page289"/>
    <w:bookmarkEnd w:id="288"/>
    <w:p>
      <w:pPr>
        <w:ind w:right="80" w:firstLine="947"/>
        <w:spacing w:after="0" w:line="278" w:lineRule="auto"/>
        <w:tabs>
          <w:tab w:leader="none" w:pos="11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69" w:lineRule="exact"/>
        <w:rPr>
          <w:sz w:val="20"/>
          <w:szCs w:val="20"/>
          <w:color w:val="auto"/>
        </w:rPr>
      </w:pPr>
    </w:p>
    <w:p>
      <w:pPr>
        <w:ind w:left="1520" w:hanging="535"/>
        <w:spacing w:after="0"/>
        <w:tabs>
          <w:tab w:leader="none" w:pos="15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127" w:lineRule="exact"/>
        <w:rPr>
          <w:rFonts w:ascii="Times New Roman" w:cs="Times New Roman" w:eastAsia="Times New Roman" w:hAnsi="Times New Roman"/>
          <w:sz w:val="18"/>
          <w:szCs w:val="18"/>
          <w:color w:val="auto"/>
        </w:rPr>
      </w:pPr>
    </w:p>
    <w:p>
      <w:pPr>
        <w:ind w:left="1520" w:hanging="535"/>
        <w:spacing w:after="0" w:line="252" w:lineRule="auto"/>
        <w:tabs>
          <w:tab w:leader="none" w:pos="15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93" w:lineRule="exact"/>
        <w:rPr>
          <w:rFonts w:ascii="Times New Roman" w:cs="Times New Roman" w:eastAsia="Times New Roman" w:hAnsi="Times New Roman"/>
          <w:sz w:val="18"/>
          <w:szCs w:val="18"/>
          <w:color w:val="auto"/>
        </w:rPr>
      </w:pPr>
    </w:p>
    <w:p>
      <w:pPr>
        <w:ind w:left="1520" w:right="140" w:hanging="535"/>
        <w:spacing w:after="0" w:line="263" w:lineRule="auto"/>
        <w:tabs>
          <w:tab w:leader="none" w:pos="15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68" w:lineRule="exact"/>
        <w:rPr>
          <w:sz w:val="20"/>
          <w:szCs w:val="20"/>
          <w:color w:val="auto"/>
        </w:rPr>
      </w:pPr>
    </w:p>
    <w:p>
      <w:pPr>
        <w:ind w:left="1200" w:hanging="253"/>
        <w:spacing w:after="0"/>
        <w:tabs>
          <w:tab w:leader="none" w:pos="12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13"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113" w:lineRule="exact"/>
        <w:rPr>
          <w:rFonts w:ascii="Times New Roman" w:cs="Times New Roman" w:eastAsia="Times New Roman" w:hAnsi="Times New Roman"/>
          <w:sz w:val="18"/>
          <w:szCs w:val="18"/>
          <w:color w:val="auto"/>
        </w:rPr>
      </w:pPr>
    </w:p>
    <w:p>
      <w:pPr>
        <w:ind w:right="220" w:firstLine="947"/>
        <w:spacing w:after="0" w:line="278" w:lineRule="auto"/>
        <w:tabs>
          <w:tab w:leader="none" w:pos="11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Parties</w:t>
      </w:r>
      <w:r>
        <w:rPr>
          <w:rFonts w:ascii="Times New Roman" w:cs="Times New Roman" w:eastAsia="Times New Roman" w:hAnsi="Times New Roman"/>
          <w:sz w:val="18"/>
          <w:szCs w:val="18"/>
          <w:color w:val="auto"/>
        </w:rPr>
        <w:t>” means the Stockholders (as defined in the Stockholders Agreement). The term “</w:t>
      </w:r>
      <w:r>
        <w:rPr>
          <w:rFonts w:ascii="Times New Roman" w:cs="Times New Roman" w:eastAsia="Times New Roman" w:hAnsi="Times New Roman"/>
          <w:sz w:val="18"/>
          <w:szCs w:val="18"/>
          <w:u w:val="single" w:color="auto"/>
          <w:color w:val="auto"/>
        </w:rPr>
        <w:t>Stockholder Party</w:t>
      </w:r>
      <w:r>
        <w:rPr>
          <w:rFonts w:ascii="Times New Roman" w:cs="Times New Roman" w:eastAsia="Times New Roman" w:hAnsi="Times New Roman"/>
          <w:sz w:val="18"/>
          <w:szCs w:val="18"/>
          <w:color w:val="auto"/>
        </w:rPr>
        <w:t>” shall have a correlative meaning to “Stockholder Parties.”</w:t>
      </w:r>
    </w:p>
    <w:p>
      <w:pPr>
        <w:spacing w:after="0" w:line="55" w:lineRule="exact"/>
        <w:rPr>
          <w:rFonts w:ascii="Times New Roman" w:cs="Times New Roman" w:eastAsia="Times New Roman" w:hAnsi="Times New Roman"/>
          <w:sz w:val="18"/>
          <w:szCs w:val="18"/>
          <w:color w:val="auto"/>
        </w:rPr>
      </w:pPr>
    </w:p>
    <w:p>
      <w:pPr>
        <w:ind w:right="140" w:firstLine="947"/>
        <w:spacing w:after="0" w:line="263" w:lineRule="auto"/>
        <w:tabs>
          <w:tab w:leader="none" w:pos="12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then-outstanding voting stock of the Corporation.</w:t>
      </w:r>
    </w:p>
    <w:p>
      <w:pPr>
        <w:spacing w:after="0" w:line="68" w:lineRule="exact"/>
        <w:rPr>
          <w:rFonts w:ascii="Times New Roman" w:cs="Times New Roman" w:eastAsia="Times New Roman" w:hAnsi="Times New Roman"/>
          <w:sz w:val="18"/>
          <w:szCs w:val="18"/>
          <w:color w:val="auto"/>
        </w:rPr>
      </w:pPr>
    </w:p>
    <w:p>
      <w:pPr>
        <w:ind w:right="40" w:firstLine="947"/>
        <w:spacing w:after="0" w:line="263" w:lineRule="auto"/>
        <w:tabs>
          <w:tab w:leader="none" w:pos="127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Indirect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Direct Transferee or any other Stockholder Party Indirect Transferee beneficial ownership of 15% or more of the then-outstanding voting stock of the Corporation.</w:t>
      </w:r>
    </w:p>
    <w:p>
      <w:pPr>
        <w:spacing w:after="0" w:line="68" w:lineRule="exact"/>
        <w:rPr>
          <w:rFonts w:ascii="Times New Roman" w:cs="Times New Roman" w:eastAsia="Times New Roman" w:hAnsi="Times New Roman"/>
          <w:sz w:val="18"/>
          <w:szCs w:val="18"/>
          <w:color w:val="auto"/>
        </w:rPr>
      </w:pPr>
    </w:p>
    <w:p>
      <w:pPr>
        <w:ind w:firstLine="947"/>
        <w:spacing w:after="0" w:line="263" w:lineRule="auto"/>
        <w:tabs>
          <w:tab w:leader="none" w:pos="12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60"/>
          </w:cols>
          <w:pgMar w:left="920" w:top="268" w:right="51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Competition and Corporate Opportunities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0" w:firstLine="990"/>
        <w:spacing w:after="0" w:line="265" w:lineRule="auto"/>
        <w:tabs>
          <w:tab w:leader="none" w:pos="1234"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and anticipation that (i) certain directors, principals, officers, employees, equityholders and/or other representatives of VPC Impact Acquisition Holdings Sponsor, LLC (“</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and its Affiliates and Affiliated Entities (each, as defined below) may serve as directors, officers or agents of the Corporation, (ii) the Sponsor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(iii) certain directors, principals, officers, employees, equityholders and/or other representatives of Intercontinental Exchange Holdings, Inc. (“Holdings”) and its Affiliates and Affiliated Entities may serve as directors, officers or agents of the Corporation, (iv) Holdings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and (v) members of the Board who are not employees of the Corporation (“</w:t>
      </w:r>
      <w:r>
        <w:rPr>
          <w:rFonts w:ascii="Times New Roman" w:cs="Times New Roman" w:eastAsia="Times New Roman" w:hAnsi="Times New Roman"/>
          <w:sz w:val="17"/>
          <w:szCs w:val="17"/>
          <w:u w:val="single" w:color="auto"/>
          <w:color w:val="auto"/>
        </w:rPr>
        <w:t>Non-Employee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and their respective Affiliates and Affiliated Entities including (I) any company in which they or any of their respective Affiliates or Affiliated Entities have made a debt or equity investment (and vice versa) or (II) any of their respective direct or indirect investors, may now engage and may continue to engage in (a) the same or similar activities or related lines of business as those in which the Corporation, directly or indirectly, may engage and/or (b) other business activities that overlap with or compete with those in which the Corporation, directly or indirectly, may engage, the provisions of this Article X are set forth to regulate and define the conduct of certain affairs of the Corporation with respect to certain classes or categories of business opportunities as they may involve the Sponsor, Holdings, any of the Non-Employee Directors or their respective Affiliates or Affiliated Entities and the powers, rights, duties and liabilities of the Corporation and its directors, officers and stockholders in connection therewith.</w:t>
      </w:r>
    </w:p>
    <w:p>
      <w:pPr>
        <w:spacing w:after="0" w:line="69" w:lineRule="exact"/>
        <w:rPr>
          <w:rFonts w:ascii="Times New Roman" w:cs="Times New Roman" w:eastAsia="Times New Roman" w:hAnsi="Times New Roman"/>
          <w:sz w:val="17"/>
          <w:szCs w:val="17"/>
          <w:color w:val="auto"/>
        </w:rPr>
      </w:pPr>
    </w:p>
    <w:p>
      <w:pPr>
        <w:ind w:left="-40" w:right="80" w:firstLine="990"/>
        <w:spacing w:after="0" w:line="251" w:lineRule="auto"/>
        <w:tabs>
          <w:tab w:leader="none" w:pos="122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Sponsor, (ii) Holdings or (iii) any Non-Employee Director or his, her or its respective Affiliates or Affiliated Entities (the Persons (as defined below) above being referred to, collectively, as “</w:t>
      </w:r>
      <w:r>
        <w:rPr>
          <w:rFonts w:ascii="Times New Roman" w:cs="Times New Roman" w:eastAsia="Times New Roman" w:hAnsi="Times New Roman"/>
          <w:sz w:val="18"/>
          <w:szCs w:val="18"/>
          <w:u w:val="single" w:color="auto"/>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520" w:top="265" w:right="519" w:bottom="1440" w:gutter="0" w:footer="0" w:header="0"/>
        </w:sectPr>
      </w:pPr>
    </w:p>
    <w:bookmarkStart w:id="290" w:name="page291"/>
    <w:bookmarkEnd w:id="290"/>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expectancy in, or right to be offered an opportunity to participate in, any business opportunity which may be a corporate opportunity for an Identified Person and the Corporation or any of its Affiliates, except as provided in Section 10.1(C) of this Article X. Subject to said Section 10.1(C) of this Article 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 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w:t>
      </w:r>
    </w:p>
    <w:p>
      <w:pPr>
        <w:spacing w:after="0" w:line="68" w:lineRule="exact"/>
        <w:rPr>
          <w:sz w:val="20"/>
          <w:szCs w:val="20"/>
          <w:color w:val="auto"/>
        </w:rPr>
      </w:pPr>
    </w:p>
    <w:p>
      <w:pPr>
        <w:ind w:right="40" w:firstLine="990"/>
        <w:spacing w:after="0" w:line="263" w:lineRule="auto"/>
        <w:tabs>
          <w:tab w:leader="none" w:pos="126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corporate opportunity offered to any Non-Employee Director if such opportunity is expressly offered to such person solely in his or her capacity as a director of the Corporation, and the provisions of Section 10.1(B) of this Article X shall not apply to any such corporate opportunity.</w:t>
      </w:r>
    </w:p>
    <w:p>
      <w:pPr>
        <w:spacing w:after="0" w:line="68" w:lineRule="exact"/>
        <w:rPr>
          <w:rFonts w:ascii="Times New Roman" w:cs="Times New Roman" w:eastAsia="Times New Roman" w:hAnsi="Times New Roman"/>
          <w:sz w:val="18"/>
          <w:szCs w:val="18"/>
          <w:color w:val="auto"/>
        </w:rPr>
      </w:pPr>
    </w:p>
    <w:p>
      <w:pPr>
        <w:ind w:firstLine="990"/>
        <w:spacing w:after="0" w:line="258" w:lineRule="auto"/>
        <w:tabs>
          <w:tab w:leader="none" w:pos="127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72" w:lineRule="exact"/>
        <w:rPr>
          <w:rFonts w:ascii="Times New Roman" w:cs="Times New Roman" w:eastAsia="Times New Roman" w:hAnsi="Times New Roman"/>
          <w:sz w:val="18"/>
          <w:szCs w:val="18"/>
          <w:color w:val="auto"/>
        </w:rPr>
      </w:pPr>
    </w:p>
    <w:p>
      <w:pPr>
        <w:ind w:right="40" w:firstLine="990"/>
        <w:spacing w:after="0" w:line="250" w:lineRule="auto"/>
        <w:tabs>
          <w:tab w:leader="none" w:pos="125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X, (i)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in respect of the Sponsor, any Person that, directly or indirectly, is controlled by the Sponsor (as applicable), controls the Sponsor (as applicable) or is under common control with the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Victory Park Capital Advisors, LLC, (B) in respect of Holdings, any Person that, directly or indirectly, is controlled by Holdings (as applicable), controls Holdings (as applicable) or is under common control with Holdings (as applicable) and shall include any principal, member, director, investor, partner, stockholder, officer, employee, predecessor, successor, agent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(ii)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84" w:lineRule="exact"/>
        <w:rPr>
          <w:rFonts w:ascii="Times New Roman" w:cs="Times New Roman" w:eastAsia="Times New Roman" w:hAnsi="Times New Roman"/>
          <w:sz w:val="18"/>
          <w:szCs w:val="18"/>
          <w:color w:val="auto"/>
        </w:rPr>
      </w:pPr>
    </w:p>
    <w:p>
      <w:pPr>
        <w:ind w:right="220" w:firstLine="990"/>
        <w:spacing w:after="0" w:line="278" w:lineRule="auto"/>
        <w:tabs>
          <w:tab w:leader="none" w:pos="124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291" w:name="page292"/>
    <w:bookmarkEnd w:id="291"/>
    <w:p>
      <w:pPr>
        <w:ind w:right="80" w:firstLine="990"/>
        <w:spacing w:after="0" w:line="254" w:lineRule="auto"/>
        <w:tabs>
          <w:tab w:leader="none" w:pos="127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Neither the alteration, amendment, addition to or repeal of this Article X, nor the adoption of any provision of this Certificate of Incorporation (including any Preferred Stock designation) inconsistent with this Article X, shall eliminate or reduce the effect of this Article X upon Sponsor, Holdings or any of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Certificate of Incorporation, the By-Laws or applicable law.</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right="2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 applied to any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7"/>
          <w:szCs w:val="17"/>
          <w:color w:val="auto"/>
        </w:rPr>
        <w:t xml:space="preserve">Section 12.1 </w:t>
      </w:r>
      <w:r>
        <w:rPr>
          <w:rFonts w:ascii="Times New Roman" w:cs="Times New Roman" w:eastAsia="Times New Roman" w:hAnsi="Times New Roman"/>
          <w:sz w:val="17"/>
          <w:szCs w:val="17"/>
          <w:u w:val="single" w:color="auto"/>
          <w:color w:val="auto"/>
        </w:rPr>
        <w:t>Forum</w:t>
      </w:r>
      <w:r>
        <w:rPr>
          <w:rFonts w:ascii="Times New Roman" w:cs="Times New Roman" w:eastAsia="Times New Roman" w:hAnsi="Times New Roman"/>
          <w:sz w:val="17"/>
          <w:szCs w:val="17"/>
          <w:color w:val="auto"/>
        </w:rPr>
        <w:t>. Unless the Corporation consents in writing to the selection of an alternative forum, (i) any derivative action or proceeding brought or purportedly brought on behalf of the Corporation, (ii) any action or proceeding asserting a claim of breach of a fiduciary duty owed by any current or former director, officer, employee, stockholder or agent of the Corporation to the Corporation or the Corporation’s stockholders, or any claim for aiding and abetting such alleged breach, (iii) any action or proceeding asserting a claim (a) arising pursuant to, or seeking to enforce any right, obligation or remedy under, any provision of the DGCL, the Certificate of Incorporation or the By-Laws (in each case, as they may be amended from time to time) or (b) as to which the DGCL confers jurisdiction on the Court of Chancery of the State of Delaware, (iv) any action or proceeding to interpret, apply, enforce or determine the validity of the Certificate of Incorporation or the By-Laws (in each case, as they may be amended from time to time) or any provision thereof, (v) any action or proceeding asserting a claim against the Corporation or any current or former director, officer, employee, stockholder or agent of the Corporation governed by the internal affairs doctrine of the law of the State of Delaware, or</w:t>
      </w:r>
    </w:p>
    <w:p>
      <w:pPr>
        <w:spacing w:after="0" w:line="2" w:lineRule="exact"/>
        <w:rPr>
          <w:sz w:val="20"/>
          <w:szCs w:val="20"/>
          <w:color w:val="auto"/>
        </w:rPr>
      </w:pPr>
    </w:p>
    <w:p>
      <w:pPr>
        <w:ind w:firstLine="7"/>
        <w:spacing w:after="0" w:line="249" w:lineRule="auto"/>
        <w:tabs>
          <w:tab w:leader="none" w:pos="30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an “internal corporate claim” as defined in Section 115 of the DGCL shall, to the fullest extent permitted by law and subject to the court’s having personal jurisdiction over the indispensable parties named as defendants, be solely and exclusively brought in the Court of Chancery of the State of Delaware or, if and only if such court does not have subject matter jurisdiction thereof, any other court located in the State of Delaware with subject matter jurisdiction.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8" w:right="519" w:bottom="1440" w:gutter="0" w:footer="0" w:header="0"/>
        </w:sectPr>
      </w:pPr>
    </w:p>
    <w:bookmarkStart w:id="292" w:name="page293"/>
    <w:bookmarkEnd w:id="2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XIII</w:t>
      </w:r>
    </w:p>
    <w:p>
      <w:pPr>
        <w:spacing w:after="0" w:line="225"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Notwithstanding anything contained in this Certificate of Incorporation to the contrary,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 Article XII and this Article XIII. Except as expressly provided in the foregoing sentence and the remainder of this Certificate of Incorporation (including any certificate of designation relating to any series of Preferred Stock), this Certificate of Incorporation may be amended by the affirmative vote of the holders of a majority of the total voting power of all the then-outstanding shares of stock of the Corporation entitled to vote generally in the election of directors, voting together as a single class.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ind w:right="14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who makes a request therefor.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15.1 </w:t>
      </w:r>
      <w:r>
        <w:rPr>
          <w:rFonts w:ascii="Times New Roman" w:cs="Times New Roman" w:eastAsia="Times New Roman" w:hAnsi="Times New Roman"/>
          <w:sz w:val="18"/>
          <w:szCs w:val="18"/>
          <w:u w:val="single" w:color="auto"/>
          <w:color w:val="auto"/>
        </w:rPr>
        <w:t>Sole Incorporator and Directors</w:t>
      </w:r>
      <w:r>
        <w:rPr>
          <w:rFonts w:ascii="Times New Roman" w:cs="Times New Roman" w:eastAsia="Times New Roman" w:hAnsi="Times New Roman"/>
          <w:sz w:val="18"/>
          <w:szCs w:val="18"/>
          <w:color w:val="auto"/>
        </w:rPr>
        <w:t>. The name and mailing address of the sole incorporator is as follows:</w:t>
      </w:r>
    </w:p>
    <w:p>
      <w:pPr>
        <w:spacing w:after="0" w:line="248" w:lineRule="exact"/>
        <w:rPr>
          <w:sz w:val="20"/>
          <w:szCs w:val="20"/>
          <w:color w:val="auto"/>
        </w:rPr>
      </w:pPr>
    </w:p>
    <w:p>
      <w:pPr>
        <w:ind w:left="180"/>
        <w:spacing w:after="0"/>
        <w:tabs>
          <w:tab w:leader="none" w:pos="5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[Mailing Address]</w:t>
      </w:r>
    </w:p>
    <w:p>
      <w:pPr>
        <w:spacing w:after="0" w:line="221"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The powers of the incorporator are to terminate upon the filing of this Certificate of Incorporation with the Secretary of State of the State of Delaware. The names and mailing addresses of the persons who are to serve as the directors of the Corporation until the first annual meeting of stockholders of the Corporation, until their successors are duly elected and qualified, or until their earlier death, resignation, retirement, or removal from office, are as follows:</w:t>
      </w:r>
    </w:p>
    <w:p>
      <w:pPr>
        <w:spacing w:after="0" w:line="207" w:lineRule="exact"/>
        <w:rPr>
          <w:sz w:val="20"/>
          <w:szCs w:val="20"/>
          <w:color w:val="auto"/>
        </w:rPr>
      </w:pPr>
    </w:p>
    <w:p>
      <w:pPr>
        <w:ind w:left="180"/>
        <w:spacing w:after="0"/>
        <w:tabs>
          <w:tab w:leader="none" w:pos="5660" w:val="left"/>
        </w:tabs>
        <w:rPr>
          <w:sz w:val="20"/>
          <w:szCs w:val="20"/>
          <w:color w:val="auto"/>
        </w:rPr>
      </w:pPr>
      <w:r>
        <w:rPr>
          <w:rFonts w:ascii="Times New Roman" w:cs="Times New Roman" w:eastAsia="Times New Roman" w:hAnsi="Times New Roman"/>
          <w:sz w:val="18"/>
          <w:szCs w:val="18"/>
          <w:color w:val="auto"/>
        </w:rPr>
        <w:t>[Names]</w:t>
      </w:r>
      <w:r>
        <w:rPr>
          <w:sz w:val="20"/>
          <w:szCs w:val="20"/>
          <w:color w:val="auto"/>
        </w:rPr>
        <w:tab/>
      </w:r>
      <w:r>
        <w:rPr>
          <w:rFonts w:ascii="Times New Roman" w:cs="Times New Roman" w:eastAsia="Times New Roman" w:hAnsi="Times New Roman"/>
          <w:sz w:val="18"/>
          <w:szCs w:val="18"/>
          <w:color w:val="auto"/>
        </w:rPr>
        <w:t>[Mailing Addresses]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4" w:right="5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Sole Incorporator has caused this Certificate of Incorporation to be signed on ________ __, 2021.</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15875</wp:posOffset>
            </wp:positionV>
            <wp:extent cx="25393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Sole Incorporator</w:t>
      </w:r>
    </w:p>
    <w:p>
      <w:pPr>
        <w:spacing w:after="0" w:line="37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BAKKT PUBCO BYLAWS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 2021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98"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color w:val="auto"/>
        </w:rPr>
        <w:t>. The registered office of Bakkt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(as amended, restated, modified or supplemented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right="3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of business, both within and outside the State of Delaware,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98"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color w:val="auto"/>
        </w:rPr>
        <w:t>. The annual meeting of the stockholders of the Corporation for the purpose of electing directors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as may be designated from time to time by the Board and stated in the Corporation’s notice of the meeting. The Board may postpone, reschedule or cancel any annual meeting of stockholders previously scheduled.</w:t>
      </w:r>
    </w:p>
    <w:p>
      <w:pPr>
        <w:spacing w:after="0" w:line="180"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 Except as otherwise required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or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w:t>
      </w:r>
    </w:p>
    <w:p>
      <w:pPr>
        <w:spacing w:after="0" w:line="180" w:lineRule="exact"/>
        <w:rPr>
          <w:sz w:val="20"/>
          <w:szCs w:val="20"/>
          <w:color w:val="auto"/>
        </w:rPr>
      </w:pPr>
    </w:p>
    <w:p>
      <w:pPr>
        <w:ind w:firstLine="43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Notice of Meetings</w:t>
      </w:r>
      <w:r>
        <w:rPr>
          <w:rFonts w:ascii="Times New Roman" w:cs="Times New Roman" w:eastAsia="Times New Roman" w:hAnsi="Times New Roman"/>
          <w:sz w:val="17"/>
          <w:szCs w:val="17"/>
          <w:color w:val="auto"/>
        </w:rPr>
        <w:t>. Except as otherwise provided by the DGCL, the Certificate of Incorporation or these By-Laws, notice of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 as of the record date for determining stockholders entitled to notice of the meeting. Such notice may be given in writing directed to such stockholders’ mailing address (or by electronic transmission directed to such stockholder’s electronic mail address, as applicable) as it</w:t>
      </w:r>
    </w:p>
    <w:p>
      <w:pPr>
        <w:sectPr>
          <w:pgSz w:w="11900" w:h="16838" w:orient="portrait"/>
          <w:cols w:equalWidth="0" w:num="1">
            <w:col w:w="10920"/>
          </w:cols>
          <w:pgMar w:left="480" w:top="264" w:right="499" w:bottom="1440" w:gutter="0" w:footer="0" w:header="0"/>
        </w:sectPr>
      </w:pPr>
    </w:p>
    <w:bookmarkStart w:id="296" w:name="page297"/>
    <w:bookmarkEnd w:id="296"/>
    <w:p>
      <w:pPr>
        <w:ind w:right="2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appears on the records of the Corporation and such notice shall be deemed given: (i) if mailed, when the notice is deposited in the United States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w:t>
      </w:r>
    </w:p>
    <w:p>
      <w:pPr>
        <w:spacing w:after="0" w:line="180" w:lineRule="exact"/>
        <w:rPr>
          <w:sz w:val="20"/>
          <w:szCs w:val="20"/>
          <w:color w:val="auto"/>
        </w:rPr>
      </w:pPr>
    </w:p>
    <w:p>
      <w:pPr>
        <w:ind w:right="40"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Quorum; Adjournments</w:t>
      </w:r>
      <w:r>
        <w:rPr>
          <w:rFonts w:ascii="Times New Roman" w:cs="Times New Roman" w:eastAsia="Times New Roman" w:hAnsi="Times New Roman"/>
          <w:sz w:val="18"/>
          <w:szCs w:val="18"/>
          <w:color w:val="auto"/>
        </w:rPr>
        <w:t>. The holders of a majority in voting power of the stock issued and outstanding and entitled to vote thereat,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w:t>
      </w:r>
    </w:p>
    <w:p>
      <w:pPr>
        <w:spacing w:after="0" w:line="191"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Organization of Meetings</w:t>
      </w:r>
      <w:r>
        <w:rPr>
          <w:rFonts w:ascii="Times New Roman" w:cs="Times New Roman" w:eastAsia="Times New Roman" w:hAnsi="Times New Roman"/>
          <w:sz w:val="18"/>
          <w:szCs w:val="18"/>
          <w:color w:val="auto"/>
        </w:rPr>
        <w:t>. The Chairman of the Board, or in the absence of the Chairman of the Board, or at the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297" w:name="page298"/>
    <w:bookmarkEnd w:id="29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2.6 </w:t>
      </w:r>
      <w:r>
        <w:rPr>
          <w:rFonts w:ascii="Times New Roman" w:cs="Times New Roman" w:eastAsia="Times New Roman" w:hAnsi="Times New Roman"/>
          <w:sz w:val="18"/>
          <w:szCs w:val="18"/>
          <w:b w:val="1"/>
          <w:bCs w:val="1"/>
          <w:u w:val="single" w:color="auto"/>
          <w:color w:val="auto"/>
        </w:rPr>
        <w:t>Proxies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640" w:firstLine="423"/>
        <w:spacing w:after="0" w:line="263" w:lineRule="auto"/>
        <w:tabs>
          <w:tab w:leader="none" w:pos="110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w:t>
      </w:r>
    </w:p>
    <w:p>
      <w:pPr>
        <w:spacing w:after="0" w:line="68" w:lineRule="exact"/>
        <w:rPr>
          <w:rFonts w:ascii="Times New Roman" w:cs="Times New Roman" w:eastAsia="Times New Roman" w:hAnsi="Times New Roman"/>
          <w:sz w:val="18"/>
          <w:szCs w:val="18"/>
          <w:color w:val="auto"/>
        </w:rPr>
      </w:pPr>
    </w:p>
    <w:p>
      <w:pPr>
        <w:jc w:val="both"/>
        <w:ind w:left="440" w:right="160" w:firstLine="423"/>
        <w:spacing w:after="0" w:line="263" w:lineRule="auto"/>
        <w:tabs>
          <w:tab w:leader="none" w:pos="111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68" w:lineRule="exact"/>
        <w:rPr>
          <w:rFonts w:ascii="Times New Roman" w:cs="Times New Roman" w:eastAsia="Times New Roman" w:hAnsi="Times New Roman"/>
          <w:sz w:val="18"/>
          <w:szCs w:val="18"/>
          <w:color w:val="auto"/>
        </w:rPr>
      </w:pPr>
    </w:p>
    <w:p>
      <w:pPr>
        <w:ind w:left="1100" w:hanging="237"/>
        <w:spacing w:after="0"/>
        <w:tabs>
          <w:tab w:leader="none" w:pos="11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shall be filed with the secretary of the meeting prior to or at the commencement of the meeting to which they relate.</w:t>
      </w:r>
    </w:p>
    <w:p>
      <w:pPr>
        <w:spacing w:after="0" w:line="217"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color w:val="auto"/>
        </w:rPr>
        <w:t>. When a quorum is present at any meeting, the vote of the holders of a majority of the voting power of the outstanding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 2021, by and among the Corporation and the other parties thereto (as it may be amended, supplemented or otherwise modified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Fixing Record Date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120" w:firstLine="423"/>
        <w:spacing w:after="0" w:line="250" w:lineRule="auto"/>
        <w:tabs>
          <w:tab w:leader="none" w:pos="110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298" w:name="page299"/>
    <w:bookmarkEnd w:id="298"/>
    <w:p>
      <w:pPr>
        <w:ind w:left="440" w:right="80" w:firstLine="423"/>
        <w:spacing w:after="0" w:line="254" w:lineRule="auto"/>
        <w:tabs>
          <w:tab w:leader="none" w:pos="111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76" w:lineRule="exact"/>
        <w:rPr>
          <w:rFonts w:ascii="Times New Roman" w:cs="Times New Roman" w:eastAsia="Times New Roman" w:hAnsi="Times New Roman"/>
          <w:sz w:val="18"/>
          <w:szCs w:val="18"/>
          <w:color w:val="auto"/>
        </w:rPr>
      </w:pPr>
    </w:p>
    <w:p>
      <w:pPr>
        <w:ind w:left="440" w:right="20" w:firstLine="423"/>
        <w:spacing w:after="0" w:line="252" w:lineRule="auto"/>
        <w:tabs>
          <w:tab w:leader="none" w:pos="110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83"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Consents in Lieu of Meeting</w:t>
      </w:r>
      <w:r>
        <w:rPr>
          <w:rFonts w:ascii="Times New Roman" w:cs="Times New Roman" w:eastAsia="Times New Roman" w:hAnsi="Times New Roman"/>
          <w:sz w:val="18"/>
          <w:szCs w:val="18"/>
          <w:color w:val="auto"/>
        </w:rPr>
        <w:t>. At any time when action by one or more classes or series of stockholders of the Corporation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 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w:t>
      </w:r>
    </w:p>
    <w:p>
      <w:pPr>
        <w:spacing w:after="0" w:line="184"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color w:val="auto"/>
        </w:rPr>
        <w:t>. The Corporation shall prepare, at least ten (10) days before every meeting of stockholders,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color w:val="auto"/>
        </w:rPr>
        <w:t xml:space="preserve">) day before the meeting date), arranged in alphabetical order, and showing the address of each stockholder and the number of shares registered in the name of each stockholder. Nothing contained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299" w:name="page300"/>
    <w:bookmarkEnd w:id="299"/>
    <w:p>
      <w:pPr>
        <w:jc w:val="both"/>
        <w:ind w:right="2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1" w:lineRule="exact"/>
        <w:rPr>
          <w:sz w:val="20"/>
          <w:szCs w:val="20"/>
          <w:color w:val="auto"/>
        </w:rPr>
      </w:pPr>
    </w:p>
    <w:p>
      <w:pPr>
        <w:ind w:right="80"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Inspectors</w:t>
      </w:r>
      <w:r>
        <w:rPr>
          <w:rFonts w:ascii="Times New Roman" w:cs="Times New Roman" w:eastAsia="Times New Roman" w:hAnsi="Times New Roman"/>
          <w:sz w:val="18"/>
          <w:szCs w:val="18"/>
          <w:color w:val="auto"/>
        </w:rPr>
        <w:t>. The Board, in advance of all meetings of the stockholders, may, and shall if required by law, appoint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Conduct of Meetings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100" w:hanging="237"/>
        <w:spacing w:after="0"/>
        <w:tabs>
          <w:tab w:leader="none" w:pos="11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0" w:right="100" w:firstLine="407"/>
        <w:spacing w:after="0" w:line="254" w:lineRule="auto"/>
        <w:tabs>
          <w:tab w:leader="none" w:pos="159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Times New Roman" w:cs="Times New Roman" w:eastAsia="Times New Roman" w:hAnsi="Times New Roman"/>
          <w:sz w:val="18"/>
          <w:szCs w:val="18"/>
          <w:u w:val="single" w:color="auto"/>
          <w:color w:val="auto"/>
        </w:rPr>
        <w:t>subparagraphs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who was a stockholder of record at the time such notice was delivered to the Secretary of the Corporation.</w:t>
      </w:r>
    </w:p>
    <w:p>
      <w:pPr>
        <w:spacing w:after="0" w:line="76" w:lineRule="exact"/>
        <w:rPr>
          <w:rFonts w:ascii="Times New Roman" w:cs="Times New Roman" w:eastAsia="Times New Roman" w:hAnsi="Times New Roman"/>
          <w:sz w:val="18"/>
          <w:szCs w:val="18"/>
          <w:color w:val="auto"/>
        </w:rPr>
      </w:pPr>
    </w:p>
    <w:p>
      <w:pPr>
        <w:ind w:left="980" w:firstLine="407"/>
        <w:spacing w:after="0" w:line="252" w:lineRule="auto"/>
        <w:tabs>
          <w:tab w:leader="none" w:pos="163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For nominations or other business to be properly brought before an annual meeting by a stockholder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and not earlier than the close of business on the one hundred twentieth (120th) day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annual meeting is scheduled for more than thirty (30) days before, or more than seventy (70) days following, such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00" w:name="page301"/>
    <w:bookmarkEnd w:id="300"/>
    <w:p>
      <w:pPr>
        <w:ind w:lef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anniversary date, or if no annual meeting was held in the preceding year, notice by the stockholder to be timely must be so delivered not earlier than the close of business on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or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announcement of the date of such meeting is first made. For purposes of the first annual meeting of stockholders following the adoption of these By-Laws, the date of the preceding year’s annual meeting shall be deemed to be [May 15, 2021].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Times New Roman" w:cs="Times New Roman" w:eastAsia="Times New Roman" w:hAnsi="Times New Roman"/>
          <w:sz w:val="18"/>
          <w:szCs w:val="18"/>
          <w:u w:val="single" w:color="auto"/>
          <w:color w:val="auto"/>
        </w:rPr>
        <w:t>Section 2.12(a)(ii)</w:t>
      </w:r>
      <w:r>
        <w:rPr>
          <w:rFonts w:ascii="Times New Roman" w:cs="Times New Roman" w:eastAsia="Times New Roman" w:hAnsi="Times New Roman"/>
          <w:sz w:val="18"/>
          <w:szCs w:val="18"/>
          <w:color w:val="auto"/>
        </w:rPr>
        <w:t xml:space="preserve"> to the contrary, in the event that the number of directors to be elected to the Board at an annual meeting is increased, effective after the time period for which nominations would otherwise be due under this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considered timely, but only with respect to nominees for any new positions created by such increase, if it is received by the Secretary of the Corporation not later than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83" w:lineRule="exact"/>
        <w:rPr>
          <w:sz w:val="20"/>
          <w:szCs w:val="20"/>
          <w:color w:val="auto"/>
        </w:rPr>
      </w:pPr>
    </w:p>
    <w:p>
      <w:pPr>
        <w:ind w:left="20" w:firstLine="397"/>
        <w:spacing w:after="0" w:line="265" w:lineRule="auto"/>
        <w:rPr>
          <w:sz w:val="20"/>
          <w:szCs w:val="20"/>
          <w:color w:val="auto"/>
        </w:rPr>
      </w:pPr>
      <w:r>
        <w:rPr>
          <w:rFonts w:ascii="Times New Roman" w:cs="Times New Roman" w:eastAsia="Times New Roman" w:hAnsi="Times New Roman"/>
          <w:sz w:val="17"/>
          <w:szCs w:val="17"/>
          <w:color w:val="auto"/>
        </w:rPr>
        <w:t>(iii)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w:t>
      </w:r>
    </w:p>
    <w:p>
      <w:pPr>
        <w:spacing w:after="0" w:line="1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20"/>
          </w:cols>
          <w:pgMar w:left="1440" w:top="269" w:right="539" w:bottom="1440" w:gutter="0" w:footer="0" w:header="0"/>
        </w:sectPr>
      </w:pPr>
    </w:p>
    <w:bookmarkStart w:id="301" w:name="page302"/>
    <w:bookmarkEnd w:id="301"/>
    <w:p>
      <w:pPr>
        <w:ind w:lef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Times New Roman" w:cs="Times New Roman" w:eastAsia="Times New Roman" w:hAnsi="Times New Roman"/>
          <w:sz w:val="18"/>
          <w:szCs w:val="18"/>
          <w:u w:val="single" w:color="auto"/>
          <w:color w:val="auto"/>
        </w:rPr>
        <w:t>proponent persons</w:t>
      </w:r>
      <w:r>
        <w:rPr>
          <w:rFonts w:ascii="Times New Roman" w:cs="Times New Roman" w:eastAsia="Times New Roman" w:hAnsi="Times New Roman"/>
          <w:sz w:val="18"/>
          <w:szCs w:val="18"/>
          <w:color w:val="auto"/>
        </w:rPr>
        <w:t xml:space="preserve">”);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60"/>
          </w:cols>
          <w:pgMar w:left="1440" w:top="269" w:right="499" w:bottom="1440" w:gutter="0" w:footer="0" w:header="0"/>
        </w:sectPr>
      </w:pPr>
    </w:p>
    <w:bookmarkStart w:id="302" w:name="page303"/>
    <w:bookmarkEnd w:id="302"/>
    <w:p>
      <w:pPr>
        <w:ind w:left="980" w:right="60" w:firstLine="386"/>
        <w:spacing w:after="0" w:line="271" w:lineRule="auto"/>
        <w:tabs>
          <w:tab w:leader="none" w:pos="1652" w:val="left"/>
        </w:tabs>
        <w:numPr>
          <w:ilvl w:val="2"/>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foregoing notice requirements of this </w:t>
      </w:r>
      <w:r>
        <w:rPr>
          <w:rFonts w:ascii="Times New Roman" w:cs="Times New Roman" w:eastAsia="Times New Roman" w:hAnsi="Times New Roman"/>
          <w:sz w:val="17"/>
          <w:szCs w:val="17"/>
          <w:u w:val="single" w:color="auto"/>
          <w:color w:val="auto"/>
        </w:rPr>
        <w:t>Section 2.12(a)(iii)</w:t>
      </w:r>
      <w:r>
        <w:rPr>
          <w:rFonts w:ascii="Times New Roman" w:cs="Times New Roman" w:eastAsia="Times New Roman" w:hAnsi="Times New Roman"/>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Times New Roman" w:cs="Times New Roman" w:eastAsia="Times New Roman" w:hAnsi="Times New Roman"/>
          <w:sz w:val="17"/>
          <w:szCs w:val="17"/>
          <w:u w:val="single" w:color="auto"/>
          <w:color w:val="auto"/>
        </w:rPr>
        <w:t>Section 2.12(a)(iii)</w:t>
      </w:r>
      <w:r>
        <w:rPr>
          <w:rFonts w:ascii="Times New Roman" w:cs="Times New Roman" w:eastAsia="Times New Roman" w:hAnsi="Times New Roman"/>
          <w:sz w:val="17"/>
          <w:szCs w:val="17"/>
          <w:color w:val="auto"/>
        </w:rPr>
        <w:t xml:space="preserve"> shall be deemed to affect any rights of stockholders to request inclusion of proposals in the Corporation’s proxy statement pursuant to Rule 14a-8 under the Exchange Act.</w:t>
      </w:r>
    </w:p>
    <w:p>
      <w:pPr>
        <w:spacing w:after="0" w:line="66" w:lineRule="exact"/>
        <w:rPr>
          <w:rFonts w:ascii="Times New Roman" w:cs="Times New Roman" w:eastAsia="Times New Roman" w:hAnsi="Times New Roman"/>
          <w:sz w:val="17"/>
          <w:szCs w:val="17"/>
          <w:color w:val="auto"/>
        </w:rPr>
      </w:pPr>
    </w:p>
    <w:p>
      <w:pPr>
        <w:ind w:left="540" w:right="40" w:firstLine="407"/>
        <w:spacing w:after="0" w:line="270" w:lineRule="auto"/>
        <w:tabs>
          <w:tab w:leader="none" w:pos="1239"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the second sentence of </w:t>
      </w:r>
      <w:r>
        <w:rPr>
          <w:rFonts w:ascii="Times New Roman" w:cs="Times New Roman" w:eastAsia="Times New Roman" w:hAnsi="Times New Roman"/>
          <w:sz w:val="17"/>
          <w:szCs w:val="17"/>
          <w:u w:val="single" w:color="auto"/>
          <w:color w:val="auto"/>
        </w:rPr>
        <w:t>Section 2.12(a)(iii)</w:t>
      </w:r>
      <w:r>
        <w:rPr>
          <w:rFonts w:ascii="Times New Roman" w:cs="Times New Roman" w:eastAsia="Times New Roman" w:hAnsi="Times New Roman"/>
          <w:sz w:val="17"/>
          <w:szCs w:val="17"/>
          <w:color w:val="auto"/>
        </w:rPr>
        <w:t xml:space="preserve"> to the contrary, in the event that the number of directors to be elected to the Board is increased, effective after the time period for which nominations would otherwise be due under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following the day on which a public announcement of such increase is first made by the Corporation.</w:t>
      </w:r>
    </w:p>
    <w:p>
      <w:pPr>
        <w:spacing w:after="0" w:line="65" w:lineRule="exact"/>
        <w:rPr>
          <w:rFonts w:ascii="Times New Roman" w:cs="Times New Roman" w:eastAsia="Times New Roman" w:hAnsi="Times New Roman"/>
          <w:sz w:val="17"/>
          <w:szCs w:val="17"/>
          <w:color w:val="auto"/>
        </w:rPr>
      </w:pPr>
    </w:p>
    <w:p>
      <w:pPr>
        <w:ind w:firstLine="423"/>
        <w:spacing w:after="0" w:line="250" w:lineRule="auto"/>
        <w:tabs>
          <w:tab w:leader="none" w:pos="67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who is a stockholder of record at the time such notice is delivered to the Secretary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stockholder may nominate persons for election at a special meeting only to such position(s) 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is delivered to the Secretary at the principal executive offices of the Corporation not earlier than the close of business on the one hundred and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to be elected at such meeting.</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80"/>
          </w:cols>
          <w:pgMar w:left="920" w:top="269" w:right="499" w:bottom="1440" w:gutter="0" w:footer="0" w:header="0"/>
        </w:sectPr>
      </w:pPr>
    </w:p>
    <w:bookmarkStart w:id="303" w:name="page304"/>
    <w:bookmarkEnd w:id="303"/>
    <w:p>
      <w:pPr>
        <w:ind w:left="237" w:hanging="237"/>
        <w:spacing w:after="0"/>
        <w:tabs>
          <w:tab w:leader="none" w:pos="23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General</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17" w:right="20" w:firstLine="407"/>
        <w:spacing w:after="0" w:line="253" w:lineRule="auto"/>
        <w:tabs>
          <w:tab w:leader="none" w:pos="727"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Only persons who are nominated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eligible to be elected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if any proposed nomination or business is not in compliance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to declare that such defective nomination shall be disregarded or that such proposed business shall not be transacted.</w:t>
      </w:r>
    </w:p>
    <w:p>
      <w:pPr>
        <w:spacing w:after="0" w:line="77" w:lineRule="exact"/>
        <w:rPr>
          <w:rFonts w:ascii="Times New Roman" w:cs="Times New Roman" w:eastAsia="Times New Roman" w:hAnsi="Times New Roman"/>
          <w:sz w:val="18"/>
          <w:szCs w:val="18"/>
          <w:color w:val="auto"/>
        </w:rPr>
      </w:pPr>
    </w:p>
    <w:p>
      <w:pPr>
        <w:ind w:left="557" w:right="20" w:firstLine="386"/>
        <w:spacing w:after="0" w:line="252" w:lineRule="auto"/>
        <w:tabs>
          <w:tab w:leader="none" w:pos="1219"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0" w:lineRule="exact"/>
        <w:rPr>
          <w:rFonts w:ascii="Times New Roman" w:cs="Times New Roman" w:eastAsia="Times New Roman" w:hAnsi="Times New Roman"/>
          <w:sz w:val="18"/>
          <w:szCs w:val="18"/>
          <w:color w:val="auto"/>
        </w:rPr>
      </w:pPr>
    </w:p>
    <w:p>
      <w:pPr>
        <w:ind w:left="117" w:firstLine="407"/>
        <w:spacing w:after="0" w:line="251" w:lineRule="auto"/>
        <w:tabs>
          <w:tab w:leader="none" w:pos="777"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w:t>
      </w:r>
    </w:p>
    <w:p>
      <w:pPr>
        <w:spacing w:after="0" w:line="79" w:lineRule="exact"/>
        <w:rPr>
          <w:rFonts w:ascii="Times New Roman" w:cs="Times New Roman" w:eastAsia="Times New Roman" w:hAnsi="Times New Roman"/>
          <w:sz w:val="18"/>
          <w:szCs w:val="18"/>
          <w:color w:val="auto"/>
        </w:rPr>
      </w:pPr>
    </w:p>
    <w:p>
      <w:pPr>
        <w:jc w:val="both"/>
        <w:ind w:left="117" w:right="140" w:firstLine="407"/>
        <w:spacing w:after="0" w:line="258" w:lineRule="auto"/>
        <w:tabs>
          <w:tab w:leader="none" w:pos="82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manner constituting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under Regulation FD promulgated by the Securities and Exchange Commission.</w:t>
      </w:r>
    </w:p>
    <w:p>
      <w:pPr>
        <w:spacing w:after="0" w:line="113" w:lineRule="exact"/>
        <w:rPr>
          <w:sz w:val="20"/>
          <w:szCs w:val="20"/>
          <w:color w:val="auto"/>
        </w:rPr>
      </w:pPr>
    </w:p>
    <w:p>
      <w:pPr>
        <w:ind w:left="4557"/>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57"/>
          </w:cols>
          <w:pgMar w:left="1343" w:top="268" w:right="499" w:bottom="1440" w:gutter="0" w:footer="0" w:header="0"/>
        </w:sectPr>
      </w:pPr>
    </w:p>
    <w:bookmarkStart w:id="304" w:name="page305"/>
    <w:bookmarkEnd w:id="304"/>
    <w:p>
      <w:pPr>
        <w:jc w:val="both"/>
        <w:ind w:left="980" w:right="60" w:firstLine="407"/>
        <w:spacing w:after="0" w:line="258" w:lineRule="auto"/>
        <w:tabs>
          <w:tab w:leader="none" w:pos="1679"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No adjournment or postponement or notice of adjournment or postponement of any meeting shall be deemed to constitute a new notice (or extend any notice time period) of such meeting 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in order for any notification required to be delivered by a stockholder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to be timely, such notification must be delivered within the periods set forth above with respect to the originally scheduled meeting.</w:t>
      </w:r>
    </w:p>
    <w:p>
      <w:pPr>
        <w:spacing w:after="0" w:line="72" w:lineRule="exact"/>
        <w:rPr>
          <w:rFonts w:ascii="Times New Roman" w:cs="Times New Roman" w:eastAsia="Times New Roman" w:hAnsi="Times New Roman"/>
          <w:sz w:val="18"/>
          <w:szCs w:val="18"/>
          <w:color w:val="auto"/>
        </w:rPr>
      </w:pPr>
    </w:p>
    <w:p>
      <w:pPr>
        <w:ind w:left="980" w:firstLine="407"/>
        <w:spacing w:after="0" w:line="267" w:lineRule="auto"/>
        <w:tabs>
          <w:tab w:leader="none" w:pos="1629"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provisions of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2.12(a)(i)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xml:space="preserve"> hereof), and compliance with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jc w:val="both"/>
        <w:ind w:left="980" w:right="40" w:firstLine="10"/>
        <w:spacing w:after="0" w:line="252" w:lineRule="auto"/>
        <w:tabs>
          <w:tab w:leader="none" w:pos="1222" w:val="left"/>
        </w:tabs>
        <w:numPr>
          <w:ilvl w:val="0"/>
          <w:numId w:val="3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the exclusive means for a stockholder to make nominations or submit other business. Nothing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apply to the right, if any, of the holders of any series of Preferred Stock to elect directors pursuant to any applicable provisions of the Certificate of Incorporation.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98"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Number; Election; Quorum; Voting</w:t>
      </w:r>
      <w:r>
        <w:rPr>
          <w:rFonts w:ascii="Times New Roman" w:cs="Times New Roman" w:eastAsia="Times New Roman" w:hAnsi="Times New Roman"/>
          <w:sz w:val="18"/>
          <w:szCs w:val="18"/>
          <w:color w:val="auto"/>
        </w:rPr>
        <w:t>. Subject to the rights of holders of any series of Preferred Stock to elect additional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w:t>
      </w:r>
    </w:p>
    <w:p>
      <w:pPr>
        <w:spacing w:after="0" w:line="189" w:lineRule="exact"/>
        <w:rPr>
          <w:sz w:val="20"/>
          <w:szCs w:val="20"/>
          <w:color w:val="auto"/>
        </w:rPr>
      </w:pPr>
    </w:p>
    <w:p>
      <w:pPr>
        <w:ind w:right="16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color w:val="auto"/>
        </w:rPr>
        <w:t>. Subject to the rights of holders of any series of Preferred Stock to elect directors, the Certificate of Incorporation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w:t>
      </w:r>
    </w:p>
    <w:p>
      <w:pPr>
        <w:spacing w:after="0" w:line="180"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Meetings of the Board</w:t>
      </w:r>
      <w:r>
        <w:rPr>
          <w:rFonts w:ascii="Times New Roman" w:cs="Times New Roman" w:eastAsia="Times New Roman" w:hAnsi="Times New Roman"/>
          <w:sz w:val="18"/>
          <w:szCs w:val="18"/>
          <w:color w:val="auto"/>
        </w:rPr>
        <w:t>. Meetings of the Board shall be held at such place, if any, within or without the State of Delaware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305" w:name="page306"/>
    <w:bookmarkEnd w:id="305"/>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of directors then in office, by written notice, including facsimile, e-mail or other means of electronic transmission, duly served on or sent and delivered to each director in accordance with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Notice of each special meeting of the Board shall be given, as provided in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to each director</w:t>
      </w:r>
    </w:p>
    <w:p>
      <w:pPr>
        <w:ind w:right="60" w:firstLine="7"/>
        <w:spacing w:after="0" w:line="249" w:lineRule="auto"/>
        <w:tabs>
          <w:tab w:leader="none" w:pos="213"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320" w:firstLine="423"/>
        <w:spacing w:after="0" w:line="258" w:lineRule="auto"/>
        <w:tabs>
          <w:tab w:leader="none" w:pos="110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w:t>
      </w:r>
    </w:p>
    <w:p>
      <w:pPr>
        <w:spacing w:after="0" w:line="72" w:lineRule="exact"/>
        <w:rPr>
          <w:rFonts w:ascii="Times New Roman" w:cs="Times New Roman" w:eastAsia="Times New Roman" w:hAnsi="Times New Roman"/>
          <w:sz w:val="18"/>
          <w:szCs w:val="18"/>
          <w:color w:val="auto"/>
        </w:rPr>
      </w:pPr>
    </w:p>
    <w:p>
      <w:pPr>
        <w:ind w:left="440" w:right="240" w:firstLine="423"/>
        <w:spacing w:after="0" w:line="263" w:lineRule="auto"/>
        <w:tabs>
          <w:tab w:leader="none" w:pos="111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committee established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68" w:lineRule="exact"/>
        <w:rPr>
          <w:rFonts w:ascii="Times New Roman" w:cs="Times New Roman" w:eastAsia="Times New Roman" w:hAnsi="Times New Roman"/>
          <w:sz w:val="18"/>
          <w:szCs w:val="18"/>
          <w:color w:val="auto"/>
        </w:rPr>
      </w:pPr>
    </w:p>
    <w:p>
      <w:pPr>
        <w:ind w:left="440" w:right="60" w:firstLine="423"/>
        <w:spacing w:after="0" w:line="255" w:lineRule="auto"/>
        <w:tabs>
          <w:tab w:leader="none" w:pos="110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77" w:lineRule="exact"/>
        <w:rPr>
          <w:rFonts w:ascii="Times New Roman" w:cs="Times New Roman" w:eastAsia="Times New Roman" w:hAnsi="Times New Roman"/>
          <w:sz w:val="18"/>
          <w:szCs w:val="18"/>
          <w:color w:val="auto"/>
        </w:rPr>
      </w:pPr>
    </w:p>
    <w:p>
      <w:pPr>
        <w:ind w:left="440" w:right="40" w:firstLine="423"/>
        <w:spacing w:after="0" w:line="251" w:lineRule="auto"/>
        <w:tabs>
          <w:tab w:leader="none" w:pos="111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306" w:name="page307"/>
    <w:bookmarkEnd w:id="306"/>
    <w:p>
      <w:pPr>
        <w:ind w:right="6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3.5 </w:t>
      </w:r>
      <w:r>
        <w:rPr>
          <w:rFonts w:ascii="Times New Roman" w:cs="Times New Roman" w:eastAsia="Times New Roman" w:hAnsi="Times New Roman"/>
          <w:sz w:val="18"/>
          <w:szCs w:val="18"/>
          <w:b w:val="1"/>
          <w:bCs w:val="1"/>
          <w:u w:val="single" w:color="auto"/>
          <w:color w:val="auto"/>
        </w:rPr>
        <w:t>Consent in Lieu of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or of any committee thereof may be taken without a meeting if all members of the Board or committee, as the case may be, consent 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w:t>
      </w:r>
    </w:p>
    <w:p>
      <w:pPr>
        <w:spacing w:after="0" w:line="180"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Telephonic Meetings</w:t>
      </w:r>
      <w:r>
        <w:rPr>
          <w:rFonts w:ascii="Times New Roman" w:cs="Times New Roman" w:eastAsia="Times New Roman" w:hAnsi="Times New Roman"/>
          <w:sz w:val="18"/>
          <w:szCs w:val="18"/>
          <w:color w:val="auto"/>
        </w:rPr>
        <w:t>. The members of the Board or any committee thereof may participate in a meeting of such Board or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case may be, by means of conference telephone or other communications equipment by means of which all persons participating in the meeting can hear each other, and participation in a meeting pursuant to this subsection shall constitute presence in person at such a meeting.</w:t>
      </w:r>
    </w:p>
    <w:p>
      <w:pPr>
        <w:spacing w:after="0" w:line="17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or these By-Laws, or as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78"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91"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color w:val="auto"/>
        </w:rPr>
        <w:t>. The Board shall elect officers of the Corporation, including a Chief Executive Officer, a President and a Secretary.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307" w:name="page308"/>
    <w:bookmarkEnd w:id="30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180" w:lineRule="exact"/>
        <w:rPr>
          <w:sz w:val="20"/>
          <w:szCs w:val="20"/>
          <w:color w:val="auto"/>
        </w:rPr>
      </w:pPr>
    </w:p>
    <w:p>
      <w:pPr>
        <w:ind w:right="140" w:firstLine="436"/>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Section 4.2 </w:t>
      </w:r>
      <w:r>
        <w:rPr>
          <w:rFonts w:ascii="Times New Roman" w:cs="Times New Roman" w:eastAsia="Times New Roman" w:hAnsi="Times New Roman"/>
          <w:sz w:val="17"/>
          <w:szCs w:val="17"/>
          <w:b w:val="1"/>
          <w:bCs w:val="1"/>
          <w:u w:val="single" w:color="auto"/>
          <w:color w:val="auto"/>
        </w:rPr>
        <w:t>Term; Removal</w:t>
      </w:r>
      <w:r>
        <w:rPr>
          <w:rFonts w:ascii="Times New Roman" w:cs="Times New Roman" w:eastAsia="Times New Roman" w:hAnsi="Times New Roman"/>
          <w:sz w:val="17"/>
          <w:szCs w:val="17"/>
          <w:color w:val="auto"/>
        </w:rPr>
        <w:t>. All officers of the Corporation elected by the Board shall hold office for such terms as may be determined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w:t>
      </w:r>
    </w:p>
    <w:p>
      <w:pPr>
        <w:spacing w:after="0" w:line="16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Any officer may resign at any time by submitting his or her written resignation to the Corporation. Such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take effect at the time of its receipt by the Corporation, unless another time be fixed in the resignation, in which case it shall become effective at the time so fixed. The acceptance of a resignation shall not be required to make it effective unless and to the extent such condition is stated in such resignation.</w:t>
      </w:r>
    </w:p>
    <w:p>
      <w:pPr>
        <w:spacing w:after="0" w:line="176"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Each of the officers of the Corporation elected or appointed by the Board or appointed by an officer in accordance with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w:t>
      </w:r>
    </w:p>
    <w:p>
      <w:pPr>
        <w:spacing w:after="0" w:line="176" w:lineRule="exact"/>
        <w:rPr>
          <w:sz w:val="20"/>
          <w:szCs w:val="20"/>
          <w:color w:val="auto"/>
        </w:rPr>
      </w:pPr>
    </w:p>
    <w:p>
      <w:pPr>
        <w:jc w:val="both"/>
        <w:ind w:right="1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Delegation</w:t>
      </w:r>
      <w:r>
        <w:rPr>
          <w:rFonts w:ascii="Times New Roman" w:cs="Times New Roman" w:eastAsia="Times New Roman" w:hAnsi="Times New Roman"/>
          <w:sz w:val="18"/>
          <w:szCs w:val="18"/>
          <w:color w:val="auto"/>
        </w:rPr>
        <w:t>. Unless otherwise provided in these By-Laws, in the absence or disability of any officer of the Corporation,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may, during such period, delegate such officer’s powers and duties to any other officer or to any director and the person to whom such powers and duties are delegated shall, for the time being, hold such office.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19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Limited Liability of Directors</w:t>
      </w:r>
      <w:r>
        <w:rPr>
          <w:rFonts w:ascii="Times New Roman" w:cs="Times New Roman" w:eastAsia="Times New Roman" w:hAnsi="Times New Roman"/>
          <w:sz w:val="18"/>
          <w:szCs w:val="18"/>
          <w:color w:val="auto"/>
        </w:rPr>
        <w:t>. No director of the Corporation will have any personal liability to the Corporation or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would accrue or arise, or otherwise adversely affect any limitation on the personal liability of a director of the Corporation existing prior to such amendment or repeal.</w:t>
      </w:r>
    </w:p>
    <w:p>
      <w:pPr>
        <w:spacing w:after="0" w:line="184" w:lineRule="exact"/>
        <w:rPr>
          <w:sz w:val="20"/>
          <w:szCs w:val="20"/>
          <w:color w:val="auto"/>
        </w:rPr>
      </w:pPr>
    </w:p>
    <w:p>
      <w:pPr>
        <w:jc w:val="both"/>
        <w:ind w:right="28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Right to Indemnification and Advancement of Expenses</w:t>
      </w:r>
      <w:r>
        <w:rPr>
          <w:rFonts w:ascii="Times New Roman" w:cs="Times New Roman" w:eastAsia="Times New Roman" w:hAnsi="Times New Roman"/>
          <w:sz w:val="18"/>
          <w:szCs w:val="18"/>
          <w:color w:val="auto"/>
        </w:rPr>
        <w:t>. To the fullest extent permitted by applicable law, as the same exists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hereafter be amended, the Corporation shall indemnify and hold harmless each person who is or was made a party or is threatened to be made a party to or is otherwise involved in any threatened, pending or completed action, suit or proceeding, whether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308" w:name="page309"/>
    <w:bookmarkEnd w:id="308"/>
    <w:p>
      <w:pPr>
        <w:ind w:right="12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civil, criminal, administrative or investigative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 defending or otherwise participating in any Proceeding in advance of its final disposition indemnitee;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otherwise. The rights to indemnitee indemnification and advancement of expenses conferred by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82" w:lineRule="exact"/>
        <w:rPr>
          <w:sz w:val="20"/>
          <w:szCs w:val="20"/>
          <w:color w:val="auto"/>
        </w:rPr>
      </w:pPr>
    </w:p>
    <w:p>
      <w:pPr>
        <w:ind w:firstLine="436"/>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5.3 </w:t>
      </w:r>
      <w:r>
        <w:rPr>
          <w:rFonts w:ascii="Times New Roman" w:cs="Times New Roman" w:eastAsia="Times New Roman" w:hAnsi="Times New Roman"/>
          <w:sz w:val="17"/>
          <w:szCs w:val="17"/>
          <w:b w:val="1"/>
          <w:bCs w:val="1"/>
          <w:u w:val="single" w:color="auto"/>
          <w:color w:val="auto"/>
        </w:rPr>
        <w:t>Right of Indemnitee to Bring Suit</w:t>
      </w:r>
      <w:r>
        <w:rPr>
          <w:rFonts w:ascii="Times New Roman" w:cs="Times New Roman" w:eastAsia="Times New Roman" w:hAnsi="Times New Roman"/>
          <w:sz w:val="17"/>
          <w:szCs w:val="17"/>
          <w:color w:val="auto"/>
        </w:rPr>
        <w:t>. If a claim under Section 5.2 is not paid in full by the Corporation within (i) sixty (60) days after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w:t>
      </w:r>
    </w:p>
    <w:p>
      <w:pPr>
        <w:spacing w:after="0" w:line="4" w:lineRule="exact"/>
        <w:rPr>
          <w:sz w:val="20"/>
          <w:szCs w:val="20"/>
          <w:color w:val="auto"/>
        </w:rPr>
      </w:pPr>
    </w:p>
    <w:p>
      <w:pPr>
        <w:ind w:right="20" w:firstLine="7"/>
        <w:spacing w:after="0" w:line="248" w:lineRule="auto"/>
        <w:tabs>
          <w:tab w:leader="none" w:pos="26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otherwise shall be on the Corporation.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5.4 </w:t>
      </w:r>
      <w:r>
        <w:rPr>
          <w:rFonts w:ascii="Times New Roman" w:cs="Times New Roman" w:eastAsia="Times New Roman" w:hAnsi="Times New Roman"/>
          <w:sz w:val="18"/>
          <w:szCs w:val="18"/>
          <w:b w:val="1"/>
          <w:bCs w:val="1"/>
          <w:u w:val="single" w:color="auto"/>
          <w:color w:val="auto"/>
        </w:rPr>
        <w:t>Non-Exclusivity of Rights; Indemnification by Other Persons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423"/>
        <w:spacing w:after="0" w:line="254" w:lineRule="auto"/>
        <w:tabs>
          <w:tab w:leader="none" w:pos="65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 of indemnification to or the advancement of expenses and costs to any indemnitee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entitlement of any indemnitee to indemnification or advancement of expenses and costs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76" w:lineRule="exact"/>
        <w:rPr>
          <w:rFonts w:ascii="Times New Roman" w:cs="Times New Roman" w:eastAsia="Times New Roman" w:hAnsi="Times New Roman"/>
          <w:sz w:val="18"/>
          <w:szCs w:val="18"/>
          <w:color w:val="auto"/>
        </w:rPr>
      </w:pPr>
    </w:p>
    <w:p>
      <w:pPr>
        <w:ind w:firstLine="423"/>
        <w:spacing w:after="0" w:line="250" w:lineRule="auto"/>
        <w:tabs>
          <w:tab w:leader="none" w:pos="67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irrespective of any right of recovery the indemnitee may have from the Indemnitee-Related Entities. Under no circumstance shall the Corporation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Corporation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the following terms shall have the following meanings:</w:t>
      </w:r>
    </w:p>
    <w:p>
      <w:pPr>
        <w:spacing w:after="0" w:line="82" w:lineRule="exact"/>
        <w:rPr>
          <w:rFonts w:ascii="Times New Roman" w:cs="Times New Roman" w:eastAsia="Times New Roman" w:hAnsi="Times New Roman"/>
          <w:sz w:val="18"/>
          <w:szCs w:val="18"/>
          <w:color w:val="auto"/>
        </w:rPr>
      </w:pPr>
    </w:p>
    <w:p>
      <w:pPr>
        <w:ind w:left="540" w:right="20" w:firstLine="407"/>
        <w:spacing w:after="0" w:line="254" w:lineRule="auto"/>
        <w:tabs>
          <w:tab w:leader="none" w:pos="115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76" w:lineRule="exact"/>
        <w:rPr>
          <w:rFonts w:ascii="Times New Roman" w:cs="Times New Roman" w:eastAsia="Times New Roman" w:hAnsi="Times New Roman"/>
          <w:sz w:val="18"/>
          <w:szCs w:val="18"/>
          <w:color w:val="auto"/>
        </w:rPr>
      </w:pPr>
    </w:p>
    <w:p>
      <w:pPr>
        <w:ind w:left="540" w:firstLine="407"/>
        <w:spacing w:after="0" w:line="255" w:lineRule="auto"/>
        <w:tabs>
          <w:tab w:leader="none" w:pos="119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60"/>
          </w:cols>
          <w:pgMar w:left="920" w:top="264" w:right="519" w:bottom="1440" w:gutter="0" w:footer="0" w:header="0"/>
        </w:sectPr>
      </w:pPr>
    </w:p>
    <w:bookmarkStart w:id="310" w:name="page311"/>
    <w:bookmarkEnd w:id="310"/>
    <w:p>
      <w:pPr>
        <w:ind w:right="14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5.5 </w:t>
      </w:r>
      <w:r>
        <w:rPr>
          <w:rFonts w:ascii="Times New Roman" w:cs="Times New Roman" w:eastAsia="Times New Roman" w:hAnsi="Times New Roman"/>
          <w:sz w:val="18"/>
          <w:szCs w:val="18"/>
          <w:b w:val="1"/>
          <w:bCs w:val="1"/>
          <w:u w:val="single" w:color="auto"/>
          <w:color w:val="auto"/>
        </w:rPr>
        <w:t>Contract Rights</w:t>
      </w:r>
      <w:r>
        <w:rPr>
          <w:rFonts w:ascii="Times New Roman" w:cs="Times New Roman" w:eastAsia="Times New Roman" w:hAnsi="Times New Roman"/>
          <w:sz w:val="18"/>
          <w:szCs w:val="18"/>
          <w:color w:val="auto"/>
        </w:rPr>
        <w:t>. The rights conferred upon indemnitees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contract rights and such rights shall continue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indemnitee who has ceased to be a director or officer and shall inure to the benefit of the indemnitee’s heirs, executors and administrators. Any amendment, alteration or repeal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w:t>
      </w:r>
    </w:p>
    <w:p>
      <w:pPr>
        <w:spacing w:after="0" w:line="178" w:lineRule="exact"/>
        <w:rPr>
          <w:sz w:val="20"/>
          <w:szCs w:val="20"/>
          <w:color w:val="auto"/>
        </w:rPr>
      </w:pPr>
    </w:p>
    <w:p>
      <w:pPr>
        <w:ind w:right="1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Corporation may purchase and maintain insurance, at its expense, to protect itself and any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0" w:lineRule="exact"/>
        <w:rPr>
          <w:sz w:val="20"/>
          <w:szCs w:val="20"/>
          <w:color w:val="auto"/>
        </w:rPr>
      </w:pPr>
    </w:p>
    <w:p>
      <w:pPr>
        <w:ind w:right="1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Employees and Agents</w:t>
      </w:r>
      <w:r>
        <w:rPr>
          <w:rFonts w:ascii="Times New Roman" w:cs="Times New Roman" w:eastAsia="Times New Roman" w:hAnsi="Times New Roman"/>
          <w:sz w:val="18"/>
          <w:szCs w:val="18"/>
          <w:color w:val="auto"/>
        </w:rPr>
        <w:t>. The Corporation may, to the extent authorized from time to time by the Board, grant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indemnification and to the advancement of expenses to any employee or agent of the Corporation to the fullest extent of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the indemnification and advancement of expenses of directors and officers of the Corporation.</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illegal or unenforceable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BOOKS</w:t>
      </w:r>
    </w:p>
    <w:p>
      <w:pPr>
        <w:spacing w:after="0" w:line="198"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Corporate Books</w:t>
      </w:r>
      <w:r>
        <w:rPr>
          <w:rFonts w:ascii="Times New Roman" w:cs="Times New Roman" w:eastAsia="Times New Roman" w:hAnsi="Times New Roman"/>
          <w:sz w:val="18"/>
          <w:szCs w:val="18"/>
          <w:color w:val="auto"/>
        </w:rPr>
        <w:t>. The books of the Corporation may be kept inside or outside of the State of Delaware at such place or places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from time to time determine.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CHECKS, NOTES, PROXIES, ETC.</w:t>
      </w:r>
    </w:p>
    <w:p>
      <w:pPr>
        <w:spacing w:after="0" w:line="198"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Checks, Notes, Proxies, Etc</w:t>
      </w:r>
      <w:r>
        <w:rPr>
          <w:rFonts w:ascii="Times New Roman" w:cs="Times New Roman" w:eastAsia="Times New Roman" w:hAnsi="Times New Roman"/>
          <w:sz w:val="18"/>
          <w:szCs w:val="18"/>
          <w:color w:val="auto"/>
        </w:rPr>
        <w:t>. All checks and drafts on the Corporation’s bank accounts and all bills of exchange and promissory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and all acceptances, obligations and other instruments for the payment of money, shall be signed by such officer or officers or agent or agents as shall be authorized from time to time by the Board or such officer or officers 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64" w:right="499" w:bottom="1440" w:gutter="0" w:footer="0" w:header="0"/>
        </w:sectPr>
      </w:pPr>
    </w:p>
    <w:bookmarkStart w:id="311" w:name="page312"/>
    <w:bookmarkEnd w:id="3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AND OTHER SECURITIES OF THE CORPORATION</w:t>
      </w:r>
    </w:p>
    <w:p>
      <w:pPr>
        <w:spacing w:after="0" w:line="198" w:lineRule="exact"/>
        <w:rPr>
          <w:sz w:val="20"/>
          <w:szCs w:val="20"/>
          <w:color w:val="auto"/>
        </w:rPr>
      </w:pPr>
    </w:p>
    <w:p>
      <w:pPr>
        <w:ind w:right="4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Certificated and Uncertificated Shares</w:t>
      </w:r>
      <w:r>
        <w:rPr>
          <w:rFonts w:ascii="Times New Roman" w:cs="Times New Roman" w:eastAsia="Times New Roman" w:hAnsi="Times New Roman"/>
          <w:sz w:val="18"/>
          <w:szCs w:val="18"/>
          <w:color w:val="auto"/>
        </w:rPr>
        <w:t>. The shares of the Corporation may be certificated or uncertificated, subject to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of the Board and the requirements of the DGCL.</w:t>
      </w:r>
    </w:p>
    <w:p>
      <w:pPr>
        <w:spacing w:after="0" w:line="156"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Lost, Destroyed or Wrongfully Taken Certificates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120" w:firstLine="423"/>
        <w:spacing w:after="0" w:line="254" w:lineRule="auto"/>
        <w:tabs>
          <w:tab w:leader="none" w:pos="110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76" w:lineRule="exact"/>
        <w:rPr>
          <w:rFonts w:ascii="Times New Roman" w:cs="Times New Roman" w:eastAsia="Times New Roman" w:hAnsi="Times New Roman"/>
          <w:sz w:val="18"/>
          <w:szCs w:val="18"/>
          <w:color w:val="auto"/>
        </w:rPr>
      </w:pPr>
    </w:p>
    <w:p>
      <w:pPr>
        <w:ind w:left="440" w:right="80" w:firstLine="423"/>
        <w:spacing w:after="0" w:line="255" w:lineRule="auto"/>
        <w:tabs>
          <w:tab w:leader="none" w:pos="111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8.4 </w:t>
      </w:r>
      <w:r>
        <w:rPr>
          <w:rFonts w:ascii="Times New Roman" w:cs="Times New Roman" w:eastAsia="Times New Roman" w:hAnsi="Times New Roman"/>
          <w:sz w:val="18"/>
          <w:szCs w:val="18"/>
          <w:b w:val="1"/>
          <w:bCs w:val="1"/>
          <w:u w:val="single" w:color="auto"/>
          <w:color w:val="auto"/>
        </w:rPr>
        <w:t>Transfer of Stock</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firstLine="423"/>
        <w:spacing w:after="0" w:line="251" w:lineRule="auto"/>
        <w:tabs>
          <w:tab w:leader="none" w:pos="110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Corporation shall be transferable in the manner prescribed by law and in these By-Laws subject to any transfer restrictions contained in the Certificate of Incorporation, the Stockholders Agreement, the [Third Amended and Restated] LLC Agreement of Bakkt Holdings, LLC (“</w:t>
      </w:r>
      <w:r>
        <w:rPr>
          <w:rFonts w:ascii="Times New Roman" w:cs="Times New Roman" w:eastAsia="Times New Roman" w:hAnsi="Times New Roman"/>
          <w:sz w:val="18"/>
          <w:szCs w:val="18"/>
          <w:u w:val="single" w:color="auto"/>
          <w:color w:val="auto"/>
        </w:rPr>
        <w:t>Bakkt LLC</w:t>
      </w:r>
      <w:r>
        <w:rPr>
          <w:rFonts w:ascii="Times New Roman" w:cs="Times New Roman" w:eastAsia="Times New Roman" w:hAnsi="Times New Roman"/>
          <w:sz w:val="18"/>
          <w:szCs w:val="18"/>
          <w:color w:val="auto"/>
        </w:rPr>
        <w:t>”), dated as of [•], 2021, by and among Bakkt LLC, the Corporation and the other Bakkt LLC members that are parties thereto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and the Exchange Agreement, dated as of [•], 2021, by and among the Corporation, Bakkt LLC and the other parties thereto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4" w:right="519" w:bottom="1440" w:gutter="0" w:footer="0" w:header="0"/>
        </w:sectPr>
      </w:pPr>
    </w:p>
    <w:bookmarkStart w:id="312" w:name="page313"/>
    <w:bookmarkEnd w:id="312"/>
    <w:p>
      <w:pPr>
        <w:jc w:val="both"/>
        <w:ind w:left="440" w:right="100" w:firstLine="423"/>
        <w:spacing w:after="0" w:line="258" w:lineRule="auto"/>
        <w:tabs>
          <w:tab w:leader="none" w:pos="111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w:t>
      </w:r>
    </w:p>
    <w:p>
      <w:pPr>
        <w:spacing w:after="0" w:line="176"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Registered Stockholders</w:t>
      </w:r>
      <w:r>
        <w:rPr>
          <w:rFonts w:ascii="Times New Roman" w:cs="Times New Roman" w:eastAsia="Times New Roman" w:hAnsi="Times New Roman"/>
          <w:sz w:val="18"/>
          <w:szCs w:val="18"/>
          <w:color w:val="auto"/>
        </w:rPr>
        <w:t>. Before due presentment for registration of transfer of a certificate representing shares of the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4"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Regulations</w:t>
      </w:r>
      <w:r>
        <w:rPr>
          <w:rFonts w:ascii="Times New Roman" w:cs="Times New Roman" w:eastAsia="Times New Roman" w:hAnsi="Times New Roman"/>
          <w:sz w:val="18"/>
          <w:szCs w:val="18"/>
          <w:color w:val="auto"/>
        </w:rPr>
        <w:t>. The Board shall have power and authority to make such additional rules and regulations, subject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98" w:lineRule="exact"/>
        <w:rPr>
          <w:sz w:val="20"/>
          <w:szCs w:val="20"/>
          <w:color w:val="auto"/>
        </w:rPr>
      </w:pPr>
    </w:p>
    <w:p>
      <w:pPr>
        <w:ind w:right="3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Corporation shall be, unless otherwise determined by resolution of the Board, the calendar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on December 31.</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198"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Corporate Seal</w:t>
      </w:r>
      <w:r>
        <w:rPr>
          <w:rFonts w:ascii="Times New Roman" w:cs="Times New Roman" w:eastAsia="Times New Roman" w:hAnsi="Times New Roman"/>
          <w:sz w:val="18"/>
          <w:szCs w:val="18"/>
          <w:color w:val="auto"/>
        </w:rPr>
        <w:t>. The corporate seal shall have inscribed thereon the name of the Corporation. In lieu of the corporate seal, when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by the Board or a duly empowered committee thereof, a facsimile thereof may be impressed or affixed or reproduced.</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Whenever notice is required to be given by law or under any provision of the Certificate of Incorporation or these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8" w:right="519" w:bottom="1440" w:gutter="0" w:footer="0" w:header="0"/>
        </w:sectPr>
      </w:pPr>
    </w:p>
    <w:bookmarkStart w:id="313" w:name="page314"/>
    <w:bookmarkEnd w:id="313"/>
    <w:p>
      <w:pPr>
        <w:ind w:right="1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11.2 </w:t>
      </w:r>
      <w:r>
        <w:rPr>
          <w:rFonts w:ascii="Times New Roman" w:cs="Times New Roman" w:eastAsia="Times New Roman" w:hAnsi="Times New Roman"/>
          <w:sz w:val="18"/>
          <w:szCs w:val="18"/>
          <w:b w:val="1"/>
          <w:bCs w:val="1"/>
          <w:u w:val="single" w:color="auto"/>
          <w:color w:val="auto"/>
        </w:rPr>
        <w:t>Means of Giving Notice</w:t>
      </w:r>
      <w:r>
        <w:rPr>
          <w:rFonts w:ascii="Times New Roman" w:cs="Times New Roman" w:eastAsia="Times New Roman" w:hAnsi="Times New Roman"/>
          <w:sz w:val="18"/>
          <w:szCs w:val="18"/>
          <w:color w:val="auto"/>
        </w:rPr>
        <w:t>. Except as otherwise set forth in any applicable law or any provision of the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notice of any meeting shall be given by the following means:</w:t>
      </w:r>
    </w:p>
    <w:p>
      <w:pPr>
        <w:spacing w:after="0" w:line="53" w:lineRule="exact"/>
        <w:rPr>
          <w:sz w:val="20"/>
          <w:szCs w:val="20"/>
          <w:color w:val="auto"/>
        </w:rPr>
      </w:pPr>
    </w:p>
    <w:p>
      <w:pPr>
        <w:ind w:left="440" w:firstLine="423"/>
        <w:spacing w:after="0" w:line="251" w:lineRule="auto"/>
        <w:tabs>
          <w:tab w:leader="none" w:pos="110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Directors</w:t>
      </w:r>
      <w:r>
        <w:rPr>
          <w:rFonts w:ascii="Times New Roman" w:cs="Times New Roman" w:eastAsia="Times New Roman" w:hAnsi="Times New Roman"/>
          <w:sz w:val="18"/>
          <w:szCs w:val="18"/>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79" w:lineRule="exact"/>
        <w:rPr>
          <w:rFonts w:ascii="Times New Roman" w:cs="Times New Roman" w:eastAsia="Times New Roman" w:hAnsi="Times New Roman"/>
          <w:sz w:val="18"/>
          <w:szCs w:val="18"/>
          <w:color w:val="auto"/>
        </w:rPr>
      </w:pPr>
    </w:p>
    <w:p>
      <w:pPr>
        <w:ind w:left="440" w:firstLine="423"/>
        <w:spacing w:after="0" w:line="251" w:lineRule="auto"/>
        <w:tabs>
          <w:tab w:leader="none" w:pos="111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84" w:lineRule="exact"/>
        <w:rPr>
          <w:rFonts w:ascii="Times New Roman" w:cs="Times New Roman" w:eastAsia="Times New Roman" w:hAnsi="Times New Roman"/>
          <w:sz w:val="18"/>
          <w:szCs w:val="18"/>
          <w:color w:val="auto"/>
        </w:rPr>
      </w:pPr>
    </w:p>
    <w:p>
      <w:pPr>
        <w:ind w:left="440" w:right="100" w:firstLine="423"/>
        <w:spacing w:after="0" w:line="253" w:lineRule="auto"/>
        <w:tabs>
          <w:tab w:leader="none" w:pos="110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4" w:right="519" w:bottom="1440" w:gutter="0" w:footer="0" w:header="0"/>
        </w:sectPr>
      </w:pPr>
    </w:p>
    <w:bookmarkStart w:id="314" w:name="page315"/>
    <w:bookmarkEnd w:id="314"/>
    <w:p>
      <w:pPr>
        <w:ind w:left="1120" w:hanging="257"/>
        <w:spacing w:after="0"/>
        <w:tabs>
          <w:tab w:leader="none" w:pos="11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Exceptions to Notice Requirements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0" w:right="60" w:firstLine="407"/>
        <w:spacing w:after="0" w:line="253" w:lineRule="auto"/>
        <w:tabs>
          <w:tab w:leader="none" w:pos="159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w:t>
      </w:r>
    </w:p>
    <w:p>
      <w:pPr>
        <w:spacing w:after="0" w:line="77" w:lineRule="exact"/>
        <w:rPr>
          <w:rFonts w:ascii="Times New Roman" w:cs="Times New Roman" w:eastAsia="Times New Roman" w:hAnsi="Times New Roman"/>
          <w:sz w:val="18"/>
          <w:szCs w:val="18"/>
          <w:color w:val="auto"/>
        </w:rPr>
      </w:pPr>
    </w:p>
    <w:p>
      <w:pPr>
        <w:ind w:left="980" w:firstLine="407"/>
        <w:spacing w:after="0" w:line="265" w:lineRule="auto"/>
        <w:tabs>
          <w:tab w:leader="none" w:pos="1639"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 (2) 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 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w:t>
      </w:r>
    </w:p>
    <w:p>
      <w:pPr>
        <w:spacing w:after="0" w:line="182"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headings in these By-Laws are for convenience of reference only and shall not be given any substantive effect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or otherwise construing any provision herein.</w:t>
      </w:r>
    </w:p>
    <w:p>
      <w:pPr>
        <w:spacing w:after="0" w:line="156" w:lineRule="exact"/>
        <w:rPr>
          <w:sz w:val="20"/>
          <w:szCs w:val="20"/>
          <w:color w:val="auto"/>
        </w:rPr>
      </w:pPr>
    </w:p>
    <w:p>
      <w:pPr>
        <w:ind w:right="5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b w:val="1"/>
          <w:bCs w:val="1"/>
          <w:u w:val="single" w:color="auto"/>
          <w:color w:val="auto"/>
        </w:rPr>
        <w:t>Conflicts</w:t>
      </w:r>
      <w:r>
        <w:rPr>
          <w:rFonts w:ascii="Times New Roman" w:cs="Times New Roman" w:eastAsia="Times New Roman" w:hAnsi="Times New Roman"/>
          <w:sz w:val="18"/>
          <w:szCs w:val="18"/>
          <w:color w:val="auto"/>
        </w:rPr>
        <w:t>. In the event that any provision of these By-Laws is or becomes inconsistent with any provision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the DGCL, the provision of the Certificate of Incorporation shall prevail.</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98" w:lineRule="exact"/>
        <w:rPr>
          <w:sz w:val="20"/>
          <w:szCs w:val="20"/>
          <w:color w:val="auto"/>
        </w:rPr>
      </w:pPr>
    </w:p>
    <w:p>
      <w:pPr>
        <w:ind w:right="5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These By-Laws may be made, amended, altered, changed, added to or repealed as set forth in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315" w:name="page316"/>
    <w:bookmarkEnd w:id="31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EQUITY INCENTIVE PLAN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2021 OMNIBUS INCENTIVE PLAN</w:t>
      </w:r>
    </w:p>
    <w:p>
      <w:pPr>
        <w:spacing w:after="0" w:line="1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Purpose</w:t>
      </w:r>
    </w:p>
    <w:p>
      <w:pPr>
        <w:spacing w:after="0" w:line="114" w:lineRule="exact"/>
        <w:rPr>
          <w:sz w:val="20"/>
          <w:szCs w:val="20"/>
          <w:color w:val="auto"/>
        </w:rPr>
      </w:pPr>
    </w:p>
    <w:p>
      <w:pPr>
        <w:ind w:right="20" w:firstLine="982"/>
        <w:spacing w:after="0" w:line="256" w:lineRule="auto"/>
        <w:rPr>
          <w:sz w:val="20"/>
          <w:szCs w:val="20"/>
          <w:color w:val="auto"/>
        </w:rPr>
      </w:pPr>
      <w:r>
        <w:rPr>
          <w:rFonts w:ascii="Times New Roman" w:cs="Times New Roman" w:eastAsia="Times New Roman" w:hAnsi="Times New Roman"/>
          <w:sz w:val="18"/>
          <w:szCs w:val="18"/>
          <w:color w:val="auto"/>
        </w:rPr>
        <w:t>The purpose of the Bakkt Holdings, Inc. 2021 Omnibus Employee Incentive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is to attract, retain and motivate officers and key employees (including prospective employees), directors, consultants and others who may perform services for Bakkt Holdings, Inc. and any Subsidiary, and any successor entity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Bakkt</w:t>
      </w:r>
      <w:r>
        <w:rPr>
          <w:rFonts w:ascii="Times New Roman" w:cs="Times New Roman" w:eastAsia="Times New Roman" w:hAnsi="Times New Roman"/>
          <w:sz w:val="18"/>
          <w:szCs w:val="18"/>
          <w:color w:val="auto"/>
        </w:rPr>
        <w:t xml:space="preserve">”), to compensate them for their contributions to the long-term growth and profits of the Company and to encourage them to acquire a proprietary interest in the success of the Company. Terms not otherwise defined in context are defined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Administration</w:t>
      </w:r>
    </w:p>
    <w:p>
      <w:pPr>
        <w:spacing w:after="0" w:line="114"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1.2.1 The Compensation Committee of the Board of Directors of Bakkt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and such committee as constituted from time to time, and including any successor committee, the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will administer the Plan. In particular, the Committee will have the authority in its sole discretion to:</w:t>
      </w:r>
    </w:p>
    <w:p>
      <w:pPr>
        <w:spacing w:after="0" w:line="67" w:lineRule="exact"/>
        <w:rPr>
          <w:sz w:val="20"/>
          <w:szCs w:val="20"/>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of the powers granted to it under the Plan;</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implement the Plan and all Award Agreements;</w:t>
      </w:r>
    </w:p>
    <w:p>
      <w:pPr>
        <w:spacing w:after="0" w:line="113" w:lineRule="exact"/>
        <w:rPr>
          <w:rFonts w:ascii="Times New Roman" w:cs="Times New Roman" w:eastAsia="Times New Roman" w:hAnsi="Times New Roman"/>
          <w:sz w:val="18"/>
          <w:szCs w:val="18"/>
          <w:color w:val="auto"/>
        </w:rPr>
      </w:pPr>
    </w:p>
    <w:p>
      <w:pPr>
        <w:ind w:right="360" w:firstLine="990"/>
        <w:spacing w:after="0" w:line="278" w:lineRule="auto"/>
        <w:tabs>
          <w:tab w:leader="none" w:pos="122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and regulations relating to the Plan, including rules governing the Committee’s own operations, rules applicable to Grantees who are foreign nationals (or employed outside the United States, or both);</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necessary or advisable in administering the Plan;</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and reconcile any inconsistency in the Plan;</w:t>
      </w:r>
    </w:p>
    <w:p>
      <w:pPr>
        <w:spacing w:after="0" w:line="113"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Plan to reflect changes in applicable law;</w:t>
      </w:r>
    </w:p>
    <w:p>
      <w:pPr>
        <w:spacing w:after="0" w:line="109" w:lineRule="exact"/>
        <w:rPr>
          <w:rFonts w:ascii="Times New Roman" w:cs="Times New Roman" w:eastAsia="Times New Roman" w:hAnsi="Times New Roman"/>
          <w:sz w:val="18"/>
          <w:szCs w:val="18"/>
          <w:color w:val="auto"/>
        </w:rPr>
      </w:pPr>
    </w:p>
    <w:p>
      <w:pPr>
        <w:ind w:right="60" w:firstLine="990"/>
        <w:spacing w:after="0" w:line="265" w:lineRule="auto"/>
        <w:tabs>
          <w:tab w:leader="none" w:pos="123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recommend to the Board for approval to grant, awards made pursuant to the Plan (“</w:t>
      </w:r>
      <w:r>
        <w:rPr>
          <w:rFonts w:ascii="Times New Roman" w:cs="Times New Roman" w:eastAsia="Times New Roman" w:hAnsi="Times New Roman"/>
          <w:sz w:val="18"/>
          <w:szCs w:val="18"/>
          <w:b w:val="1"/>
          <w:bCs w:val="1"/>
          <w:u w:val="single" w:color="auto"/>
          <w:color w:val="auto"/>
        </w:rPr>
        <w:t>Awards</w:t>
      </w:r>
      <w:r>
        <w:rPr>
          <w:rFonts w:ascii="Times New Roman" w:cs="Times New Roman" w:eastAsia="Times New Roman" w:hAnsi="Times New Roman"/>
          <w:sz w:val="18"/>
          <w:szCs w:val="18"/>
          <w:color w:val="auto"/>
        </w:rPr>
        <w:t>”) and determine who will receive Awards, when such Awards will be granted and the terms of such Awards, including the effect of a termination of Employment or service on such Awards and the vesting and/or lapse of restrictions on Awards upon the attainment of Performance Goals and/or upon continued service;</w:t>
      </w:r>
    </w:p>
    <w:p>
      <w:pPr>
        <w:spacing w:after="0" w:line="6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outstanding Award Agreement in any respect including, without limitation, to</w:t>
      </w:r>
    </w:p>
    <w:p>
      <w:pPr>
        <w:spacing w:after="0" w:line="114" w:lineRule="exact"/>
        <w:rPr>
          <w:sz w:val="20"/>
          <w:szCs w:val="20"/>
          <w:color w:val="auto"/>
        </w:rPr>
      </w:pPr>
    </w:p>
    <w:p>
      <w:pPr>
        <w:ind w:left="980" w:right="100" w:firstLine="10"/>
        <w:spacing w:after="0" w:line="258" w:lineRule="auto"/>
        <w:tabs>
          <w:tab w:leader="none" w:pos="123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or times at which (A) the Award becomes vested, unrestricted or may be exercised or (B) shares of Common Stock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are delivered under the Award, and in each case, without limitation on the Committee’s rights, in connection with such acceleration, the Committee may provide that any Shares acquired pursuant to such Award will be restricted shares, which are subject to vesting, transfer, forfeiture or repayment provisions similar to those in the Grantee’s underlying Award,</w:t>
      </w:r>
    </w:p>
    <w:p>
      <w:pPr>
        <w:spacing w:after="0" w:line="72" w:lineRule="exact"/>
        <w:rPr>
          <w:rFonts w:ascii="Times New Roman" w:cs="Times New Roman" w:eastAsia="Times New Roman" w:hAnsi="Times New Roman"/>
          <w:sz w:val="18"/>
          <w:szCs w:val="18"/>
          <w:color w:val="auto"/>
        </w:rPr>
      </w:pPr>
    </w:p>
    <w:p>
      <w:pPr>
        <w:ind w:left="980" w:right="420" w:firstLine="10"/>
        <w:spacing w:after="0" w:line="278" w:lineRule="auto"/>
        <w:tabs>
          <w:tab w:leader="none" w:pos="123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goals, restrictions, vesting provisions or conditions set forth in such Award Agreement, or impose new goals, restrictions, vesting provisions and conditions, or</w:t>
      </w:r>
    </w:p>
    <w:p>
      <w:pPr>
        <w:spacing w:after="0" w:line="53" w:lineRule="exact"/>
        <w:rPr>
          <w:rFonts w:ascii="Times New Roman" w:cs="Times New Roman" w:eastAsia="Times New Roman" w:hAnsi="Times New Roman"/>
          <w:sz w:val="18"/>
          <w:szCs w:val="18"/>
          <w:color w:val="auto"/>
        </w:rPr>
      </w:pPr>
    </w:p>
    <w:p>
      <w:pPr>
        <w:ind w:left="980" w:right="600" w:firstLine="10"/>
        <w:spacing w:after="0" w:line="280" w:lineRule="auto"/>
        <w:tabs>
          <w:tab w:leader="none" w:pos="123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a change in the Grantee’s circumstances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change to part-time employment status or a change in position, duties or responsibilities);</w:t>
      </w:r>
    </w:p>
    <w:p>
      <w:pPr>
        <w:spacing w:after="0" w:line="54" w:lineRule="exact"/>
        <w:rPr>
          <w:sz w:val="20"/>
          <w:szCs w:val="20"/>
          <w:color w:val="auto"/>
        </w:rPr>
      </w:pPr>
    </w:p>
    <w:p>
      <w:pPr>
        <w:ind w:left="1200" w:hanging="210"/>
        <w:spacing w:after="0"/>
        <w:tabs>
          <w:tab w:leader="none" w:pos="12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at any time whether, to what extent and under what circumstances and method or methods</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Awards may be</w:t>
      </w:r>
    </w:p>
    <w:p>
      <w:pPr>
        <w:spacing w:after="0" w:line="113" w:lineRule="exact"/>
        <w:rPr>
          <w:rFonts w:ascii="Times New Roman" w:cs="Times New Roman" w:eastAsia="Times New Roman" w:hAnsi="Times New Roman"/>
          <w:sz w:val="18"/>
          <w:szCs w:val="18"/>
          <w:color w:val="auto"/>
        </w:rPr>
      </w:pPr>
    </w:p>
    <w:p>
      <w:pPr>
        <w:ind w:left="1420" w:right="80" w:firstLine="6"/>
        <w:spacing w:after="0" w:line="263" w:lineRule="auto"/>
        <w:tabs>
          <w:tab w:leader="none" w:pos="1712"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in cash, Shares, other securities, other Awards or other property (in which event, the Committee may specify what other effects such settlement will have on the Grantee’s Award, including the effect on any repayment provisions under the Plan or Award Agreement);</w:t>
      </w:r>
    </w:p>
    <w:p>
      <w:pPr>
        <w:sectPr>
          <w:pgSz w:w="11900" w:h="16838" w:orient="portrait"/>
          <w:cols w:equalWidth="0" w:num="1">
            <w:col w:w="10920"/>
          </w:cols>
          <w:pgMar w:left="480" w:top="264" w:right="499" w:bottom="1440" w:gutter="0" w:footer="0" w:header="0"/>
        </w:sectPr>
      </w:pPr>
    </w:p>
    <w:bookmarkStart w:id="317" w:name="page318"/>
    <w:bookmarkEnd w:id="317"/>
    <w:p>
      <w:pPr>
        <w:ind w:left="1700" w:hanging="274"/>
        <w:spacing w:after="0"/>
        <w:tabs>
          <w:tab w:leader="none" w:pos="170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exercised; or</w:t>
      </w:r>
    </w:p>
    <w:p>
      <w:pPr>
        <w:spacing w:after="0" w:line="113" w:lineRule="exact"/>
        <w:rPr>
          <w:rFonts w:ascii="Times New Roman" w:cs="Times New Roman" w:eastAsia="Times New Roman" w:hAnsi="Times New Roman"/>
          <w:sz w:val="18"/>
          <w:szCs w:val="18"/>
          <w:color w:val="auto"/>
        </w:rPr>
      </w:pPr>
    </w:p>
    <w:p>
      <w:pPr>
        <w:ind w:left="1700" w:hanging="274"/>
        <w:spacing w:after="0"/>
        <w:tabs>
          <w:tab w:leader="none" w:pos="170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canceled, forfeited or suspended;</w:t>
      </w:r>
    </w:p>
    <w:p>
      <w:pPr>
        <w:spacing w:after="0" w:line="113" w:lineRule="exact"/>
        <w:rPr>
          <w:rFonts w:ascii="Times New Roman" w:cs="Times New Roman" w:eastAsia="Times New Roman" w:hAnsi="Times New Roman"/>
          <w:sz w:val="18"/>
          <w:szCs w:val="18"/>
          <w:color w:val="auto"/>
        </w:rPr>
      </w:pPr>
    </w:p>
    <w:p>
      <w:pPr>
        <w:ind w:left="980" w:right="140" w:firstLine="10"/>
        <w:spacing w:after="0" w:line="278" w:lineRule="auto"/>
        <w:tabs>
          <w:tab w:leader="none" w:pos="123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other securities, other Awards or other property and other amounts payable for an Award may be deferred either automatically or at the election of the Grantee thereof or of the Committee;</w:t>
      </w:r>
    </w:p>
    <w:p>
      <w:pPr>
        <w:spacing w:after="0" w:line="55" w:lineRule="exact"/>
        <w:rPr>
          <w:rFonts w:ascii="Times New Roman" w:cs="Times New Roman" w:eastAsia="Times New Roman" w:hAnsi="Times New Roman"/>
          <w:sz w:val="18"/>
          <w:szCs w:val="18"/>
          <w:color w:val="auto"/>
        </w:rPr>
      </w:pPr>
    </w:p>
    <w:p>
      <w:pPr>
        <w:ind w:left="980" w:right="180" w:firstLine="10"/>
        <w:spacing w:after="0" w:line="278" w:lineRule="auto"/>
        <w:tabs>
          <w:tab w:leader="none" w:pos="123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loans (whether or not secured by Common Stock) may be extended by the Company for any Awards;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settled by Bakkt, any of its Subsidiaries or affiliates or any of their designees; and</w:t>
      </w:r>
    </w:p>
    <w:p>
      <w:pPr>
        <w:spacing w:after="0" w:line="113" w:lineRule="exact"/>
        <w:rPr>
          <w:rFonts w:ascii="Times New Roman" w:cs="Times New Roman" w:eastAsia="Times New Roman" w:hAnsi="Times New Roman"/>
          <w:sz w:val="18"/>
          <w:szCs w:val="18"/>
          <w:color w:val="auto"/>
        </w:rPr>
      </w:pPr>
    </w:p>
    <w:p>
      <w:pPr>
        <w:ind w:left="980" w:firstLine="10"/>
        <w:spacing w:after="0" w:line="278" w:lineRule="auto"/>
        <w:tabs>
          <w:tab w:leader="none" w:pos="123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2.5.5</w:t>
      </w:r>
      <w:r>
        <w:rPr>
          <w:rFonts w:ascii="Times New Roman" w:cs="Times New Roman" w:eastAsia="Times New Roman" w:hAnsi="Times New Roman"/>
          <w:sz w:val="18"/>
          <w:szCs w:val="18"/>
          <w:color w:val="auto"/>
        </w:rPr>
        <w:t>, the exercise price for any stock option (other than an Incentive Stock Option, unless the Committee determines that such a stock option will no longer constitute an Incentive Stock Option) or stock appreciation right may be reset; and</w:t>
      </w:r>
    </w:p>
    <w:p>
      <w:pPr>
        <w:spacing w:after="0" w:line="55" w:lineRule="exact"/>
        <w:rPr>
          <w:sz w:val="20"/>
          <w:szCs w:val="20"/>
          <w:color w:val="auto"/>
        </w:rPr>
      </w:pPr>
    </w:p>
    <w:p>
      <w:pPr>
        <w:ind w:right="40" w:firstLine="990"/>
        <w:spacing w:after="0" w:line="278" w:lineRule="auto"/>
        <w:tabs>
          <w:tab w:leader="none" w:pos="119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Bakkt to enter into an agreement with any Subsidiary pursuant to which such Subsidiary will reimburse the Company for the cost of such equity incentives.</w:t>
      </w:r>
    </w:p>
    <w:p>
      <w:pPr>
        <w:spacing w:after="0" w:line="55"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1.2.2 Actions of the Committee may be taken by the vote of a majority of its members present at a meeting (which may be held telephonically). Any action may be taken by a written instrument signed by each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16(b)-3(d)(1) or Rule 16(b)-3(e) under the Securities Exchange Act 1934, as amended from time to time, or any successor thereto (such act and the applicable rules and regulations thereunder,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Except as specifically provided to the contrary, references to the Committee include any administrative group, individual or individuals to whom the Committee has delegated its duties and powers.</w:t>
      </w:r>
    </w:p>
    <w:p>
      <w:pPr>
        <w:spacing w:after="0" w:line="85"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1.2.3 Notwithstanding anything to the contrary in the Plan, the Board may, in its sole discretion, at any time and from time to time, grant Awards or administer the Plan. In any such case, the Board will have all of the authority and responsibility granted to the Committee.</w:t>
      </w:r>
    </w:p>
    <w:p>
      <w:pPr>
        <w:spacing w:after="0" w:line="55"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1.2.4 No member of the Committee or any person to whom the Board or Committee delegates its powers, responsibilities or duties in writing, including by resolution (each such person, a “</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will have any liability to any person (including any Grantee) for any action taken or omitted to be taken or any determination made for the Plan or any Award, except as expressly provided by statute. Each Covered Person will be indemnified and held harmless by the Company against and from:</w:t>
      </w:r>
    </w:p>
    <w:p>
      <w:pPr>
        <w:spacing w:after="0" w:line="73" w:lineRule="exact"/>
        <w:rPr>
          <w:sz w:val="20"/>
          <w:szCs w:val="20"/>
          <w:color w:val="auto"/>
        </w:rPr>
      </w:pPr>
    </w:p>
    <w:p>
      <w:pPr>
        <w:ind w:right="80" w:firstLine="990"/>
        <w:spacing w:after="0" w:line="263" w:lineRule="auto"/>
        <w:tabs>
          <w:tab w:leader="none" w:pos="122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68" w:lineRule="exact"/>
        <w:rPr>
          <w:rFonts w:ascii="Times New Roman" w:cs="Times New Roman" w:eastAsia="Times New Roman" w:hAnsi="Times New Roman"/>
          <w:sz w:val="18"/>
          <w:szCs w:val="18"/>
          <w:color w:val="auto"/>
        </w:rPr>
      </w:pPr>
    </w:p>
    <w:p>
      <w:pPr>
        <w:ind w:right="20" w:firstLine="990"/>
        <w:spacing w:after="0" w:line="253" w:lineRule="auto"/>
        <w:tabs>
          <w:tab w:leader="none" w:pos="123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will have the right, at its own expense, to assume and defend any such action, suit or proceeding and, once the Company gives notice of its intent to assume the defense, the Company will have sole control over such defense with counsel of the Company’s choice. 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w:t>
      </w:r>
    </w:p>
    <w:p>
      <w:pPr>
        <w:spacing w:after="0" w:line="184" w:lineRule="exact"/>
        <w:rPr>
          <w:sz w:val="20"/>
          <w:szCs w:val="20"/>
          <w:color w:val="auto"/>
        </w:rPr>
      </w:pPr>
    </w:p>
    <w:p>
      <w:pPr>
        <w:ind w:right="80" w:firstLine="982"/>
        <w:spacing w:after="0" w:line="263" w:lineRule="auto"/>
        <w:rPr>
          <w:sz w:val="20"/>
          <w:szCs w:val="20"/>
          <w:color w:val="auto"/>
        </w:rPr>
      </w:pPr>
      <w:r>
        <w:rPr>
          <w:rFonts w:ascii="Times New Roman" w:cs="Times New Roman" w:eastAsia="Times New Roman" w:hAnsi="Times New Roman"/>
          <w:sz w:val="18"/>
          <w:szCs w:val="18"/>
          <w:color w:val="auto"/>
        </w:rPr>
        <w:t>The foregoing right of indemnification will not be exclusive of any other rights of indemnification to which Covered Persons may be entitled under Bakkt’s Certificate of Incorporation or Bylaws, pursuant to any individual indemnification agreements between such Covered Person and the Company, as a matter of law, or otherwise, or any other power that the Company may have to indemnify such persons or hold them harmless.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1.3 Shares Available for Awards</w:t>
      </w:r>
    </w:p>
    <w:p>
      <w:pPr>
        <w:spacing w:after="0" w:line="11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u w:val="single" w:color="auto"/>
          <w:color w:val="auto"/>
        </w:rPr>
        <w:t>Common Stock Subject to the Plan</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total number of Shares that may be granted under the Plan will be [ ] (the “</w:t>
      </w:r>
      <w:r>
        <w:rPr>
          <w:rFonts w:ascii="Times New Roman" w:cs="Times New Roman" w:eastAsia="Times New Roman" w:hAnsi="Times New Roman"/>
          <w:sz w:val="18"/>
          <w:szCs w:val="18"/>
          <w:b w:val="1"/>
          <w:bCs w:val="1"/>
          <w:u w:val="single" w:color="auto"/>
          <w:color w:val="auto"/>
        </w:rPr>
        <w:t>Share Limit</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Times New Roman" w:cs="Times New Roman" w:eastAsia="Times New Roman" w:hAnsi="Times New Roman"/>
          <w:sz w:val="18"/>
          <w:szCs w:val="18"/>
          <w:b w:val="1"/>
          <w:bCs w:val="1"/>
          <w:u w:val="single" w:color="auto"/>
          <w:color w:val="auto"/>
        </w:rPr>
        <w:t>Acquisition Awards</w:t>
      </w:r>
      <w:r>
        <w:rPr>
          <w:rFonts w:ascii="Times New Roman" w:cs="Times New Roman" w:eastAsia="Times New Roman" w:hAnsi="Times New Roman"/>
          <w:sz w:val="18"/>
          <w:szCs w:val="18"/>
          <w:color w:val="auto"/>
        </w:rPr>
        <w:t xml:space="preserve">”) will not count against the number of Shares that may be granted under the Plan or be subject to the minimum vesting provisions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may be delivered through Incentive Stock Options.</w:t>
      </w:r>
    </w:p>
    <w:p>
      <w:pPr>
        <w:spacing w:after="0" w:line="82"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u w:val="single" w:color="auto"/>
          <w:color w:val="auto"/>
        </w:rPr>
        <w:t>Replacement of Shares</w:t>
      </w:r>
      <w:r>
        <w:rPr>
          <w:rFonts w:ascii="Times New Roman" w:cs="Times New Roman" w:eastAsia="Times New Roman" w:hAnsi="Times New Roman"/>
          <w:sz w:val="18"/>
          <w:szCs w:val="18"/>
          <w:color w:val="auto"/>
        </w:rPr>
        <w:t>. Shares subject to an Award that is forfeited (including any restricted shares repurchased by the Company at the same price paid by the Grantee so that such Shares are returned to the Company), expires, terminates or is settled for cash (in whole or in part), to the extent of such forfeiture, expiration, termination or cash settlement will be available for future grants of Awards under the Plan and will be added back in the same number of Shares as were deducted in respect of the grant of such Award (including in the case of stock-settled stock appreciation rights the full number of Shares underlying such stock appreciation right). The payment of dividend equivalent rights in cash in conjunction with any outstanding Awards will not be counted against the Shares available for issuance under the Plan. Shares tendered by a Grantee, repurchased by the Company using proceeds from the exercise of stock options or withheld by the Company in payment of the exercise price of a stock option or to satisfy any tax withholding obligation for an Award will not again be available for Awards.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Committee will:</w:t>
      </w:r>
    </w:p>
    <w:p>
      <w:pPr>
        <w:spacing w:after="0" w:line="118" w:lineRule="exact"/>
        <w:rPr>
          <w:sz w:val="20"/>
          <w:szCs w:val="20"/>
          <w:color w:val="auto"/>
        </w:rPr>
      </w:pPr>
    </w:p>
    <w:p>
      <w:pPr>
        <w:ind w:left="1240" w:hanging="250"/>
        <w:spacing w:after="0"/>
        <w:tabs>
          <w:tab w:leader="none" w:pos="12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 the number of Shares authorized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 the individual Grantee limitations set forth in </w:t>
      </w:r>
      <w:r>
        <w:rPr>
          <w:rFonts w:ascii="Times New Roman" w:cs="Times New Roman" w:eastAsia="Times New Roman" w:hAnsi="Times New Roman"/>
          <w:sz w:val="18"/>
          <w:szCs w:val="18"/>
          <w:u w:val="single" w:color="auto"/>
          <w:color w:val="auto"/>
        </w:rPr>
        <w:t>Sections 1.3.4</w:t>
      </w:r>
      <w:r>
        <w:rPr>
          <w:rFonts w:ascii="Times New Roman" w:cs="Times New Roman" w:eastAsia="Times New Roman" w:hAnsi="Times New Roman"/>
          <w:sz w:val="18"/>
          <w:szCs w:val="18"/>
          <w:color w:val="auto"/>
        </w:rPr>
        <w:t>; and</w:t>
      </w:r>
    </w:p>
    <w:p>
      <w:pPr>
        <w:spacing w:after="0" w:line="113"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terms of any outstanding Awards (including, without limitation, the number of Shares covered by each outstanding Award, the type of property or securities to which the Award relates and the exercise or strike price of any Award),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such manner as it deems appropriate (including, without limitation, by payment of cash) to prevent the enlargement or dilution of rights, as a result of any increase or decrease in the number of issued Shares (or issuance of shares of stock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adjustment may be made if or to the extent that it would cause an outstanding Award to cease to be exempt from, or to fail to comply with, Section 409A.</w:t>
      </w:r>
    </w:p>
    <w:p>
      <w:pPr>
        <w:spacing w:after="0" w:line="73"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u w:val="single" w:color="auto"/>
          <w:color w:val="auto"/>
        </w:rPr>
        <w:t>Director Limit</w:t>
      </w:r>
      <w:r>
        <w:rPr>
          <w:rFonts w:ascii="Times New Roman" w:cs="Times New Roman" w:eastAsia="Times New Roman" w:hAnsi="Times New Roman"/>
          <w:sz w:val="18"/>
          <w:szCs w:val="18"/>
          <w:color w:val="auto"/>
        </w:rPr>
        <w:t>. The aggregate maximum Fair Market Value (determined as of the grant date) of the Shares with respect to Awards granted under the Plan in any calendar year to any Non-Employee Director, together with any cash-based retainer, meeting, and other fees paid to such Non-Employee Director during the calendar year, shall not exceed $[ ].</w:t>
      </w: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645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4" w:lineRule="exact"/>
        <w:rPr>
          <w:sz w:val="20"/>
          <w:szCs w:val="20"/>
          <w:color w:val="auto"/>
        </w:rPr>
      </w:pPr>
    </w:p>
    <w:p>
      <w:pPr>
        <w:ind w:left="440" w:hanging="433"/>
        <w:spacing w:after="0"/>
        <w:tabs>
          <w:tab w:leader="none" w:pos="440"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 xml:space="preserve">NTD: </w:t>
      </w:r>
      <w:r>
        <w:rPr>
          <w:rFonts w:ascii="Times New Roman" w:cs="Times New Roman" w:eastAsia="Times New Roman" w:hAnsi="Times New Roman"/>
          <w:sz w:val="18"/>
          <w:szCs w:val="18"/>
          <w:color w:val="auto"/>
        </w:rPr>
        <w:t>Share Limit to be 10% of the fully-diluted shares outstanding following the closing of the de-SPAC transaction.</w:t>
      </w:r>
    </w:p>
    <w:p>
      <w:pPr>
        <w:spacing w:after="0" w:line="28" w:lineRule="exact"/>
        <w:rPr>
          <w:sz w:val="20"/>
          <w:szCs w:val="20"/>
          <w:color w:val="auto"/>
        </w:rPr>
      </w:pPr>
    </w:p>
    <w:p>
      <w:pPr>
        <w:ind w:left="440" w:hanging="433"/>
        <w:spacing w:after="0"/>
        <w:tabs>
          <w:tab w:leader="none" w:pos="440"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Director Limit to be confirmed.</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AWARDS UNDER THE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Types of Awards</w:t>
      </w:r>
    </w:p>
    <w:p>
      <w:pPr>
        <w:spacing w:after="0" w:line="118" w:lineRule="exact"/>
        <w:rPr>
          <w:sz w:val="20"/>
          <w:szCs w:val="20"/>
          <w:color w:val="auto"/>
        </w:rPr>
      </w:pPr>
    </w:p>
    <w:p>
      <w:pPr>
        <w:jc w:val="both"/>
        <w:ind w:right="140" w:firstLine="982"/>
        <w:spacing w:after="0" w:line="263" w:lineRule="auto"/>
        <w:rPr>
          <w:sz w:val="20"/>
          <w:szCs w:val="20"/>
          <w:color w:val="auto"/>
        </w:rPr>
      </w:pPr>
      <w:r>
        <w:rPr>
          <w:rFonts w:ascii="Times New Roman" w:cs="Times New Roman" w:eastAsia="Times New Roman" w:hAnsi="Times New Roman"/>
          <w:sz w:val="18"/>
          <w:szCs w:val="18"/>
          <w:color w:val="auto"/>
        </w:rPr>
        <w:t>Awards may be made to Employees, Non-Employee Directors and Consultants. Awards may be in the form of cash-based or stock-based Awards and may be subject to one or more Performance Goals. Stock-based Awards may be in the form of any of the following, in each case in respect of Common Stock:</w:t>
      </w:r>
    </w:p>
    <w:p>
      <w:pPr>
        <w:spacing w:after="0" w:line="68" w:lineRule="exact"/>
        <w:rPr>
          <w:sz w:val="20"/>
          <w:szCs w:val="20"/>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(including Incentive Stock Options);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rights; and</w:t>
      </w:r>
    </w:p>
    <w:p>
      <w:pPr>
        <w:spacing w:after="0" w:line="113" w:lineRule="exact"/>
        <w:rPr>
          <w:rFonts w:ascii="Times New Roman" w:cs="Times New Roman" w:eastAsia="Times New Roman" w:hAnsi="Times New Roman"/>
          <w:sz w:val="18"/>
          <w:szCs w:val="18"/>
          <w:color w:val="auto"/>
        </w:rPr>
      </w:pPr>
    </w:p>
    <w:p>
      <w:pPr>
        <w:ind w:firstLine="990"/>
        <w:spacing w:after="0" w:line="278" w:lineRule="auto"/>
        <w:tabs>
          <w:tab w:leader="none" w:pos="120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stock-based (as further described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that the Committee determines to be consistent with the purposes of the Plan and the interests of the Company.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Agreements Evidencing Awards</w:t>
      </w:r>
    </w:p>
    <w:p>
      <w:pPr>
        <w:spacing w:after="0" w:line="118"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Each Award will be evidenced by an Award Agreement that will contain such provisions and conditions as the Committee deems appropriate. Unless otherwise provided, the Committee may grant Awards in tandem with or in substitution for or satisfaction of any other Award or Awards or any award granted under any other plan of the Company; including, without limitation, that the Committee may grant Awards in substitution for or satisfaction of any obligation or liability relating to a Participation Unit. By accepting an Award, a Grantee thereby agrees that the Award will be subject to all of the terms and provisions of the Plan and the applicable Award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No Rights as a Stockholder</w:t>
      </w:r>
    </w:p>
    <w:p>
      <w:pPr>
        <w:spacing w:after="0" w:line="118" w:lineRule="exact"/>
        <w:rPr>
          <w:sz w:val="20"/>
          <w:szCs w:val="20"/>
          <w:color w:val="auto"/>
        </w:rPr>
      </w:pPr>
    </w:p>
    <w:p>
      <w:pPr>
        <w:ind w:right="40" w:firstLine="982"/>
        <w:spacing w:after="0" w:line="254" w:lineRule="auto"/>
        <w:rPr>
          <w:sz w:val="20"/>
          <w:szCs w:val="20"/>
          <w:color w:val="auto"/>
        </w:rPr>
      </w:pPr>
      <w:r>
        <w:rPr>
          <w:rFonts w:ascii="Times New Roman" w:cs="Times New Roman" w:eastAsia="Times New Roman" w:hAnsi="Times New Roman"/>
          <w:sz w:val="18"/>
          <w:szCs w:val="18"/>
          <w:color w:val="auto"/>
        </w:rPr>
        <w:t xml:space="preserve">No Grantee (or other person having rights pursuant to an Award) will have any of the rights of a stockholder of Bakkt for Shares subject to an Award until the delivery of such Shares. Except as otherwise provided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no adjustments will be made for dividends, distributions or other rights (whether ordinary or extraordinary, and whether in cash, Common Stock, other securities or other property) for which the record date is before the date the stock certificates (or other appropriate document or evidence of ownership) representing Shares (the “</w:t>
      </w: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color w:val="auto"/>
        </w:rPr>
        <w:t>”) are delivered, or if the Committee elects to use another system, such as book entries by the transfer agent, before the date in which such system evidences the Grantee’s ownership of such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Minimum Vesting</w:t>
      </w:r>
    </w:p>
    <w:p>
      <w:pPr>
        <w:spacing w:after="0" w:line="118"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All Awards shall be subject to a minimum time-based vesting or performance period, as applicable, of not less than one year from the grant date (or, in the case of awards to Non-Employee Directors, the period from one annual meeting of Bakkt stockholders to the next). Notwithstanding the foregoing, (a) up to 5% of the Shares available for grant under the Plan may be granted with a minimum vesting schedule that is shorter than that mandated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will not apply to Acquisition Awards or to Shares issued in settlement of an obligation of the Company or any Subsidiary otherwise payable in cash, and (c)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prevent the Committee from accelerating any Award in accordance with any provisions set forth in this Plan. Any Award Agreement may also provide that Shares issued or acquired in connection with the applicable Award will be subject to additional holding requirements specified in such Award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Stock Options and Stock Appreciation Rights</w:t>
      </w:r>
    </w:p>
    <w:p>
      <w:pPr>
        <w:spacing w:after="0" w:line="114" w:lineRule="exact"/>
        <w:rPr>
          <w:sz w:val="20"/>
          <w:szCs w:val="20"/>
          <w:color w:val="auto"/>
        </w:rPr>
      </w:pPr>
    </w:p>
    <w:p>
      <w:pPr>
        <w:ind w:right="2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b w:val="1"/>
          <w:bCs w:val="1"/>
          <w:u w:val="single" w:color="auto"/>
          <w:color w:val="auto"/>
        </w:rPr>
        <w:t>Designation as Incentive Stock Option</w:t>
      </w:r>
      <w:r>
        <w:rPr>
          <w:rFonts w:ascii="Times New Roman" w:cs="Times New Roman" w:eastAsia="Times New Roman" w:hAnsi="Times New Roman"/>
          <w:sz w:val="18"/>
          <w:szCs w:val="18"/>
          <w:color w:val="auto"/>
        </w:rPr>
        <w:t>. At the time of grant, the Committee will designate whether stock options are Incentive Stock Options, and the applicable Award Agreement will clearly indicate that such stock option is an Incentive Stock Option or, if applicable, the number of Shares subject to the Incentive Stock Option.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320" w:name="page321"/>
    <w:bookmarkEnd w:id="320"/>
    <w:p>
      <w:pPr>
        <w:ind w:right="7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Incentive Stock Options may only be granted to eligible Employees, and will be subject to and construed consistently with the requirements of Code Section 422.</w:t>
      </w:r>
    </w:p>
    <w:p>
      <w:pPr>
        <w:spacing w:after="0" w:line="51"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b w:val="1"/>
          <w:bCs w:val="1"/>
          <w:u w:val="single" w:color="auto"/>
          <w:color w:val="auto"/>
        </w:rPr>
        <w:t>Exercise Price of Stock Options and Stock Appreciation Rights</w:t>
      </w:r>
      <w:r>
        <w:rPr>
          <w:rFonts w:ascii="Times New Roman" w:cs="Times New Roman" w:eastAsia="Times New Roman" w:hAnsi="Times New Roman"/>
          <w:sz w:val="18"/>
          <w:szCs w:val="18"/>
          <w:color w:val="auto"/>
        </w:rPr>
        <w:t xml:space="preserve">. The exercise price per share for each stock option or stock appreciation right will be determined by the Committee but, except as otherwise permitted by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may never be less than the Fair Market Value of a Share (or, in the case of an Incentive Stock Option granted to a person owning stock possessing more than 10% of the total combined voting power of all classes of stock of Bakkt and of any Subsidiary or parent corporation of Bakkt (a “</w:t>
      </w:r>
      <w:r>
        <w:rPr>
          <w:rFonts w:ascii="Times New Roman" w:cs="Times New Roman" w:eastAsia="Times New Roman" w:hAnsi="Times New Roman"/>
          <w:sz w:val="18"/>
          <w:szCs w:val="18"/>
          <w:b w:val="1"/>
          <w:bCs w:val="1"/>
          <w:u w:val="single" w:color="auto"/>
          <w:color w:val="auto"/>
        </w:rPr>
        <w:t>Ten Percent Stockholder</w:t>
      </w:r>
      <w:r>
        <w:rPr>
          <w:rFonts w:ascii="Times New Roman" w:cs="Times New Roman" w:eastAsia="Times New Roman" w:hAnsi="Times New Roman"/>
          <w:sz w:val="18"/>
          <w:szCs w:val="18"/>
          <w:color w:val="auto"/>
        </w:rPr>
        <w:t>”), 110% of the Fair Market Value). Unless otherwise noted in the Award Agreement, the Fair Market Value of the Common Stock will be its Fair Market Value on the date of grant of the Award of stock options or stock appreciation rights.</w:t>
      </w:r>
    </w:p>
    <w:p>
      <w:pPr>
        <w:spacing w:after="0" w:line="7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b w:val="1"/>
          <w:bCs w:val="1"/>
          <w:u w:val="single" w:color="auto"/>
          <w:color w:val="auto"/>
        </w:rPr>
        <w:t>Term of Stock Options and Stock Appreciation Rights</w:t>
      </w:r>
      <w:r>
        <w:rPr>
          <w:rFonts w:ascii="Times New Roman" w:cs="Times New Roman" w:eastAsia="Times New Roman" w:hAnsi="Times New Roman"/>
          <w:sz w:val="18"/>
          <w:szCs w:val="18"/>
          <w:color w:val="auto"/>
        </w:rPr>
        <w:t>. In no event will any stock option or stock appreciation right be exercisable after the expiration of ten (10) years (or, in the case of an Incentive Stock Option granted to a Ten Percent Stockholder, five (5) years) from the date on which the stock option or stock appreciation right is granted.</w:t>
      </w:r>
    </w:p>
    <w:p>
      <w:pPr>
        <w:spacing w:after="0" w:line="63"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b w:val="1"/>
          <w:bCs w:val="1"/>
          <w:u w:val="single" w:color="auto"/>
          <w:color w:val="auto"/>
        </w:rPr>
        <w:t>Vesting and Exercise of Stock Option and Payment for Shares</w:t>
      </w:r>
      <w:r>
        <w:rPr>
          <w:rFonts w:ascii="Times New Roman" w:cs="Times New Roman" w:eastAsia="Times New Roman" w:hAnsi="Times New Roman"/>
          <w:sz w:val="18"/>
          <w:szCs w:val="18"/>
          <w:color w:val="auto"/>
        </w:rPr>
        <w:t>. To exercise a stock option or stock appreciation right, the Grantee must give written notice to the Company specifying the number of Shares to be acquired or rights to be exercised. In the case of stock options, the notice must be accompanied by payment of the full purchase price therefor in cash or by certified or official bank check or in another form as determined by the Company, which may include:</w:t>
      </w:r>
    </w:p>
    <w:p>
      <w:pPr>
        <w:spacing w:after="0" w:line="73" w:lineRule="exact"/>
        <w:rPr>
          <w:sz w:val="20"/>
          <w:szCs w:val="20"/>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check;</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based on the Fair Market Value as of the exercise date, of the same class as those to be granted by exercise of the stock option;</w:t>
      </w:r>
    </w:p>
    <w:p>
      <w:pPr>
        <w:spacing w:after="0" w:line="125" w:lineRule="exact"/>
        <w:rPr>
          <w:rFonts w:ascii="Times New Roman" w:cs="Times New Roman" w:eastAsia="Times New Roman" w:hAnsi="Times New Roman"/>
          <w:sz w:val="17"/>
          <w:szCs w:val="17"/>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consideration approved by the Company and permitted by applicable law; and</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1"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The Committee may also make arrangements for the cashless exercise of a stock option. Any person exercising a stock option or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of 1933, as amended from time to time, or any successor thereto, and the applicable rules and regulations thereunder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Grantee so requests, Shares acquired pursuant to the exercise of a stock option or stock appreciation right may be issued in the name of the Grantee and another jointly with the right of survivorship.</w:t>
      </w:r>
    </w:p>
    <w:p>
      <w:pPr>
        <w:spacing w:after="0" w:line="76"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b w:val="1"/>
          <w:bCs w:val="1"/>
          <w:u w:val="single" w:color="auto"/>
          <w:color w:val="auto"/>
        </w:rPr>
        <w:t>No Repricing or Reloads</w:t>
      </w:r>
      <w:r>
        <w:rPr>
          <w:rFonts w:ascii="Times New Roman" w:cs="Times New Roman" w:eastAsia="Times New Roman" w:hAnsi="Times New Roman"/>
          <w:sz w:val="18"/>
          <w:szCs w:val="18"/>
          <w:color w:val="auto"/>
        </w:rPr>
        <w:t xml:space="preserve">. Except as otherwise permitted by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reducing the exercise price of stock options or stock appreciation rights issued and outstanding under the Plan, including through amendment, cancellation in exchange for the grant of a substitute Award, repurchase for cash or other consideration (in each case that has the effect of reducing the exercise price), or any other action that would be treated as a “repricing” of such stock options or such stock appreciation rights, will require approval of Bakkt’s stockholders. The Company will not grant any stock options or stock appreciation rights with automatic reload features.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Restricted Shares</w:t>
      </w:r>
    </w:p>
    <w:p>
      <w:pPr>
        <w:spacing w:after="0" w:line="114" w:lineRule="exact"/>
        <w:rPr>
          <w:sz w:val="20"/>
          <w:szCs w:val="20"/>
          <w:color w:val="auto"/>
        </w:rPr>
      </w:pPr>
    </w:p>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u w:val="single" w:color="auto"/>
          <w:color w:val="auto"/>
        </w:rPr>
        <w:t>Grants</w:t>
      </w:r>
      <w:r>
        <w:rPr>
          <w:rFonts w:ascii="Times New Roman" w:cs="Times New Roman" w:eastAsia="Times New Roman" w:hAnsi="Times New Roman"/>
          <w:sz w:val="18"/>
          <w:szCs w:val="18"/>
          <w:color w:val="auto"/>
        </w:rPr>
        <w:t xml:space="preserve">. The Committee may grant or offer for sale restricted shares in such amounts and subject to such terms and conditions as the Committee may determine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Upon delivery, the Grantee will have the rights of a stockholder for the restricted shares, subject to any other restrictions and conditions as the Committee may include in the applicable Award Agreement. Each Grantee of an Award of restricted shares will be issued a Certificate in respect of such shares, unless the Committee elects to use another system, such as book entries by the transfer agent, as evidencing ownership of such shares. If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21" w:name="page322"/>
    <w:bookmarkEnd w:id="321"/>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2.6.2 </w:t>
      </w:r>
      <w:r>
        <w:rPr>
          <w:rFonts w:ascii="Times New Roman" w:cs="Times New Roman" w:eastAsia="Times New Roman" w:hAnsi="Times New Roman"/>
          <w:sz w:val="18"/>
          <w:szCs w:val="18"/>
          <w:b w:val="1"/>
          <w:bCs w:val="1"/>
          <w:u w:val="single" w:color="auto"/>
          <w:color w:val="auto"/>
        </w:rPr>
        <w:t>Right to Vote and Receive Dividends on Restricted Shares</w:t>
      </w:r>
      <w:r>
        <w:rPr>
          <w:rFonts w:ascii="Times New Roman" w:cs="Times New Roman" w:eastAsia="Times New Roman" w:hAnsi="Times New Roman"/>
          <w:sz w:val="18"/>
          <w:szCs w:val="18"/>
          <w:color w:val="auto"/>
        </w:rPr>
        <w:t>.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(whether ordinary or extraordinary and whether paid in cash, additional shares or other property) or other distributions paid upon any restricted share will be retained by the Company for the account of the relevant Grantee. Such dividends or other distributions will revert to the Company if for any reason the restricted share upon which such dividends or other distributions were paid reverts to the Company. Upon the expiration of the period of restriction, all such dividends or other distributions made on such restricted share and retained by the Company will be paid, without interest, to the relevant Grantee.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Restricted Stock Units</w:t>
      </w:r>
    </w:p>
    <w:p>
      <w:pPr>
        <w:spacing w:after="0" w:line="118" w:lineRule="exact"/>
        <w:rPr>
          <w:sz w:val="20"/>
          <w:szCs w:val="20"/>
          <w:color w:val="auto"/>
        </w:rPr>
      </w:pPr>
    </w:p>
    <w:p>
      <w:pPr>
        <w:ind w:right="3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The Committee may grant Awards of restricted stock units in such amounts and subject to such terms and conditions as the Committee may determine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Grantee of a restricted stock unit will have only the rights of a general unsecured creditor of Bakkt, until delivery of Shares, cash or other securities or property is made as specified in the applicable Award Agreement. On the delivery date specified in the Award Agreement, the Grantee of each restricted stock unit not previously forfeited or terminated will receive one Share, cash or other securities or property equal in value to one Share or a combination thereof, as specified by the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Dividend Equivalent Rights</w:t>
      </w:r>
    </w:p>
    <w:p>
      <w:pPr>
        <w:spacing w:after="0" w:line="118"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The Committee may include in the Award Agreement for any Award, a dividend equivalent right entitling the Grantee to receive amounts equal to all or any portion of the regular cash dividends that would be paid on the Shares covered by such Award if such Shares had been delivered pursuant to such Award. Notwithstanding anything to the contrary in the Plan, with respect to any Award of restricted stock units (including any Performance Award of restricted stock units), such dividend equivalents rights shall be subject to the same performance conditions or service conditions, as applicable, as the underlying Award, and no dividend equivalents shall be released to a Grantee until the Award to which they pertain has vested. The Grantee of a dividend equivalent right will have only the rights of a general unsecured creditor of Bakkt until payment of such amounts is made as specified in the applicable Award Agreement. If such a provision is included in an Award Agreement, the Committee will determine whether such payments will be made in cash, in Shares or in another form, whether they will be conditioned upon the settlement of the vested Award to which they relate (subject to compliance with Section 409A), the time or times at which they will be made, and such other terms and conditions as the Committee will deem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Other Stock-Based or Cash-Based Awards</w:t>
      </w:r>
    </w:p>
    <w:p>
      <w:pPr>
        <w:spacing w:after="0" w:line="114"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The Committee may grant other types of stock-based, stock-related or cash-based Awards (including the grant or offer for sale of unrestricted Shares, performance share Awards or performance units settled in cash) (“</w:t>
      </w:r>
      <w:r>
        <w:rPr>
          <w:rFonts w:ascii="Times New Roman" w:cs="Times New Roman" w:eastAsia="Times New Roman" w:hAnsi="Times New Roman"/>
          <w:sz w:val="18"/>
          <w:szCs w:val="18"/>
          <w:b w:val="1"/>
          <w:bCs w:val="1"/>
          <w:u w:val="single" w:color="auto"/>
          <w:color w:val="auto"/>
        </w:rPr>
        <w:t>Other Stock-Based or Cash-Based Awards</w:t>
      </w:r>
      <w:r>
        <w:rPr>
          <w:rFonts w:ascii="Times New Roman" w:cs="Times New Roman" w:eastAsia="Times New Roman" w:hAnsi="Times New Roman"/>
          <w:sz w:val="18"/>
          <w:szCs w:val="18"/>
          <w:color w:val="auto"/>
        </w:rPr>
        <w:t xml:space="preserve">”) in such amounts and subject to such terms and conditions as the Committee may determine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terms and conditions set forth by the Committee in the applicable Award Agreement may relate to vesting and nontransferability restrictions that will lapse upon the achievement of one or more goals related to the completion of service by the Grantee or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4" w:right="5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2.10 Repayment If Conditions Not Met</w:t>
      </w:r>
    </w:p>
    <w:p>
      <w:pPr>
        <w:spacing w:after="0" w:line="118"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 xml:space="preserve">If the Committee determines that all terms and conditions of the Plan and a Grantee’s Award Agreement were not satisfied, then the Grantee will be obligated to pay the Company immediately upon demand therefor, (a) for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(b) for restricted shares, an amount equal to the Fair Market Value (determined at the time such shares became vested) of such restricted shares and (c) for restricted stock units, an amount equal to the Fair Market Value (determined at the time of delivery) of the Shares delivered for the applicable delivery date, in each case for clauses (a), (b) and (c)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without reduction for any amount applied to satisfy withholding tax or other obligations in respect of such Award.</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Amendment of the Plan</w:t>
      </w:r>
    </w:p>
    <w:p>
      <w:pPr>
        <w:spacing w:after="0" w:line="118"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3.1.1 Unless otherwise provided in the Plan or in an Award Agreement, the Board may at any time and from time to time suspend, discontinue, revise or amend the Plan in any respect whatsoever but, subject to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no such amendment may materially adversely impair the rights of the Grantee of any Award without the Grantee’s consent. Subject to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an Award Agreement may not be amended in a manner that materially adversely impairs the rights of a Grantee without the Grantee’s consent.</w:t>
      </w:r>
    </w:p>
    <w:p>
      <w:pPr>
        <w:spacing w:after="0" w:line="180"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and to the extent the Board determines it is appropriate for the Plan to comply with the provisions of Code Section 422, no amendment that would require stockholder approval under Code Section 422 will be effective without the approval of Bakkt’s stockholders.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Tax Withholding</w:t>
      </w:r>
    </w:p>
    <w:p>
      <w:pPr>
        <w:spacing w:after="0" w:line="118"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w:t>
      </w:r>
    </w:p>
    <w:p>
      <w:pPr>
        <w:spacing w:after="0" w:line="77" w:lineRule="exact"/>
        <w:rPr>
          <w:sz w:val="20"/>
          <w:szCs w:val="20"/>
          <w:color w:val="auto"/>
        </w:rPr>
      </w:pPr>
    </w:p>
    <w:p>
      <w:pPr>
        <w:ind w:right="120" w:firstLine="990"/>
        <w:spacing w:after="0" w:line="278" w:lineRule="auto"/>
        <w:tabs>
          <w:tab w:leader="none" w:pos="122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deduct or withhold (or cause to be deducted or withheld) from any payment or distribution to a Grantee whether or not pursuant to the Plan (including Shares otherwise deliverable);</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be entitled to require that the Grantee remit cash to the Company (through payroll deduction or otherwise); or</w:t>
      </w:r>
    </w:p>
    <w:p>
      <w:pPr>
        <w:spacing w:after="0" w:line="113" w:lineRule="exact"/>
        <w:rPr>
          <w:rFonts w:ascii="Times New Roman" w:cs="Times New Roman" w:eastAsia="Times New Roman" w:hAnsi="Times New Roman"/>
          <w:sz w:val="18"/>
          <w:szCs w:val="18"/>
          <w:color w:val="auto"/>
        </w:rPr>
      </w:pPr>
    </w:p>
    <w:p>
      <w:pPr>
        <w:ind w:firstLine="990"/>
        <w:spacing w:after="0" w:line="278" w:lineRule="auto"/>
        <w:tabs>
          <w:tab w:leader="none" w:pos="122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enter into any other suitable arrangements to withhold such taxes required by law to be withheld in an amount not to exceed the individual tax rates applicable to the Grantee, as determined by the Company.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Required Consents and Legends</w:t>
      </w:r>
    </w:p>
    <w:p>
      <w:pPr>
        <w:spacing w:after="0" w:line="118"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If the Committee at any time determines that any consent or approval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cs="Times New Roman" w:eastAsia="Times New Roman" w:hAnsi="Times New Roman"/>
          <w:sz w:val="18"/>
          <w:szCs w:val="18"/>
          <w:b w:val="1"/>
          <w:bCs w:val="1"/>
          <w:u w:val="single" w:color="auto"/>
          <w:color w:val="auto"/>
        </w:rPr>
        <w:t>Plan Action</w:t>
      </w:r>
      <w:r>
        <w:rPr>
          <w:rFonts w:ascii="Times New Roman" w:cs="Times New Roman" w:eastAsia="Times New Roman" w:hAnsi="Times New Roman"/>
          <w:sz w:val="18"/>
          <w:szCs w:val="18"/>
          <w:color w:val="auto"/>
        </w:rPr>
        <w:t xml:space="preserve">”), then, subject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such Plan Action will not be taken, in whole or in part, unless and until such consent or approval will have been effected or obtained to the full satisfaction of the Committee, as determined in its discretion in accordance with applicable law, the terms of this Plan and the applicable Award Agreement, and any administrative procedures or guidelines adopted by the Committee in respect of the Plan.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 Nothing in the Plan will require the Company to list, register or qualify the Shares on any securities exchange.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3.4 Right of Offset</w:t>
      </w:r>
    </w:p>
    <w:p>
      <w:pPr>
        <w:spacing w:after="0" w:line="118"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if an Award provides for the deferral of compensation within the meaning of Section 409A, the Committee will have no right to offset against its obligation to deliver Shares (or other property or cash) under the Plan or any Award Agreement if such offset could subject the Grantee to the additional tax imposed under Section 409A in respect of an outstanding Award.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Nonassignability; No Hedging</w:t>
      </w:r>
    </w:p>
    <w:p>
      <w:pPr>
        <w:spacing w:after="0" w:line="118" w:lineRule="exact"/>
        <w:rPr>
          <w:sz w:val="20"/>
          <w:szCs w:val="20"/>
          <w:color w:val="auto"/>
        </w:rPr>
      </w:pPr>
    </w:p>
    <w:p>
      <w:pPr>
        <w:ind w:right="60" w:firstLine="982"/>
        <w:spacing w:after="0" w:line="251" w:lineRule="auto"/>
        <w:rPr>
          <w:sz w:val="20"/>
          <w:szCs w:val="20"/>
          <w:color w:val="auto"/>
        </w:rPr>
      </w:pPr>
      <w:r>
        <w:rPr>
          <w:rFonts w:ascii="Times New Roman" w:cs="Times New Roman" w:eastAsia="Times New Roman" w:hAnsi="Times New Roman"/>
          <w:sz w:val="18"/>
          <w:szCs w:val="18"/>
          <w:color w:val="auto"/>
        </w:rPr>
        <w:t xml:space="preserve">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Notwithstanding the foregoing, the Committee may permit, under such terms and conditions that it deems appropriate in its sole discretion, a Grantee to transfer any Award to any person or entity that the Committee so determines;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case will the Committee permit any transfer to a third-party financial institution. Any sale, exchange, transfer, assignment, pledge, hypothecation, or other disposition in violation of the provisions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will be null and void and any Award which is hedged in any manner will immediately be forfeited. All of the terms and conditions of the Plan and the Award Agreements will be binding upon any permitted successors and assigns.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 Change in Control</w:t>
      </w:r>
    </w:p>
    <w:p>
      <w:pPr>
        <w:spacing w:after="0" w:line="118"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t>3.6.1 Unless otherwise determined by the Committee (or unless otherwise provided in the applicable Award Agreement or a Grantee’s employment agreement), if a Grantee’s Employment is terminated by the Company or any successor entity thereto without Cause, or the Grantee terminates Employment for Good Reason, or a Grantee’s service as a Non-Employee Director is terminated by Bakkt or any successor entity thereto, in each case, upon or within two (2) years after a Change in Control, (i) each Award granted to such Grantee prior to such Change in Control will become fully vested (including the lapsing of all restrictions and conditions) and, as applicable, exercisable as of the date of such termination of Employment or service, and (ii) any Shares deliverable pursuant to restricted stock units will be delivered promptly (but no later than fifteen (15) days) following such Grantee’s termination of Employment or service.</w:t>
      </w:r>
    </w:p>
    <w:p>
      <w:pPr>
        <w:spacing w:after="0" w:line="77"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3.6.2 As of the Change in Control date, any outstanding Performance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w:t>
      </w:r>
      <w:r>
        <w:rPr>
          <w:rFonts w:ascii="Times New Roman" w:cs="Times New Roman" w:eastAsia="Times New Roman" w:hAnsi="Times New Roman"/>
          <w:sz w:val="18"/>
          <w:szCs w:val="18"/>
          <w:u w:val="single" w:color="auto"/>
          <w:color w:val="auto"/>
        </w:rPr>
        <w:t>Section 3.6.1</w:t>
      </w:r>
      <w:r>
        <w:rPr>
          <w:rFonts w:ascii="Times New Roman" w:cs="Times New Roman" w:eastAsia="Times New Roman" w:hAnsi="Times New Roman"/>
          <w:sz w:val="18"/>
          <w:szCs w:val="18"/>
          <w:color w:val="auto"/>
        </w:rPr>
        <w:t xml:space="preserve"> above.</w:t>
      </w:r>
    </w:p>
    <w:p>
      <w:pPr>
        <w:spacing w:after="0" w:line="73"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3.6.3 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fair value (as determined in the sole discretion of the Committee), which in the case of stock options and stock appreciation rights, may equal the excess, if any, of the value of the consideration to be paid in the Change in Control transaction to holders of the same number of Shares subject to such stock options or stock appreciation rights over the aggregate exercise price of such stock options or stock appreciation rights, as the case may be; (ii) provide for the assumption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4" w:right="499" w:bottom="1440" w:gutter="0" w:footer="0" w:header="0"/>
        </w:sectPr>
      </w:pPr>
    </w:p>
    <w:bookmarkStart w:id="324" w:name="page325"/>
    <w:bookmarkEnd w:id="324"/>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 or the issuance of substitute awards that will substantially preserve the otherwise applicable terms of any affected Awards previously granted under the Plan, as determined by the Committee in its sole discretion; or (iii) provide that for a period of at least twenty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the Committee will determine if Awards settled under clause (i) above are (a) valued at closing taking into account such contingent value rights (with the value determined by the Committee in its sole discretion) or (b) entitled to a share of such contingent value rights.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 w:cs="Times New Roman" w:eastAsia="Times New Roman" w:hAnsi="Times New Roman"/>
          <w:sz w:val="18"/>
          <w:szCs w:val="18"/>
          <w:u w:val="single" w:color="auto"/>
          <w:color w:val="auto"/>
        </w:rPr>
        <w:t>Section 3.6.3</w:t>
      </w:r>
      <w:r>
        <w:rPr>
          <w:rFonts w:ascii="Times New Roman" w:cs="Times New Roman" w:eastAsia="Times New Roman" w:hAnsi="Times New Roman"/>
          <w:sz w:val="18"/>
          <w:szCs w:val="18"/>
          <w:color w:val="auto"/>
        </w:rPr>
        <w:t xml:space="preserve"> may be taken in the event of a merger or other corporate reorganization that does not constitute a Change in Control.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 No Continued Employment or Engagement; Right of Discharge Reserved</w:t>
      </w:r>
    </w:p>
    <w:p>
      <w:pPr>
        <w:spacing w:after="0" w:line="118" w:lineRule="exact"/>
        <w:rPr>
          <w:sz w:val="20"/>
          <w:szCs w:val="20"/>
          <w:color w:val="auto"/>
        </w:rPr>
      </w:pPr>
    </w:p>
    <w:p>
      <w:pPr>
        <w:ind w:right="360" w:firstLine="982"/>
        <w:spacing w:after="0" w:line="263" w:lineRule="auto"/>
        <w:rPr>
          <w:sz w:val="20"/>
          <w:szCs w:val="20"/>
          <w:color w:val="auto"/>
        </w:rPr>
      </w:pPr>
      <w:r>
        <w:rPr>
          <w:rFonts w:ascii="Times New Roman" w:cs="Times New Roman" w:eastAsia="Times New Roman" w:hAnsi="Times New Roman"/>
          <w:sz w:val="18"/>
          <w:szCs w:val="18"/>
          <w:color w:val="auto"/>
        </w:rPr>
        <w:t>Neither the adoption of the Plan nor the grant of any Award (or any provision in the Plan or Award Agreement) will confer upon any Grantee any right to continued Employment or service, or other engagement, with the Company, nor will it interfere in any way with the right of the Company to terminate, or alter the terms and conditions of, such Employment or service or other engagement at any time.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 Nature of Payments</w:t>
      </w:r>
    </w:p>
    <w:p>
      <w:pPr>
        <w:spacing w:after="0" w:line="118"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3.8.1 Any and all grants of Awards and deliveries of Common Stock, cash, securities or other property under the Plan will be in consideration of services performed or to be performed for the Company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77"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3.8.2 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or under any agreement with the Grantee, unless the Company specifically provides otherwise.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 Non-Uniform Determinations</w:t>
      </w:r>
    </w:p>
    <w:p>
      <w:pPr>
        <w:spacing w:after="0" w:line="118"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or service has been terminated for purposes of the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3.10 Other Payments or Awards</w:t>
      </w:r>
    </w:p>
    <w:p>
      <w:pPr>
        <w:spacing w:after="0" w:line="118" w:lineRule="exact"/>
        <w:rPr>
          <w:sz w:val="20"/>
          <w:szCs w:val="20"/>
          <w:color w:val="auto"/>
        </w:rPr>
      </w:pPr>
    </w:p>
    <w:p>
      <w:pPr>
        <w:ind w:right="440" w:firstLine="982"/>
        <w:spacing w:after="0" w:line="278" w:lineRule="auto"/>
        <w:rPr>
          <w:sz w:val="20"/>
          <w:szCs w:val="20"/>
          <w:color w:val="auto"/>
        </w:rPr>
      </w:pPr>
      <w:r>
        <w:rPr>
          <w:rFonts w:ascii="Times New Roman" w:cs="Times New Roman" w:eastAsia="Times New Roman" w:hAnsi="Times New Roman"/>
          <w:sz w:val="18"/>
          <w:szCs w:val="18"/>
          <w:color w:val="auto"/>
        </w:rPr>
        <w:t>Nothing contained in the Plan will be deemed in any way to limit or restrict the Company from making any award or payment to any person under any other plan, arrangement or understanding, whether now existing or hereafter in effect.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 Plan Headings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headings in the Plan are for the purpose of convenience only and are not intended to define or limit the construction of the provisions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3.12 Termination of Plan</w:t>
      </w:r>
    </w:p>
    <w:p>
      <w:pPr>
        <w:spacing w:after="0" w:line="116" w:lineRule="exact"/>
        <w:rPr>
          <w:sz w:val="20"/>
          <w:szCs w:val="20"/>
          <w:color w:val="auto"/>
        </w:rPr>
      </w:pPr>
    </w:p>
    <w:p>
      <w:pPr>
        <w:ind w:right="80" w:firstLine="982"/>
        <w:spacing w:after="0" w:line="286" w:lineRule="auto"/>
        <w:rPr>
          <w:sz w:val="20"/>
          <w:szCs w:val="20"/>
          <w:color w:val="auto"/>
        </w:rPr>
      </w:pPr>
      <w:r>
        <w:rPr>
          <w:rFonts w:ascii="Times New Roman" w:cs="Times New Roman" w:eastAsia="Times New Roman" w:hAnsi="Times New Roman"/>
          <w:sz w:val="17"/>
          <w:szCs w:val="17"/>
          <w:color w:val="auto"/>
        </w:rPr>
        <w:t xml:space="preserve">The Board reserves the right to terminate the Plan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any case, the Plan will terminate on the day before the tenth anniversary of the Effective Date,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3.13 Clawback/Recapture Policy</w:t>
      </w:r>
    </w:p>
    <w:p>
      <w:pPr>
        <w:spacing w:after="0" w:line="118" w:lineRule="exact"/>
        <w:rPr>
          <w:sz w:val="20"/>
          <w:szCs w:val="20"/>
          <w:color w:val="auto"/>
        </w:rPr>
      </w:pPr>
    </w:p>
    <w:p>
      <w:pPr>
        <w:jc w:val="both"/>
        <w:ind w:right="300" w:firstLine="982"/>
        <w:spacing w:after="0" w:line="263" w:lineRule="auto"/>
        <w:rPr>
          <w:sz w:val="20"/>
          <w:szCs w:val="20"/>
          <w:color w:val="auto"/>
        </w:rPr>
      </w:pPr>
      <w:r>
        <w:rPr>
          <w:rFonts w:ascii="Times New Roman" w:cs="Times New Roman" w:eastAsia="Times New Roman" w:hAnsi="Times New Roman"/>
          <w:sz w:val="18"/>
          <w:szCs w:val="18"/>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3.14 Section 409A</w:t>
      </w:r>
    </w:p>
    <w:p>
      <w:pPr>
        <w:spacing w:after="0" w:line="118"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for an Award, the Plan will govern.</w:t>
      </w:r>
    </w:p>
    <w:p>
      <w:pPr>
        <w:spacing w:after="0" w:line="77" w:lineRule="exact"/>
        <w:rPr>
          <w:sz w:val="20"/>
          <w:szCs w:val="20"/>
          <w:color w:val="auto"/>
        </w:rPr>
      </w:pPr>
    </w:p>
    <w:p>
      <w:pPr>
        <w:ind w:right="5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3.14.2 Without limiting the generality of </w:t>
      </w:r>
      <w:r>
        <w:rPr>
          <w:rFonts w:ascii="Times New Roman" w:cs="Times New Roman" w:eastAsia="Times New Roman" w:hAnsi="Times New Roman"/>
          <w:sz w:val="18"/>
          <w:szCs w:val="18"/>
          <w:u w:val="single" w:color="auto"/>
          <w:color w:val="auto"/>
        </w:rPr>
        <w:t>Section 3.14.1</w:t>
      </w:r>
      <w:r>
        <w:rPr>
          <w:rFonts w:ascii="Times New Roman" w:cs="Times New Roman" w:eastAsia="Times New Roman" w:hAnsi="Times New Roman"/>
          <w:sz w:val="18"/>
          <w:szCs w:val="18"/>
          <w:color w:val="auto"/>
        </w:rPr>
        <w:t>, for any Award made under the Plan that is intended to be “deferred compensation” subject to Section 409A:</w:t>
      </w:r>
    </w:p>
    <w:p>
      <w:pPr>
        <w:spacing w:after="0" w:line="55" w:lineRule="exact"/>
        <w:rPr>
          <w:sz w:val="20"/>
          <w:szCs w:val="20"/>
          <w:color w:val="auto"/>
        </w:rPr>
      </w:pPr>
    </w:p>
    <w:p>
      <w:pPr>
        <w:ind w:right="60" w:firstLine="990"/>
        <w:spacing w:after="0" w:line="278" w:lineRule="auto"/>
        <w:tabs>
          <w:tab w:leader="none" w:pos="122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due upon a Grantee’s termination of Employment will be paid only upon such Grantee’s separation from service from the Company within the meaning of Section 409A;</w:t>
      </w:r>
    </w:p>
    <w:p>
      <w:pPr>
        <w:spacing w:after="0" w:line="55"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due upon a Change in Control of the Company will be paid only if such Change in Control constitutes a “change in ownership” or “change in effective control” within the meaning of Section 409A, and if such Change in Control does not constitute a “change in the ownership” or “change in the effective control” within the meaning of Section 409A, such Award will vest upon the Change in Control and any payment will be delayed until the first compliant date under Section 409A;</w:t>
      </w:r>
    </w:p>
    <w:p>
      <w:pPr>
        <w:spacing w:after="0" w:line="72"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be made for such Award in connection with the Grantee’s separation from service from the Company within the meaning of Section 409A (and any other payment that would be subject to the limitations in Section 409A(a)(2)(B)) will be delayed until six (6) months after the Grantee’s separation from service (or earlier death) in accordance with the requirements of Section 409A;</w:t>
      </w:r>
    </w:p>
    <w:p>
      <w:pPr>
        <w:spacing w:after="0" w:line="68" w:lineRule="exact"/>
        <w:rPr>
          <w:sz w:val="20"/>
          <w:szCs w:val="20"/>
          <w:color w:val="auto"/>
        </w:rPr>
      </w:pPr>
    </w:p>
    <w:p>
      <w:pPr>
        <w:ind w:right="60" w:firstLine="990"/>
        <w:spacing w:after="0" w:line="258" w:lineRule="auto"/>
        <w:tabs>
          <w:tab w:leader="none" w:pos="122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for the Shares that would otherwise have been deliverable (unless the Committee elects a later date for this purpose in accordance with the requirements of Section 409A);</w:t>
      </w:r>
    </w:p>
    <w:p>
      <w:pPr>
        <w:spacing w:after="0" w:line="72" w:lineRule="exact"/>
        <w:rPr>
          <w:rFonts w:ascii="Times New Roman" w:cs="Times New Roman" w:eastAsia="Times New Roman" w:hAnsi="Times New Roman"/>
          <w:sz w:val="18"/>
          <w:szCs w:val="18"/>
          <w:color w:val="auto"/>
        </w:rPr>
      </w:pPr>
    </w:p>
    <w:p>
      <w:pPr>
        <w:ind w:right="60" w:firstLine="990"/>
        <w:spacing w:after="0" w:line="258" w:lineRule="auto"/>
        <w:tabs>
          <w:tab w:leader="none" w:pos="120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required Consent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4" w:right="519" w:bottom="1440" w:gutter="0" w:footer="0" w:header="0"/>
        </w:sectPr>
      </w:pPr>
    </w:p>
    <w:bookmarkStart w:id="326" w:name="page327"/>
    <w:bookmarkEnd w:id="326"/>
    <w:p>
      <w:pPr>
        <w:ind w:right="280" w:firstLine="990"/>
        <w:spacing w:after="0" w:line="263" w:lineRule="auto"/>
        <w:tabs>
          <w:tab w:leader="none" w:pos="123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w:t>
      </w:r>
    </w:p>
    <w:p>
      <w:pPr>
        <w:spacing w:after="0" w:line="68" w:lineRule="exact"/>
        <w:rPr>
          <w:rFonts w:ascii="Times New Roman" w:cs="Times New Roman" w:eastAsia="Times New Roman" w:hAnsi="Times New Roman"/>
          <w:sz w:val="18"/>
          <w:szCs w:val="18"/>
          <w:color w:val="auto"/>
        </w:rPr>
      </w:pPr>
    </w:p>
    <w:p>
      <w:pPr>
        <w:ind w:right="180" w:firstLine="990"/>
        <w:spacing w:after="0" w:line="278" w:lineRule="auto"/>
        <w:tabs>
          <w:tab w:leader="none" w:pos="123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Award includes “dividend equivalents” (within the meaning of Section 1.409A-3(e) of the Treasury Regulations), the Grantee’s right to the dividend equivalents will be treated separately from the right to other amounts under the Award; and</w:t>
      </w:r>
    </w:p>
    <w:p>
      <w:pPr>
        <w:spacing w:after="0" w:line="55" w:lineRule="exact"/>
        <w:rPr>
          <w:rFonts w:ascii="Times New Roman" w:cs="Times New Roman" w:eastAsia="Times New Roman" w:hAnsi="Times New Roman"/>
          <w:sz w:val="18"/>
          <w:szCs w:val="18"/>
          <w:color w:val="auto"/>
        </w:rPr>
      </w:pPr>
    </w:p>
    <w:p>
      <w:pPr>
        <w:ind w:right="140" w:firstLine="990"/>
        <w:spacing w:after="0" w:line="254" w:lineRule="auto"/>
        <w:tabs>
          <w:tab w:leader="none" w:pos="119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whether the Grantee has experienced a separation from service from the Company within the meaning of Section 409A, “subsidiary” will mean a corporation or other entity in a chain of corporations or other entities in which each corporation or other entity, starting with Bakkt,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language “at least 20 percent” is used instead of “at least 80 percent” each place it appears in Section 1.414(c)-2(b)(2)(i) of the Treasury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3.15 Governing Law</w:t>
      </w:r>
    </w:p>
    <w:p>
      <w:pPr>
        <w:spacing w:after="0" w:line="118" w:lineRule="exact"/>
        <w:rPr>
          <w:sz w:val="20"/>
          <w:szCs w:val="20"/>
          <w:color w:val="auto"/>
        </w:rPr>
      </w:pPr>
    </w:p>
    <w:p>
      <w:pPr>
        <w:jc w:val="both"/>
        <w:ind w:right="160" w:firstLine="982"/>
        <w:spacing w:after="0" w:line="308" w:lineRule="auto"/>
        <w:rPr>
          <w:sz w:val="20"/>
          <w:szCs w:val="20"/>
          <w:color w:val="auto"/>
        </w:rPr>
      </w:pPr>
      <w:r>
        <w:rPr>
          <w:rFonts w:ascii="Times New Roman" w:cs="Times New Roman" w:eastAsia="Times New Roman" w:hAnsi="Times New Roman"/>
          <w:sz w:val="17"/>
          <w:szCs w:val="17"/>
          <w:color w:val="auto"/>
        </w:rPr>
        <w:t>THE PLAN AND ALL AWARDS MADE AND ACTIONS TAKEN THEREUNDER WILL BE GOVERNED BY AND CONSTRUED IN ACCORDANCE WITH THE LAWS OF THE STATE OF DELAWARE, WITHOUT REFERENCE TO PRINCIPLES OF CONFLICT OF LAWS.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3.16 Disputes; Choice of Forum</w:t>
      </w:r>
    </w:p>
    <w:p>
      <w:pPr>
        <w:spacing w:after="0" w:line="11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3.16.1 The Company and each Grantee, as a condition to such Grantee’s participation in the Plan, hereby irrevocably submit to the exclusive jurisdiction of any state or federal court located in Atlanta, Georgia over any suit, action or proceeding arising out of or relating to or concerning the Plan or, to the extent not otherwise specified in any individual agreement between the Company and the Grantee, any aspect of the Grantee’s Employment with the Company or the termination of that Employment. The Company and each Grantee, as a condition to such Grantee’s participation in the Plan, acknowledge that the forum designated by this </w:t>
      </w:r>
      <w:r>
        <w:rPr>
          <w:rFonts w:ascii="Times New Roman" w:cs="Times New Roman" w:eastAsia="Times New Roman" w:hAnsi="Times New Roman"/>
          <w:sz w:val="18"/>
          <w:szCs w:val="18"/>
          <w:u w:val="single" w:color="auto"/>
          <w:color w:val="auto"/>
        </w:rPr>
        <w:t>Section 3.16.1</w:t>
      </w:r>
      <w:r>
        <w:rPr>
          <w:rFonts w:ascii="Times New Roman" w:cs="Times New Roman" w:eastAsia="Times New Roman" w:hAnsi="Times New Roman"/>
          <w:sz w:val="18"/>
          <w:szCs w:val="18"/>
          <w:color w:val="auto"/>
        </w:rPr>
        <w:t xml:space="preserve"> has a reasonable relation to the Plan and to the relationship between such Grantee and the Company. Notwithstanding the foregoing, nothing in the Plan will preclude the Company from bringing any action or proceeding in any other court for the purpose of enforcing the provisions of this </w:t>
      </w:r>
      <w:r>
        <w:rPr>
          <w:rFonts w:ascii="Times New Roman" w:cs="Times New Roman" w:eastAsia="Times New Roman" w:hAnsi="Times New Roman"/>
          <w:sz w:val="18"/>
          <w:szCs w:val="18"/>
          <w:u w:val="single" w:color="auto"/>
          <w:color w:val="auto"/>
        </w:rPr>
        <w:t>Section 3.16.1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3.16.2 The agreement by the Company and each Grantee as to forum is independent of the law that may be applied in the action, and the Company and each Grantee, as a condition to such Grantee’s participation in the Plan, (i) 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Times New Roman" w:cs="Times New Roman" w:eastAsia="Times New Roman" w:hAnsi="Times New Roman"/>
          <w:sz w:val="17"/>
          <w:szCs w:val="17"/>
          <w:u w:val="single" w:color="auto"/>
          <w:color w:val="auto"/>
        </w:rPr>
        <w:t>Section 3.16.1</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right="540" w:firstLine="7"/>
        <w:spacing w:after="0" w:line="252" w:lineRule="auto"/>
        <w:tabs>
          <w:tab w:leader="none" w:pos="31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undertake not to commence any action arising out of or relating to or concerning the Plan in any forum other than the forum described in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and (iv) agree that, to the fullest extent permitted by applicable law, a final and non-appealable judgment in any such suit, action or proceeding in any such court will be conclusive and binding upon the Company and each Grantee.</w:t>
      </w:r>
    </w:p>
    <w:p>
      <w:pPr>
        <w:spacing w:after="0" w:line="78" w:lineRule="exact"/>
        <w:rPr>
          <w:sz w:val="20"/>
          <w:szCs w:val="20"/>
          <w:color w:val="auto"/>
        </w:rPr>
      </w:pPr>
    </w:p>
    <w:p>
      <w:pPr>
        <w:ind w:right="100" w:firstLine="436"/>
        <w:spacing w:after="0" w:line="263" w:lineRule="auto"/>
        <w:rPr>
          <w:sz w:val="20"/>
          <w:szCs w:val="20"/>
          <w:color w:val="auto"/>
        </w:rPr>
      </w:pPr>
      <w:r>
        <w:rPr>
          <w:rFonts w:ascii="Times New Roman" w:cs="Times New Roman" w:eastAsia="Times New Roman" w:hAnsi="Times New Roman"/>
          <w:sz w:val="18"/>
          <w:szCs w:val="18"/>
          <w:color w:val="auto"/>
        </w:rPr>
        <w:t>3.16.3 Each Grantee, as a condition to such Grantee’s participation in the Plan, hereby irrevocably appoints the General Counsel of Bakkt as such Grantee’s agent for service of process in connection with any action, suit or proceeding arising out of or relating to or concerning the Plan, who will promptly advise such Grantee of any such service of process.</w:t>
      </w:r>
    </w:p>
    <w:p>
      <w:pPr>
        <w:spacing w:after="0" w:line="6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3.16.4 Each Grantee, as a condition to such Grantee’s participation in the Plan, agrees to keep confidential the existence of, and any information concerning, a dispute, controversy or claim described in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except that a Grantee may disclose information concerning such dispute, controversy or claim to the court that is considering such dispute, controversy or claim or to such Grantee’s legal counsel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counsel agrees not to disclose any such information other than as necessary to the prosecution or defense of the dispute, controversy or claim). For the avoidance of doubt, nothing in this Plan or any Award Agreement is intended to impair such Grantee’s right to make disclosures under the whistleblower provisions of any applicable law or regulation or require such Grantee to notify Bakkt or obtain its authorization prior to doing so, or prohibit such Grantee from responding truthfully to a valid subpoena.</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3.17 Waiver of Jury Trial</w:t>
      </w:r>
    </w:p>
    <w:p>
      <w:pPr>
        <w:spacing w:after="0" w:line="118" w:lineRule="exact"/>
        <w:rPr>
          <w:sz w:val="20"/>
          <w:szCs w:val="20"/>
          <w:color w:val="auto"/>
        </w:rPr>
      </w:pPr>
    </w:p>
    <w:p>
      <w:pPr>
        <w:ind w:right="260" w:firstLine="982"/>
        <w:spacing w:after="0" w:line="278" w:lineRule="auto"/>
        <w:rPr>
          <w:sz w:val="20"/>
          <w:szCs w:val="20"/>
          <w:color w:val="auto"/>
        </w:rPr>
      </w:pPr>
      <w:r>
        <w:rPr>
          <w:rFonts w:ascii="Times New Roman" w:cs="Times New Roman" w:eastAsia="Times New Roman" w:hAnsi="Times New Roman"/>
          <w:sz w:val="18"/>
          <w:szCs w:val="18"/>
          <w:color w:val="auto"/>
        </w:rPr>
        <w:t>EACH GRANTEE WAIVES ANY RIGHT IT MAY HAVE TO TRIAL BY JURY IN RESPECT OF ANY LITIGATION BASED ON, ARISING OUT OF, UNDER OR IN CONNECTION WITH THE PLAN.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3.18 Waiver of Claims</w:t>
      </w:r>
    </w:p>
    <w:p>
      <w:pPr>
        <w:spacing w:after="0" w:line="118"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Grantee. The Plan is not intended to be subject to the Employee Retirement Income Security Act of 1974 (ERISA),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3.19 Severability; Entire Agreement; Successors and Assigns</w:t>
      </w:r>
    </w:p>
    <w:p>
      <w:pPr>
        <w:spacing w:after="0" w:line="118" w:lineRule="exact"/>
        <w:rPr>
          <w:sz w:val="20"/>
          <w:szCs w:val="20"/>
          <w:color w:val="auto"/>
        </w:rPr>
      </w:pPr>
    </w:p>
    <w:p>
      <w:pPr>
        <w:ind w:right="120" w:firstLine="982"/>
        <w:spacing w:after="0" w:line="252" w:lineRule="auto"/>
        <w:rPr>
          <w:sz w:val="20"/>
          <w:szCs w:val="20"/>
          <w:color w:val="auto"/>
        </w:rPr>
      </w:pPr>
      <w:r>
        <w:rPr>
          <w:rFonts w:ascii="Times New Roman" w:cs="Times New Roman" w:eastAsia="Times New Roman" w:hAnsi="Times New Roman"/>
          <w:sz w:val="18"/>
          <w:szCs w:val="18"/>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for the subject matter thereof and supersede all prior agreements, promises, covenants, arrangements, communications, representations and warranties between them, whether written or oral for the subject matter thereof. The terms of the Plan will be binding upon and inure to the benefit of the Company and any successor entity, including as contemplated by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3.20 No Liability for Tax Qualification or Adverse Tax Treatment</w:t>
      </w:r>
    </w:p>
    <w:p>
      <w:pPr>
        <w:spacing w:after="0" w:line="118"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Notwithstanding anything to the contrary in the Plan, in no event will the Company be liable to a Grantee on account of an Award’s failure to (a) qualify for favorable United States or foreign tax treatment or (b) avoid adverse tax treatment under United States or foreign law, including, without limitation, Section 409A.</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3.21 No Third-Party Beneficiaries</w:t>
      </w:r>
    </w:p>
    <w:p>
      <w:pPr>
        <w:spacing w:after="0" w:line="118" w:lineRule="exact"/>
        <w:rPr>
          <w:sz w:val="20"/>
          <w:szCs w:val="20"/>
          <w:color w:val="auto"/>
        </w:rPr>
      </w:pPr>
    </w:p>
    <w:p>
      <w:pPr>
        <w:jc w:val="both"/>
        <w:ind w:firstLine="982"/>
        <w:spacing w:after="0" w:line="263" w:lineRule="auto"/>
        <w:rPr>
          <w:sz w:val="20"/>
          <w:szCs w:val="20"/>
          <w:color w:val="auto"/>
        </w:rPr>
      </w:pPr>
      <w:r>
        <w:rPr>
          <w:rFonts w:ascii="Times New Roman" w:cs="Times New Roman" w:eastAsia="Times New Roman" w:hAnsi="Times New Roman"/>
          <w:sz w:val="18"/>
          <w:szCs w:val="18"/>
          <w:color w:val="auto"/>
        </w:rPr>
        <w:t xml:space="preserve">Except as expressly provided in an Award Agreement, neither the Plan nor any Award Agreement will confer on any person other than the Company and the Grantee of any Award any rights or remedies thereunder. The exculpation and indemnification provisions of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will inure to the benefit of a Covered Person’s estate and beneficiaries and legatees.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3.22 Date of Adoption, Approval of Stockholders and Effective Date</w:t>
      </w:r>
    </w:p>
    <w:p>
      <w:pPr>
        <w:spacing w:after="0" w:line="114" w:lineRule="exact"/>
        <w:rPr>
          <w:sz w:val="20"/>
          <w:szCs w:val="20"/>
          <w:color w:val="auto"/>
        </w:rPr>
      </w:pPr>
    </w:p>
    <w:p>
      <w:pPr>
        <w:ind w:right="300" w:firstLine="982"/>
        <w:spacing w:after="0" w:line="259" w:lineRule="auto"/>
        <w:rPr>
          <w:sz w:val="20"/>
          <w:szCs w:val="20"/>
          <w:color w:val="auto"/>
        </w:rPr>
      </w:pPr>
      <w:r>
        <w:rPr>
          <w:rFonts w:ascii="Times New Roman" w:cs="Times New Roman" w:eastAsia="Times New Roman" w:hAnsi="Times New Roman"/>
          <w:sz w:val="18"/>
          <w:szCs w:val="18"/>
          <w:color w:val="auto"/>
        </w:rPr>
        <w:t>The Plan was adopted by the Board on [ ] and was approved by Bakkt’s stockholders on [ ]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xml:space="preserve">”). Any Awards granted under the Plan prior to such stockholder approval will be conditioned upon such approval and will be null and void if such approval is not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stock options and stock appreciation rights granted under the Plan prior to such stockholder approval may not be exercisable until after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328" w:name="page329"/>
    <w:bookmarkEnd w:id="328"/>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such stockholder approval and no Shares may be delivered pursuant to a restricted stock unit granted under the Plan prior to such stockholder approval until after such stockholder approval;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restricted stock and Other Stock-Based or Cash-Based Awards may not be granted prior to obtaining stockholder approval. If the Plan is not so approved by the stockholders of Bakkt, then the Plan will be null and void in its entirety and the Prior Plan will remain in full force and effect.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3.23 Definitions of Certain Terms</w:t>
      </w:r>
    </w:p>
    <w:p>
      <w:pPr>
        <w:spacing w:after="0" w:line="114" w:lineRule="exact"/>
        <w:rPr>
          <w:sz w:val="20"/>
          <w:szCs w:val="20"/>
          <w:color w:val="auto"/>
        </w:rPr>
      </w:pPr>
    </w:p>
    <w:p>
      <w:pPr>
        <w:ind w:right="100" w:firstLine="436"/>
        <w:spacing w:after="0" w:line="259" w:lineRule="auto"/>
        <w:rPr>
          <w:sz w:val="20"/>
          <w:szCs w:val="20"/>
          <w:color w:val="auto"/>
        </w:rPr>
      </w:pPr>
      <w:r>
        <w:rPr>
          <w:rFonts w:ascii="Times New Roman" w:cs="Times New Roman" w:eastAsia="Times New Roman" w:hAnsi="Times New Roman"/>
          <w:sz w:val="18"/>
          <w:szCs w:val="18"/>
          <w:color w:val="auto"/>
        </w:rPr>
        <w:t>3.23.1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in the Plan to an agreement in writing will be deemed to include an electronic writing to the extent permitted by applicable law.</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3.23.2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means, unless otherwise provided in an Award Agreement or employment agreement applicable to the relevant Grantee:</w:t>
      </w:r>
    </w:p>
    <w:p>
      <w:pPr>
        <w:spacing w:after="0" w:line="118" w:lineRule="exact"/>
        <w:rPr>
          <w:sz w:val="20"/>
          <w:szCs w:val="20"/>
          <w:color w:val="auto"/>
        </w:rPr>
      </w:pPr>
    </w:p>
    <w:p>
      <w:pPr>
        <w:ind w:right="360" w:firstLine="990"/>
        <w:spacing w:after="0" w:line="278" w:lineRule="auto"/>
        <w:tabs>
          <w:tab w:leader="none" w:pos="122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convicted of, pleads guilty to, or confesses or otherwise admits to any felony involving intentional conduct or any act of fraud, misappropriation or embezzlement;</w:t>
      </w:r>
    </w:p>
    <w:p>
      <w:pPr>
        <w:spacing w:after="0" w:line="55" w:lineRule="exact"/>
        <w:rPr>
          <w:rFonts w:ascii="Times New Roman" w:cs="Times New Roman" w:eastAsia="Times New Roman" w:hAnsi="Times New Roman"/>
          <w:sz w:val="18"/>
          <w:szCs w:val="18"/>
          <w:color w:val="auto"/>
        </w:rPr>
      </w:pPr>
    </w:p>
    <w:p>
      <w:pPr>
        <w:ind w:right="480" w:firstLine="990"/>
        <w:spacing w:after="0" w:line="278" w:lineRule="auto"/>
        <w:tabs>
          <w:tab w:leader="none" w:pos="123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knowingly engages in any act or course of conduct or knowingly fails to engage in any act or course of conduct which is reasonably likely to adversely affect the Company’s ability to conduct its business;</w:t>
      </w:r>
    </w:p>
    <w:p>
      <w:pPr>
        <w:spacing w:after="0" w:line="55" w:lineRule="exact"/>
        <w:rPr>
          <w:rFonts w:ascii="Times New Roman" w:cs="Times New Roman" w:eastAsia="Times New Roman" w:hAnsi="Times New Roman"/>
          <w:sz w:val="18"/>
          <w:szCs w:val="18"/>
          <w:color w:val="auto"/>
        </w:rPr>
      </w:pPr>
    </w:p>
    <w:p>
      <w:pPr>
        <w:ind w:right="180" w:firstLine="990"/>
        <w:spacing w:after="0" w:line="278" w:lineRule="auto"/>
        <w:tabs>
          <w:tab w:leader="none" w:pos="122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by Grantee involving malfeasance or gross negligence in the performance of Grantee’s duties and responsibilities to the material detriment of the Company; or</w:t>
      </w:r>
    </w:p>
    <w:p>
      <w:pPr>
        <w:spacing w:after="0" w:line="55" w:lineRule="exact"/>
        <w:rPr>
          <w:rFonts w:ascii="Times New Roman" w:cs="Times New Roman" w:eastAsia="Times New Roman" w:hAnsi="Times New Roman"/>
          <w:sz w:val="18"/>
          <w:szCs w:val="18"/>
          <w:color w:val="auto"/>
        </w:rPr>
      </w:pPr>
    </w:p>
    <w:p>
      <w:pPr>
        <w:jc w:val="both"/>
        <w:ind w:right="500" w:firstLine="990"/>
        <w:spacing w:after="0" w:line="263" w:lineRule="auto"/>
        <w:tabs>
          <w:tab w:leader="none" w:pos="123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breaches in any material respect any of the provisions of any applicable employment agreement or Award Agreement or violates any provision of any generally applicable code of conduct which is distributed in writing to the Company’s Employees or Non-Employee Directors, as applicable.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3.23.3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means the happening of any of the following:</w:t>
      </w:r>
    </w:p>
    <w:p>
      <w:pPr>
        <w:spacing w:after="0" w:line="118" w:lineRule="exact"/>
        <w:rPr>
          <w:sz w:val="20"/>
          <w:szCs w:val="20"/>
          <w:color w:val="auto"/>
        </w:rPr>
      </w:pPr>
    </w:p>
    <w:p>
      <w:pPr>
        <w:jc w:val="both"/>
        <w:ind w:right="80" w:firstLine="990"/>
        <w:spacing w:after="0" w:line="270" w:lineRule="auto"/>
        <w:tabs>
          <w:tab w:leader="none" w:pos="1225" w:val="left"/>
        </w:tabs>
        <w:numPr>
          <w:ilvl w:val="1"/>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(as that term is used in Sections 13(d) and 14(d)(2) of the Exchange Act), is or becomes the beneficial owner (as defined in Rule 13d-3 under the Exchange Act), directly or indirectly, of securities representing the greater of (1) 30% or more of the combined voting power of the then outstanding securities of Bakkt eligible to vote for the election of the members of Bakkt’s Board (the “</w:t>
      </w:r>
      <w:r>
        <w:rPr>
          <w:rFonts w:ascii="Times New Roman" w:cs="Times New Roman" w:eastAsia="Times New Roman" w:hAnsi="Times New Roman"/>
          <w:sz w:val="17"/>
          <w:szCs w:val="17"/>
          <w:b w:val="1"/>
          <w:bCs w:val="1"/>
          <w:u w:val="single" w:color="auto"/>
          <w:color w:val="auto"/>
        </w:rPr>
        <w:t>Company Voting Securities</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the voting power of the Company Voting Securities held by Intercontinental Exchange, Inc. and its subsidiaries (“</w:t>
      </w:r>
      <w:r>
        <w:rPr>
          <w:rFonts w:ascii="Times New Roman" w:cs="Times New Roman" w:eastAsia="Times New Roman" w:hAnsi="Times New Roman"/>
          <w:sz w:val="17"/>
          <w:szCs w:val="17"/>
          <w:b w:val="1"/>
          <w:bCs w:val="1"/>
          <w:u w:val="single" w:color="auto"/>
          <w:color w:val="auto"/>
        </w:rPr>
        <w:t>ICE</w:t>
      </w:r>
      <w:r>
        <w:rPr>
          <w:rFonts w:ascii="Times New Roman" w:cs="Times New Roman" w:eastAsia="Times New Roman" w:hAnsi="Times New Roman"/>
          <w:sz w:val="17"/>
          <w:szCs w:val="17"/>
          <w:color w:val="auto"/>
        </w:rPr>
        <w:t>”) [(such ICE</w:t>
      </w:r>
    </w:p>
    <w:p>
      <w:pPr>
        <w:spacing w:after="0" w:line="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voting power to be determined without giving effect to the Voting Agreement, dated [ ], 2021, by and between Bakkt and ICE)], unless (i) such person is the Company or ICE, (ii) such person is an employee benefit plan (or a trust which is a part of such a plan) which provides benefits exclusively to, or on behalf of, employees or former employees of the Company, (iii) such person is the Grantee, an entity controlled by the Grantee or a group which includes the Grantee or (iv) such person acquired such securities in a Non-Qualifying Transaction (as defined in </w:t>
      </w:r>
      <w:r>
        <w:rPr>
          <w:rFonts w:ascii="Times New Roman" w:cs="Times New Roman" w:eastAsia="Times New Roman" w:hAnsi="Times New Roman"/>
          <w:sz w:val="18"/>
          <w:szCs w:val="18"/>
          <w:u w:val="single" w:color="auto"/>
          <w:color w:val="auto"/>
        </w:rPr>
        <w:t>Section 3.23.3(d)</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20" w:firstLine="990"/>
        <w:spacing w:after="0" w:line="253" w:lineRule="auto"/>
        <w:tabs>
          <w:tab w:leader="none" w:pos="123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not more than thirty-six (36) months, individuals who constitute the Board as of the beginning of the period (the “</w:t>
      </w:r>
      <w:r>
        <w:rPr>
          <w:rFonts w:ascii="Times New Roman" w:cs="Times New Roman" w:eastAsia="Times New Roman" w:hAnsi="Times New Roman"/>
          <w:sz w:val="18"/>
          <w:szCs w:val="18"/>
          <w:b w:val="1"/>
          <w:bCs w:val="1"/>
          <w:u w:val="single" w:color="auto"/>
          <w:color w:val="auto"/>
        </w:rPr>
        <w:t>Incumbent Directors</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Company’s proxy statement in which such person is named as a nominee for director, without written objection to such nomination) will be an Incumbent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individual initially elected or nominated as a director of Bakkt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7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dissolution or liquidation of Bakkt or any sale or the disposition of 50% or more of the assets or business of Bakkt; or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329" w:name="page330"/>
    <w:bookmarkEnd w:id="329"/>
    <w:p>
      <w:pPr>
        <w:ind w:firstLine="990"/>
        <w:spacing w:after="0" w:line="249" w:lineRule="auto"/>
        <w:tabs>
          <w:tab w:leader="none" w:pos="123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consummation of any reorganization, merger, consolidation or share exchange or similar form of corporate transaction involving Bakkt unless (1) the persons who were the beneficial owners of the outstanding securities eligible to vote for the election of the members of Bakkt’s Board immediately before the consummation of such transaction hold more than [60]</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voting power of the securities eligible to vote for the members of the board of directors of (i) the successor or survivor corporation in such transaction immediately following the consummation of such transaction or (ii) if applicable, the ultimate parent corporation that directly or indirectly has beneficial ownership of at least 95% of the voting power of the successor or survivor corporation in such transaction and (2) the number of the securities of such successor or survivor corporation or ultimate parent corporation (the “</w:t>
      </w:r>
      <w:r>
        <w:rPr>
          <w:rFonts w:ascii="Times New Roman" w:cs="Times New Roman" w:eastAsia="Times New Roman" w:hAnsi="Times New Roman"/>
          <w:sz w:val="18"/>
          <w:szCs w:val="18"/>
          <w:b w:val="1"/>
          <w:bCs w:val="1"/>
          <w:u w:val="single" w:color="auto"/>
          <w:color w:val="auto"/>
        </w:rPr>
        <w:t>Post-Transaction Corporation</w:t>
      </w:r>
      <w:r>
        <w:rPr>
          <w:rFonts w:ascii="Times New Roman" w:cs="Times New Roman" w:eastAsia="Times New Roman" w:hAnsi="Times New Roman"/>
          <w:sz w:val="18"/>
          <w:szCs w:val="18"/>
          <w:color w:val="auto"/>
        </w:rPr>
        <w:t xml:space="preserve">”) representing the voting power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held by the persons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(3) the percentage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of the securities of the Post-Transaction Corporation and the number described in </w:t>
      </w:r>
      <w:r>
        <w:rPr>
          <w:rFonts w:ascii="Times New Roman" w:cs="Times New Roman" w:eastAsia="Times New Roman" w:hAnsi="Times New Roman"/>
          <w:sz w:val="18"/>
          <w:szCs w:val="18"/>
          <w:u w:val="single" w:color="auto"/>
          <w:color w:val="auto"/>
        </w:rPr>
        <w:t>Section 3.23.3(d)(2)</w:t>
      </w:r>
      <w:r>
        <w:rPr>
          <w:rFonts w:ascii="Times New Roman" w:cs="Times New Roman" w:eastAsia="Times New Roman" w:hAnsi="Times New Roman"/>
          <w:sz w:val="18"/>
          <w:szCs w:val="18"/>
          <w:color w:val="auto"/>
        </w:rPr>
        <w:t xml:space="preserve"> of the securities of the Post-Transaction Corporation will be determined exclusively by reference to the securities of the Post-Transaction Corporation which result from the beneficial ownership of Shares by the persons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immediately before the consummation of such transaction (any transaction which satisfies all of the criteria specified in (1), (2) and (3) above will be deemed to be a “</w:t>
      </w:r>
      <w:r>
        <w:rPr>
          <w:rFonts w:ascii="Times New Roman" w:cs="Times New Roman" w:eastAsia="Times New Roman" w:hAnsi="Times New Roman"/>
          <w:sz w:val="18"/>
          <w:szCs w:val="18"/>
          <w:b w:val="1"/>
          <w:bCs w:val="1"/>
          <w:u w:val="single" w:color="auto"/>
          <w:color w:val="auto"/>
        </w:rPr>
        <w:t>Non-Qualifying Transaction</w:t>
      </w:r>
      <w:r>
        <w:rPr>
          <w:rFonts w:ascii="Times New Roman" w:cs="Times New Roman" w:eastAsia="Times New Roman" w:hAnsi="Times New Roman"/>
          <w:sz w:val="18"/>
          <w:szCs w:val="18"/>
          <w:color w:val="auto"/>
        </w:rPr>
        <w:t>”). Notwithstanding anything to the contrary in the Plan, the consummation of any reorganization, merger, consolidation or share exchange or similar form of corporate transaction involving Bakkt shall not constitute a Change in Control if the direct or indirect beneficial ownership of the Post-Closing Corporation held by ICE is equivalent to or greater than the direct or indirect beneficial ownership of Bakkt held by ICE prior to such corporate transaction.</w:t>
      </w:r>
    </w:p>
    <w:p>
      <w:pPr>
        <w:spacing w:after="0" w:line="90"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3.23.4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thereto, and the applicable rulings and regulations thereunder.</w:t>
      </w:r>
    </w:p>
    <w:p>
      <w:pPr>
        <w:spacing w:after="0" w:line="49"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3.23.5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means the Class A common stock of Bakkt, par value $0.0001 per share, and any other securities or property issued in exchange therefor or in lieu thereof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3.23.6 “</w:t>
      </w:r>
      <w:r>
        <w:rPr>
          <w:rFonts w:ascii="Times New Roman" w:cs="Times New Roman" w:eastAsia="Times New Roman" w:hAnsi="Times New Roman"/>
          <w:sz w:val="18"/>
          <w:szCs w:val="18"/>
          <w:b w:val="1"/>
          <w:bCs w:val="1"/>
          <w:u w:val="single" w:color="auto"/>
          <w:color w:val="auto"/>
        </w:rPr>
        <w:t>Consultant</w:t>
      </w:r>
      <w:r>
        <w:rPr>
          <w:rFonts w:ascii="Times New Roman" w:cs="Times New Roman" w:eastAsia="Times New Roman" w:hAnsi="Times New Roman"/>
          <w:sz w:val="18"/>
          <w:szCs w:val="18"/>
          <w:color w:val="auto"/>
        </w:rPr>
        <w:t>” means any individual, corporation, partnership, limited liability company or other entity that provides bona fide consulting or advisory services to the Company.</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3.23.7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any officer or other regular, active employee and/or a prospective employee of the Company or any Subsidiary.</w:t>
      </w:r>
    </w:p>
    <w:p>
      <w:pPr>
        <w:spacing w:after="0" w:line="114"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3.23.8 “</w:t>
      </w: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means a Grantee’s performance of services for the Company,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w:t>
      </w:r>
    </w:p>
    <w:p>
      <w:pPr>
        <w:spacing w:after="0" w:line="71"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3.23.9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for a Share, the closing price reported for the Common Stock on the applicable date as reported on the New York Stock Exchange or, if not so reported, as determined in accordance with a valuation methodology approved by the Committee, unless determined as otherwise specified in the Plan.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71" w:lineRule="exact"/>
        <w:rPr>
          <w:sz w:val="20"/>
          <w:szCs w:val="20"/>
          <w:color w:val="auto"/>
        </w:rPr>
      </w:pPr>
    </w:p>
    <w:p>
      <w:pPr>
        <w:ind w:right="460" w:firstLine="436"/>
        <w:spacing w:after="0" w:line="282" w:lineRule="auto"/>
        <w:rPr>
          <w:sz w:val="20"/>
          <w:szCs w:val="20"/>
          <w:color w:val="auto"/>
        </w:rPr>
      </w:pPr>
      <w:r>
        <w:rPr>
          <w:rFonts w:ascii="Times New Roman" w:cs="Times New Roman" w:eastAsia="Times New Roman" w:hAnsi="Times New Roman"/>
          <w:sz w:val="18"/>
          <w:szCs w:val="18"/>
          <w:color w:val="auto"/>
        </w:rPr>
        <w:t>3.23.10 “</w:t>
      </w: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color w:val="auto"/>
        </w:rPr>
        <w:t>” means, unless otherwise provided in an Award Agreement or employment agreement, and in the absence of written consent of a Grantee:</w:t>
      </w:r>
    </w:p>
    <w:p>
      <w:pPr>
        <w:spacing w:after="0" w:line="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there is a material reduction in the Grantee’s base salary in effect immediately prior to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7645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91" w:lineRule="exact"/>
        <w:rPr>
          <w:sz w:val="20"/>
          <w:szCs w:val="20"/>
          <w:color w:val="auto"/>
        </w:rPr>
      </w:pPr>
    </w:p>
    <w:p>
      <w:pPr>
        <w:ind w:left="440" w:hanging="433"/>
        <w:spacing w:after="0"/>
        <w:tabs>
          <w:tab w:leader="none" w:pos="44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 xml:space="preserve">NTD: </w:t>
      </w:r>
      <w:r>
        <w:rPr>
          <w:rFonts w:ascii="Times New Roman" w:cs="Times New Roman" w:eastAsia="Times New Roman" w:hAnsi="Times New Roman"/>
          <w:sz w:val="18"/>
          <w:szCs w:val="18"/>
          <w:color w:val="auto"/>
        </w:rPr>
        <w:t>To confirm percentage threshold.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330" w:name="page331"/>
    <w:bookmarkEnd w:id="330"/>
    <w:p>
      <w:pPr>
        <w:ind w:right="140" w:firstLine="990"/>
        <w:spacing w:after="0" w:line="263" w:lineRule="auto"/>
        <w:tabs>
          <w:tab w:leader="none" w:pos="123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 is a transfer of the Grantee’s primary work site to a new primary work site that is more than 30 miles (measured along a straight line) from the Grantee’s primary work site unless such new primary work site is closer (measured along a straight line) to the Grantee’s primary residence than the Grantee’s then current primary work site.</w:t>
      </w:r>
    </w:p>
    <w:p>
      <w:pPr>
        <w:spacing w:after="0" w:line="175"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7"/>
          <w:szCs w:val="17"/>
          <w:color w:val="auto"/>
        </w:rPr>
        <w:t>If the Grantee does not deliver to the Company a written notice of termination within sixty (60) days after the Grantee has knowledge that an event constituting Good Reason has occurred, the event will no longer constitute Good Reason. In addition, the Grantee must give the Company thirty</w:t>
      </w:r>
    </w:p>
    <w:p>
      <w:pPr>
        <w:ind w:right="40" w:firstLine="7"/>
        <w:spacing w:after="0" w:line="256" w:lineRule="auto"/>
        <w:tabs>
          <w:tab w:leader="none" w:pos="34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cure the event constituting Good Reason, and must actually terminate his or her employment with the Company within sixty (60) days after the Company’s failure to cure such event.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3.23.11 “</w:t>
      </w:r>
      <w:r>
        <w:rPr>
          <w:rFonts w:ascii="Times New Roman" w:cs="Times New Roman" w:eastAsia="Times New Roman" w:hAnsi="Times New Roman"/>
          <w:sz w:val="18"/>
          <w:szCs w:val="18"/>
          <w:b w:val="1"/>
          <w:bCs w:val="1"/>
          <w:u w:val="single" w:color="auto"/>
          <w:color w:val="auto"/>
        </w:rPr>
        <w:t>Grantee</w:t>
      </w:r>
      <w:r>
        <w:rPr>
          <w:rFonts w:ascii="Times New Roman" w:cs="Times New Roman" w:eastAsia="Times New Roman" w:hAnsi="Times New Roman"/>
          <w:sz w:val="18"/>
          <w:szCs w:val="18"/>
          <w:color w:val="auto"/>
        </w:rPr>
        <w:t>” means an Employee, Non-Employee Director or Consultant who receives an Award.</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3.23.12 “</w:t>
      </w:r>
      <w:r>
        <w:rPr>
          <w:rFonts w:ascii="Times New Roman" w:cs="Times New Roman" w:eastAsia="Times New Roman" w:hAnsi="Times New Roman"/>
          <w:sz w:val="18"/>
          <w:szCs w:val="18"/>
          <w:b w:val="1"/>
          <w:bCs w:val="1"/>
          <w:u w:val="single" w:color="auto"/>
          <w:color w:val="auto"/>
        </w:rPr>
        <w:t>Incentive Stock Option</w:t>
      </w:r>
      <w:r>
        <w:rPr>
          <w:rFonts w:ascii="Times New Roman" w:cs="Times New Roman" w:eastAsia="Times New Roman" w:hAnsi="Times New Roman"/>
          <w:sz w:val="18"/>
          <w:szCs w:val="18"/>
          <w:color w:val="auto"/>
        </w:rPr>
        <w:t>” means a stock option that is intended to be an “incentive stock option” within the meaning of Code Sections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421 and 422, as now constituted or subsequently amended, or pursuant to a successor Code provision.</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3.23.13 “</w:t>
      </w: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color w:val="auto"/>
        </w:rPr>
        <w:t>” means a member of the Board who is not an Employee.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3.23.14 “</w:t>
      </w:r>
      <w:r>
        <w:rPr>
          <w:rFonts w:ascii="Times New Roman" w:cs="Times New Roman" w:eastAsia="Times New Roman" w:hAnsi="Times New Roman"/>
          <w:sz w:val="18"/>
          <w:szCs w:val="18"/>
          <w:b w:val="1"/>
          <w:bCs w:val="1"/>
          <w:u w:val="single" w:color="auto"/>
          <w:color w:val="auto"/>
        </w:rPr>
        <w:t>Participation Unit</w:t>
      </w:r>
      <w:r>
        <w:rPr>
          <w:rFonts w:ascii="Times New Roman" w:cs="Times New Roman" w:eastAsia="Times New Roman" w:hAnsi="Times New Roman"/>
          <w:sz w:val="18"/>
          <w:szCs w:val="18"/>
          <w:color w:val="auto"/>
        </w:rPr>
        <w:t>” has the meaning assigned to it in the Amended and Restated Bakkt Equity Incentive Plan.</w:t>
      </w:r>
    </w:p>
    <w:p>
      <w:pPr>
        <w:spacing w:after="0" w:line="114" w:lineRule="exact"/>
        <w:rPr>
          <w:sz w:val="20"/>
          <w:szCs w:val="20"/>
          <w:color w:val="auto"/>
        </w:rPr>
      </w:pPr>
    </w:p>
    <w:p>
      <w:pPr>
        <w:ind w:right="20" w:firstLine="436"/>
        <w:spacing w:after="0" w:line="271" w:lineRule="auto"/>
        <w:rPr>
          <w:sz w:val="20"/>
          <w:szCs w:val="20"/>
          <w:color w:val="auto"/>
        </w:rPr>
      </w:pPr>
      <w:r>
        <w:rPr>
          <w:rFonts w:ascii="Times New Roman" w:cs="Times New Roman" w:eastAsia="Times New Roman" w:hAnsi="Times New Roman"/>
          <w:sz w:val="17"/>
          <w:szCs w:val="17"/>
          <w:color w:val="auto"/>
        </w:rPr>
        <w:t>3.23.15 “</w:t>
      </w:r>
      <w:r>
        <w:rPr>
          <w:rFonts w:ascii="Times New Roman" w:cs="Times New Roman" w:eastAsia="Times New Roman" w:hAnsi="Times New Roman"/>
          <w:sz w:val="17"/>
          <w:szCs w:val="17"/>
          <w:b w:val="1"/>
          <w:bCs w:val="1"/>
          <w:u w:val="single" w:color="auto"/>
          <w:color w:val="auto"/>
        </w:rPr>
        <w:t>Performance Criteria</w:t>
      </w:r>
      <w:r>
        <w:rPr>
          <w:rFonts w:ascii="Times New Roman" w:cs="Times New Roman" w:eastAsia="Times New Roman" w:hAnsi="Times New Roman"/>
          <w:sz w:val="17"/>
          <w:szCs w:val="17"/>
          <w:color w:val="auto"/>
        </w:rPr>
        <w:t>” means one or more of the following business criteria (either separately or in combination), or any other business criteria established by the Committee, with regard to Bakkt (or a Subsidiary, division, other operational unit or administrative department of Bakkt):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shareholder return or similar measures); increase in the Fair Market Value of Common Stock; or changes (or the absence of changes) in the per share or aggregate Fair Market Value of Common Stock.</w:t>
      </w:r>
    </w:p>
    <w:p>
      <w:pPr>
        <w:spacing w:after="0" w:line="60"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3.23.16 “</w:t>
      </w:r>
      <w:r>
        <w:rPr>
          <w:rFonts w:ascii="Times New Roman" w:cs="Times New Roman" w:eastAsia="Times New Roman" w:hAnsi="Times New Roman"/>
          <w:sz w:val="18"/>
          <w:szCs w:val="18"/>
          <w:b w:val="1"/>
          <w:bCs w:val="1"/>
          <w:u w:val="single" w:color="auto"/>
          <w:color w:val="auto"/>
        </w:rPr>
        <w:t>Performance Goals</w:t>
      </w:r>
      <w:r>
        <w:rPr>
          <w:rFonts w:ascii="Times New Roman" w:cs="Times New Roman" w:eastAsia="Times New Roman" w:hAnsi="Times New Roman"/>
          <w:sz w:val="18"/>
          <w:szCs w:val="18"/>
          <w:color w:val="auto"/>
        </w:rPr>
        <w:t>” means the performance goals established by the Committee in connection with the grant of Awards, which may or may not be based on Performance Criteria and which may differ from Grantee to Grantee and from Award to Award.</w:t>
      </w:r>
    </w:p>
    <w:p>
      <w:pPr>
        <w:spacing w:after="0" w:line="49"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3.23.17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means Code Section 409A, including any amendments or successor provisions to that section, and any regulations and other administrative guidance thereunder, as it may be from time to time amended or interpreted through further administrative guidance.</w:t>
      </w:r>
    </w:p>
    <w:p>
      <w:pPr>
        <w:spacing w:after="0" w:line="49"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3.23.18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subsidiary of Bakkt within the meaning of Rule 405 under the Securities Act, including, as of the Effective Date, Bakkt Holdings, LLC and its direct and indirect subsidiaries.</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3.23.19 “</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regulations promulgated under the Code by the United States Treasury Department, as amended.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8" w:right="519"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J</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SUPPORT AGREEMENT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Exhibit 10.2 to this Current Report on Form 8-K.]</w:t>
      </w:r>
    </w:p>
    <w:p>
      <w:pPr>
        <w:sectPr>
          <w:pgSz w:w="11900" w:h="16838" w:orient="portrait"/>
          <w:cols w:equalWidth="0" w:num="1">
            <w:col w:w="9019"/>
          </w:cols>
          <w:pgMar w:left="1440" w:top="268" w:right="1440"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CERTIFICATE OF MERGER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PYLON MERGER COMPANY LLC,</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AND INTO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(Under Section 18-209 of the Limited Liability Company Act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the State of Delaware)</w:t>
      </w:r>
    </w:p>
    <w:p>
      <w:pPr>
        <w:spacing w:after="0" w:line="202" w:lineRule="exact"/>
        <w:rPr>
          <w:sz w:val="20"/>
          <w:szCs w:val="20"/>
          <w:color w:val="auto"/>
        </w:rPr>
      </w:pPr>
    </w:p>
    <w:p>
      <w:pPr>
        <w:ind w:right="80" w:firstLine="982"/>
        <w:spacing w:after="0" w:line="263" w:lineRule="auto"/>
        <w:rPr>
          <w:sz w:val="20"/>
          <w:szCs w:val="20"/>
          <w:color w:val="auto"/>
        </w:rPr>
      </w:pPr>
      <w:r>
        <w:rPr>
          <w:rFonts w:ascii="Times New Roman" w:cs="Times New Roman" w:eastAsia="Times New Roman" w:hAnsi="Times New Roman"/>
          <w:sz w:val="18"/>
          <w:szCs w:val="18"/>
          <w:color w:val="auto"/>
        </w:rPr>
        <w:t>Pursuant to Section 18-209 of the Limited Liability Company Act of the State of Delaware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Bakkt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Pylon Merger Company LLC, a Delaware limited liability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hereby certifies as follows: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The name, state of formation, and type of entity of each constituent entity to the Merger (the “</w:t>
      </w:r>
      <w:r>
        <w:rPr>
          <w:rFonts w:ascii="Times New Roman" w:cs="Times New Roman" w:eastAsia="Times New Roman" w:hAnsi="Times New Roman"/>
          <w:sz w:val="18"/>
          <w:szCs w:val="18"/>
          <w:u w:val="single" w:color="auto"/>
          <w:color w:val="auto"/>
        </w:rPr>
        <w:t>Constituent Entities</w:t>
      </w:r>
      <w:r>
        <w:rPr>
          <w:rFonts w:ascii="Times New Roman" w:cs="Times New Roman" w:eastAsia="Times New Roman" w:hAnsi="Times New Roman"/>
          <w:sz w:val="18"/>
          <w:szCs w:val="18"/>
          <w:color w:val="auto"/>
        </w:rPr>
        <w:t>”) 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State of Formation</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Type of Entity</w:t>
            </w:r>
          </w:p>
        </w:tc>
      </w:tr>
      <w:tr>
        <w:trPr>
          <w:trHeight w:val="220"/>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8"/>
              </w:rPr>
              <w:t>Bakkt</w:t>
            </w:r>
          </w:p>
        </w:tc>
        <w:tc>
          <w:tcPr>
            <w:tcW w:w="3600" w:type="dxa"/>
            <w:vAlign w:val="bottom"/>
          </w:tcPr>
          <w:p>
            <w:pPr>
              <w:ind w:left="120"/>
              <w:spacing w:after="0" w:line="193" w:lineRule="exact"/>
              <w:rPr>
                <w:sz w:val="20"/>
                <w:szCs w:val="20"/>
                <w:color w:val="auto"/>
              </w:rPr>
            </w:pPr>
            <w:r>
              <w:rPr>
                <w:rFonts w:ascii="Times New Roman" w:cs="Times New Roman" w:eastAsia="Times New Roman" w:hAnsi="Times New Roman"/>
                <w:sz w:val="18"/>
                <w:szCs w:val="18"/>
                <w:color w:val="auto"/>
              </w:rPr>
              <w:t>Holdings, LLC</w:t>
            </w: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Limited Liability Company</w:t>
            </w:r>
          </w:p>
        </w:tc>
      </w:tr>
      <w:tr>
        <w:trPr>
          <w:trHeight w:val="30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Pylon Merger Company LLC</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Delaware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Limited Liability Company</w:t>
            </w:r>
          </w:p>
        </w:tc>
      </w:tr>
    </w:tbl>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An Agreement and Plan of Merger, dated as of January 11, 2021 (as modified, supplemented or amended from time to time,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certified, executed and acknowledged by each of the Constituent Entities in accordance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2"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THIRD: Upon the effectiveness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Company shall be the surviving entity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and the name of the Surviving Entity shall be “Bakkt Opco Holdings, LLC”.</w:t>
      </w:r>
    </w:p>
    <w:p>
      <w:pPr>
        <w:spacing w:after="0" w:line="162" w:lineRule="exact"/>
        <w:rPr>
          <w:sz w:val="20"/>
          <w:szCs w:val="20"/>
          <w:color w:val="auto"/>
        </w:rPr>
      </w:pPr>
    </w:p>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t>FOURTH: The certificate of formation of the Company as in effect immediately prior to the Effective Time shall, by virtue of the Merger, be the certificate of formation of the Surviving Entity until thereafter amended in accordance with applicable law and the governance documents of the Surviving Entity.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FIFTH: The Merger shall become effective upon the filing of this Certificate of Merger with the Secretary of State of the State of Delaware.</w:t>
      </w:r>
    </w:p>
    <w:p>
      <w:pPr>
        <w:sectPr>
          <w:pgSz w:w="11900" w:h="16838" w:orient="portrait"/>
          <w:cols w:equalWidth="0" w:num="1">
            <w:col w:w="10920"/>
          </w:cols>
          <w:pgMar w:left="480" w:top="264" w:right="499" w:bottom="1440" w:gutter="0" w:footer="0" w:header="0"/>
        </w:sectPr>
      </w:pPr>
    </w:p>
    <w:bookmarkStart w:id="334" w:name="page335"/>
    <w:bookmarkEnd w:id="334"/>
    <w:p>
      <w:pPr>
        <w:ind w:right="56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SIXTH: An executed copy of the Merger Agreement is on file at the office of the Surviving Entity at 5900 Windward Parkway, Suite 450, Alpharetta, Georgia 30005.</w:t>
      </w:r>
    </w:p>
    <w:p>
      <w:pPr>
        <w:spacing w:after="0" w:line="162"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SEVENTH: An executed copy of the Merger Agreement will be furnished by the Surviving Entity, on request and without cost, to any member of any of the Constituent Entities.</w:t>
      </w:r>
    </w:p>
    <w:p>
      <w:pPr>
        <w:spacing w:after="0" w:line="162" w:lineRule="exact"/>
        <w:rPr>
          <w:sz w:val="20"/>
          <w:szCs w:val="20"/>
          <w:color w:val="auto"/>
        </w:rPr>
      </w:pPr>
    </w:p>
    <w:p>
      <w:pPr>
        <w:ind w:left="4500"/>
        <w:spacing w:after="0"/>
        <w:tabs>
          <w:tab w:leader="none" w:pos="4940" w:val="left"/>
          <w:tab w:leader="none" w:pos="5380" w:val="left"/>
          <w:tab w:leader="none" w:pos="5860" w:val="left"/>
          <w:tab w:leader="none" w:pos="6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840"/>
          </w:cols>
          <w:pgMar w:left="480" w:top="268" w:right="579" w:bottom="1440" w:gutter="0" w:footer="0" w:header="0"/>
        </w:sectPr>
      </w:pPr>
    </w:p>
    <w:bookmarkStart w:id="335" w:name="page336"/>
    <w:bookmarkEnd w:id="33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 said Surviving Entity has caused this Certificate of Merger to be signed by an authorized officer on this 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of ______________, 2021.</w:t>
      </w:r>
    </w:p>
    <w:p>
      <w:pPr>
        <w:spacing w:after="0" w:line="200" w:lineRule="exact"/>
        <w:rPr>
          <w:sz w:val="20"/>
          <w:szCs w:val="20"/>
          <w:color w:val="auto"/>
        </w:rPr>
      </w:pPr>
    </w:p>
    <w:p>
      <w:pPr>
        <w:spacing w:after="0" w:line="2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4718050</wp:posOffset>
            </wp:positionH>
            <wp:positionV relativeFrom="paragraph">
              <wp:posOffset>0</wp:posOffset>
            </wp:positionV>
            <wp:extent cx="221678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10740"/>
          </w:cols>
          <w:pgMar w:left="480" w:top="267" w:right="67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ind w:right="720" w:firstLine="436"/>
        <w:spacing w:after="0" w:line="278"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January 11, 2021 by and between VPC Impact Acquisition Holdings,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subscriber(s)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436"/>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Subscription Agreement, the Company is entering into that certain Agreement and Plan of Merger with Pylon Merger Company LLC, a Delaware limited liability company (“</w:t>
      </w:r>
      <w:r>
        <w:rPr>
          <w:rFonts w:ascii="Times New Roman" w:cs="Times New Roman" w:eastAsia="Times New Roman" w:hAnsi="Times New Roman"/>
          <w:sz w:val="18"/>
          <w:szCs w:val="18"/>
          <w:u w:val="single" w:color="auto"/>
          <w:color w:val="auto"/>
        </w:rPr>
        <w:t>Pylon</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providing for a business combination between the Company and Pylon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and the transactions contemplated by the Transaction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 the Company intends to transfer the listing of its Class A ordinary shares and warrants from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to the New York Stock Exchange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and such relisting, the “</w:t>
      </w:r>
      <w:r>
        <w:rPr>
          <w:rFonts w:ascii="Times New Roman" w:cs="Times New Roman" w:eastAsia="Times New Roman" w:hAnsi="Times New Roman"/>
          <w:sz w:val="18"/>
          <w:szCs w:val="18"/>
          <w:u w:val="single" w:color="auto"/>
          <w:color w:val="auto"/>
        </w:rPr>
        <w:t>Relisting</w:t>
      </w:r>
      <w:r>
        <w:rPr>
          <w:rFonts w:ascii="Times New Roman" w:cs="Times New Roman" w:eastAsia="Times New Roman" w:hAnsi="Times New Roman"/>
          <w:sz w:val="18"/>
          <w:szCs w:val="18"/>
          <w:color w:val="auto"/>
        </w:rPr>
        <w:t>”) (for purposes of this Subscription Agreement,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shall mean, prior to the consummation of the Relisting, NASDAQ, and following the consummation of the Relisting, the NYSE);</w:t>
      </w:r>
    </w:p>
    <w:p>
      <w:pPr>
        <w:spacing w:after="0" w:line="180" w:lineRule="exact"/>
        <w:rPr>
          <w:sz w:val="20"/>
          <w:szCs w:val="20"/>
          <w:color w:val="auto"/>
        </w:rPr>
      </w:pPr>
    </w:p>
    <w:p>
      <w:pPr>
        <w:ind w:right="400" w:firstLine="436"/>
        <w:spacing w:after="0" w:line="255" w:lineRule="auto"/>
        <w:rPr>
          <w:sz w:val="20"/>
          <w:szCs w:val="20"/>
          <w:color w:val="auto"/>
        </w:rPr>
      </w:pPr>
      <w:r>
        <w:rPr>
          <w:rFonts w:ascii="Times New Roman" w:cs="Times New Roman" w:eastAsia="Times New Roman" w:hAnsi="Times New Roman"/>
          <w:sz w:val="18"/>
          <w:szCs w:val="18"/>
          <w:color w:val="auto"/>
        </w:rPr>
        <w:t>WHEREAS, the Class A ordinary shares of the Company, par value $0.0001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will automatically be converted in shares of Class A Common Stock (as defined below), in connection with the Company’s domestication as a Delaware corporation immediately prior to the Closing and the consummation of the Transaction (such domestication,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(except as context requires otherwise, all references to Class A Ordinary Shares herein shall be deemed to reference shares of Class A Common Stock following the Domestication);</w:t>
      </w:r>
    </w:p>
    <w:p>
      <w:pPr>
        <w:spacing w:after="0" w:line="184"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 Subscriber desires to subscribe for and purchase from the Company immediately prior to the consummation of the Transaction, that number of shares of the Company’s Class A common stock, par value $0.0001 per share (the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set forth on the signature page hereto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for a purchase price of $10.00 per share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and the aggregate of such Per Share Price for all Subscribed Shares being referred to herein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the Company desires to issue and sell to Subscriber the Subscribed Shares in consideration of the payment of the Purchase Price by or on behalf of Subscriber to the Company; and</w:t>
      </w:r>
    </w:p>
    <w:p>
      <w:pPr>
        <w:spacing w:after="0" w:line="184"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WHEREAS, on or about the date of this Subscription Agreement, the Company is entering into subscription agreements (the “</w:t>
      </w:r>
      <w:r>
        <w:rPr>
          <w:rFonts w:ascii="Times New Roman" w:cs="Times New Roman" w:eastAsia="Times New Roman" w:hAnsi="Times New Roman"/>
          <w:sz w:val="18"/>
          <w:szCs w:val="18"/>
          <w:u w:val="single" w:color="auto"/>
          <w:color w:val="auto"/>
        </w:rPr>
        <w:t>Other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Subscribers</w:t>
      </w:r>
      <w:r>
        <w:rPr>
          <w:rFonts w:ascii="Times New Roman" w:cs="Times New Roman" w:eastAsia="Times New Roman" w:hAnsi="Times New Roman"/>
          <w:sz w:val="18"/>
          <w:szCs w:val="18"/>
          <w:color w:val="auto"/>
        </w:rPr>
        <w:t>” and together with Subscriber, the “</w:t>
      </w:r>
      <w:r>
        <w:rPr>
          <w:rFonts w:ascii="Times New Roman" w:cs="Times New Roman" w:eastAsia="Times New Roman" w:hAnsi="Times New Roman"/>
          <w:sz w:val="18"/>
          <w:szCs w:val="18"/>
          <w:u w:val="single" w:color="auto"/>
          <w:color w:val="auto"/>
        </w:rPr>
        <w:t>Subscribers</w:t>
      </w:r>
      <w:r>
        <w:rPr>
          <w:rFonts w:ascii="Times New Roman" w:cs="Times New Roman" w:eastAsia="Times New Roman" w:hAnsi="Times New Roman"/>
          <w:sz w:val="18"/>
          <w:szCs w:val="18"/>
          <w:color w:val="auto"/>
        </w:rPr>
        <w:t>”), pursuant to which such investors have agreed to purchase on the closing date of the Transaction, inclusive of the Subscribed Shares, an aggregate amount of up to 32,500,000 shares of Class A Common Stock, at the Per Share Price (the “</w:t>
      </w:r>
      <w:r>
        <w:rPr>
          <w:rFonts w:ascii="Times New Roman" w:cs="Times New Roman" w:eastAsia="Times New Roman" w:hAnsi="Times New Roman"/>
          <w:sz w:val="18"/>
          <w:szCs w:val="18"/>
          <w:u w:val="single" w:color="auto"/>
          <w:color w:val="auto"/>
        </w:rPr>
        <w:t>Other Subscribed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together with the Subscribed Shares, the “</w:t>
      </w:r>
      <w:r>
        <w:rPr>
          <w:rFonts w:ascii="Times New Roman" w:cs="Times New Roman" w:eastAsia="Times New Roman" w:hAnsi="Times New Roman"/>
          <w:sz w:val="18"/>
          <w:szCs w:val="18"/>
          <w:u w:val="single" w:color="auto"/>
          <w:color w:val="auto"/>
        </w:rPr>
        <w:t>Collective Subscribed Shares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4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53"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Subject to the terms and conditions hereof, at the Closing (as defined below), Subscriber hereby subscribes for and agrees to purchase, and the Company hereby agrees to issue and sell to Subscriber, upon the payment of the Purchase Price, the Subscribed Shares (such subscription and issuance, the “</w:t>
      </w: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Subscriber acknowledges and agrees that, as a result of the Domestication, the Subscribed Shares that will be issued pursuant hereto shall be shares of common stock in a Delaware corporation (and not shares in a Cayman Islands exempted company).</w:t>
      </w:r>
    </w:p>
    <w:p>
      <w:pPr>
        <w:sectPr>
          <w:pgSz w:w="11900" w:h="16838" w:orient="portrait"/>
          <w:cols w:equalWidth="0" w:num="1">
            <w:col w:w="10920"/>
          </w:cols>
          <w:pgMar w:left="480" w:top="117" w:right="4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00" w:firstLine="947"/>
        <w:spacing w:after="0" w:line="278" w:lineRule="auto"/>
        <w:tabs>
          <w:tab w:leader="none" w:pos="118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on the closing date of the Transaction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immediately following the Domestication and prior to the consummation of the Transaction.</w:t>
      </w:r>
    </w:p>
    <w:p>
      <w:pPr>
        <w:spacing w:after="0" w:line="55" w:lineRule="exact"/>
        <w:rPr>
          <w:rFonts w:ascii="Times New Roman" w:cs="Times New Roman" w:eastAsia="Times New Roman" w:hAnsi="Times New Roman"/>
          <w:sz w:val="18"/>
          <w:szCs w:val="18"/>
          <w:color w:val="auto"/>
        </w:rPr>
      </w:pPr>
    </w:p>
    <w:p>
      <w:pPr>
        <w:ind w:firstLine="947"/>
        <w:spacing w:after="0" w:line="249" w:lineRule="auto"/>
        <w:tabs>
          <w:tab w:leader="none" w:pos="119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before the anticipated Closing Date, the Company shall deliver written notice to Subscriber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xml:space="preserve">”) specifying (i) the anticipated Closing Date and (ii) the wire instructions for delivery of the Purchase Price to the Company. No later than two (2) Business Days prior to the Closing Date, Subscriber shall deliver the Purchase Price for the Subscribed Shares by wire transfer of United States dollars in immediately available funds to the account specified by the Company in the Closing Notice, such funds to be held in a non-interest bearing account by the Company in escrow (it being understood that the costs and expenses of the escrow account shall be borne by the Company), until the Closing, and deliver to the Company such information as is reasonably requested in the Closing Notice in order for the Company to issue the Subscribed Shares to Subscriber, including, without limitation, the legal name of the person in whose name the Subscribed Shares are to be issued and a duly completed and executed Internal Revenue Service Form W-9 or appropriate Form W-8. At the Closing, upon satisfaction (or, if applicable, waiver)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Company shall deliver to Subscriber (i) the Subscribed Shares in book entry form, free and clear of any liens or other restrictions (other than those arising under this Subscription Agreement or state or federal securities laws), in the name of Subscriber (or its nominee in accordance with its delivery instructions), and (ii) written notice from the Company or its transfer agent evidencing the issuance to Subscriber of the Subscribed Shares on and as of the Closing Date. In the event that the consummation of the Transaction does not occur within three (3) Business Days after the anticipated Closing Date specified in the Closing Notice, the Company shall promptly (but in no event later than five (5) Business Days after the anticipated Closing Date specified in the Closing Notice) return the funds so delivered by Subscriber to the Company by wire transfer in immediately available funds to the account specified by Subscriber, and any book entries shall be deemed cancelled. Notwithstanding such return or cancellation, (x) a failure to close on the anticipated Closing Date shall not, by itself, be deemed to be a failure of any of the conditions to Closing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be satisfied or waived on or prior to the Closing Date, and (y) unless and until this Subscription Agreement is terminated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Subscriber shall remain obligated (A) to redeliver funds to the Company in escrow following the Company’s delivery to Subscriber of a new Closing Notice and (B) to consummate the Closing upon satisfaction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For the purposes of this Subscription Agreement,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means any day other than a Saturday, Sunday or a day on which the Federal Reserve Bank of New York is closed.</w:t>
      </w:r>
    </w:p>
    <w:p>
      <w:pPr>
        <w:spacing w:after="0" w:line="90" w:lineRule="exact"/>
        <w:rPr>
          <w:rFonts w:ascii="Times New Roman" w:cs="Times New Roman" w:eastAsia="Times New Roman" w:hAnsi="Times New Roman"/>
          <w:sz w:val="18"/>
          <w:szCs w:val="18"/>
          <w:color w:val="auto"/>
        </w:rPr>
      </w:pPr>
    </w:p>
    <w:p>
      <w:pPr>
        <w:ind w:right="200" w:firstLine="947"/>
        <w:spacing w:after="0" w:line="278" w:lineRule="auto"/>
        <w:tabs>
          <w:tab w:leader="none" w:pos="118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be subject to the satisfaction or valid waiver by the Company, on the one hand, or Subscriber, on the other, of the conditions that, on the Closing Date:</w:t>
      </w:r>
    </w:p>
    <w:p>
      <w:pPr>
        <w:spacing w:after="0" w:line="55" w:lineRule="exact"/>
        <w:rPr>
          <w:rFonts w:ascii="Times New Roman" w:cs="Times New Roman" w:eastAsia="Times New Roman" w:hAnsi="Times New Roman"/>
          <w:sz w:val="18"/>
          <w:szCs w:val="18"/>
          <w:color w:val="auto"/>
        </w:rPr>
      </w:pPr>
    </w:p>
    <w:p>
      <w:pPr>
        <w:ind w:right="200" w:firstLine="1366"/>
        <w:spacing w:after="0" w:line="278" w:lineRule="auto"/>
        <w:tabs>
          <w:tab w:leader="none" w:pos="1575"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Subscribed Shares for offering or sale or trading in any applicable jurisdiction, or initiation or threatening of any proceedings for any of such purposes, shall have occurred;</w:t>
      </w:r>
    </w:p>
    <w:p>
      <w:pPr>
        <w:spacing w:after="0" w:line="55" w:lineRule="exact"/>
        <w:rPr>
          <w:rFonts w:ascii="Times New Roman" w:cs="Times New Roman" w:eastAsia="Times New Roman" w:hAnsi="Times New Roman"/>
          <w:sz w:val="18"/>
          <w:szCs w:val="18"/>
          <w:color w:val="auto"/>
        </w:rPr>
      </w:pPr>
    </w:p>
    <w:p>
      <w:pPr>
        <w:jc w:val="both"/>
        <w:ind w:right="120" w:firstLine="1366"/>
        <w:spacing w:after="0" w:line="263" w:lineRule="auto"/>
        <w:tabs>
          <w:tab w:leader="none" w:pos="162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set forth in the Transaction Agreement, including the approval of the Company’s stockholders, shall have been satisfied or waived (as determined by the parties to the Transaction Agreement and other than those conditions which, by their nature, are to be satisfied at the closing of the Transaction pursuant to the Transaction Agreement);</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80"/>
          </w:cols>
          <w:pgMar w:left="920" w:top="268" w:right="49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(iii) all required regulatory approvals with respect to the issuance and sale of the Subscribed Shares to the Subscriber shall have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obtained; and</w:t>
      </w:r>
    </w:p>
    <w:p>
      <w:pPr>
        <w:spacing w:after="0" w:line="95" w:lineRule="exact"/>
        <w:rPr>
          <w:sz w:val="20"/>
          <w:szCs w:val="20"/>
          <w:color w:val="auto"/>
        </w:rPr>
      </w:pPr>
    </w:p>
    <w:p>
      <w:pPr>
        <w:ind w:right="60" w:firstLine="1366"/>
        <w:spacing w:after="0" w:line="258" w:lineRule="auto"/>
        <w:tabs>
          <w:tab w:leader="none" w:pos="1664"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(including, but not limited to, a court, financial services or banking authorities) shall have enacted,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w:t>
      </w:r>
    </w:p>
    <w:p>
      <w:pPr>
        <w:spacing w:after="0" w:line="72" w:lineRule="exact"/>
        <w:rPr>
          <w:rFonts w:ascii="Times New Roman" w:cs="Times New Roman" w:eastAsia="Times New Roman" w:hAnsi="Times New Roman"/>
          <w:sz w:val="18"/>
          <w:szCs w:val="18"/>
          <w:color w:val="auto"/>
        </w:rPr>
      </w:pPr>
    </w:p>
    <w:p>
      <w:pPr>
        <w:ind w:right="120" w:firstLine="947"/>
        <w:spacing w:after="0" w:line="278" w:lineRule="auto"/>
        <w:tabs>
          <w:tab w:leader="none" w:pos="119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conditions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the obligation of the Company to consummate the Closing shall be subject to the satisfaction or valid waiver by the Company of the additional conditions that, on the Closing Date:</w:t>
      </w:r>
    </w:p>
    <w:p>
      <w:pPr>
        <w:spacing w:after="0" w:line="55" w:lineRule="exact"/>
        <w:rPr>
          <w:rFonts w:ascii="Times New Roman" w:cs="Times New Roman" w:eastAsia="Times New Roman" w:hAnsi="Times New Roman"/>
          <w:sz w:val="18"/>
          <w:szCs w:val="18"/>
          <w:color w:val="auto"/>
        </w:rPr>
      </w:pPr>
    </w:p>
    <w:p>
      <w:pPr>
        <w:ind w:right="180" w:firstLine="1366"/>
        <w:spacing w:after="0" w:line="285" w:lineRule="auto"/>
        <w:tabs>
          <w:tab w:leader="none" w:pos="1575"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(as defined below), which representations and warranties shall be true and correct in all respects as so qualified) at and as of the Closing Date; and</w:t>
      </w:r>
    </w:p>
    <w:p>
      <w:pPr>
        <w:spacing w:after="0" w:line="52" w:lineRule="exact"/>
        <w:rPr>
          <w:rFonts w:ascii="Times New Roman" w:cs="Times New Roman" w:eastAsia="Times New Roman" w:hAnsi="Times New Roman"/>
          <w:sz w:val="17"/>
          <w:szCs w:val="17"/>
          <w:color w:val="auto"/>
        </w:rPr>
      </w:pPr>
    </w:p>
    <w:p>
      <w:pPr>
        <w:ind w:right="120" w:firstLine="1366"/>
        <w:spacing w:after="0" w:line="278" w:lineRule="auto"/>
        <w:tabs>
          <w:tab w:leader="none" w:pos="162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applicable governmental authorities (including, but not limited to, financial services or banking authorities), rules, regulations, orders, policies or procedures, Subscriber shall have been found suitable by such authorities; and</w:t>
      </w:r>
    </w:p>
    <w:p>
      <w:pPr>
        <w:spacing w:after="0" w:line="55" w:lineRule="exact"/>
        <w:rPr>
          <w:rFonts w:ascii="Times New Roman" w:cs="Times New Roman" w:eastAsia="Times New Roman" w:hAnsi="Times New Roman"/>
          <w:sz w:val="18"/>
          <w:szCs w:val="18"/>
          <w:color w:val="auto"/>
        </w:rPr>
      </w:pPr>
    </w:p>
    <w:p>
      <w:pPr>
        <w:ind w:right="540" w:firstLine="1366"/>
        <w:spacing w:after="0" w:line="308" w:lineRule="auto"/>
        <w:tabs>
          <w:tab w:leader="none" w:pos="1674"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shall have performed, satisfied and complied in all material respects with the covenants, agreements and conditions required by this Subscription Agreement to be performed, satisfied or complied with by Subscriber at or prior to the Closing.</w:t>
      </w:r>
    </w:p>
    <w:p>
      <w:pPr>
        <w:spacing w:after="0" w:line="33" w:lineRule="exact"/>
        <w:rPr>
          <w:rFonts w:ascii="Times New Roman" w:cs="Times New Roman" w:eastAsia="Times New Roman" w:hAnsi="Times New Roman"/>
          <w:sz w:val="17"/>
          <w:szCs w:val="17"/>
          <w:color w:val="auto"/>
        </w:rPr>
      </w:pPr>
    </w:p>
    <w:p>
      <w:pPr>
        <w:ind w:right="140" w:firstLine="947"/>
        <w:spacing w:after="0" w:line="278" w:lineRule="auto"/>
        <w:tabs>
          <w:tab w:leader="none" w:pos="11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conditions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the obligation of Subscriber to consummate the Closing shall be subject to the satisfaction or valid waiver by Subscriber of the additional conditions that, on the Closing Date:</w:t>
      </w:r>
    </w:p>
    <w:p>
      <w:pPr>
        <w:spacing w:after="0" w:line="55" w:lineRule="exact"/>
        <w:rPr>
          <w:rFonts w:ascii="Times New Roman" w:cs="Times New Roman" w:eastAsia="Times New Roman" w:hAnsi="Times New Roman"/>
          <w:sz w:val="18"/>
          <w:szCs w:val="18"/>
          <w:color w:val="auto"/>
        </w:rPr>
      </w:pPr>
    </w:p>
    <w:p>
      <w:pPr>
        <w:ind w:right="140" w:firstLine="1366"/>
        <w:spacing w:after="0" w:line="263" w:lineRule="auto"/>
        <w:tabs>
          <w:tab w:leader="none" w:pos="1575"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Company contained in this Subscription Agreement shall be true and correct in all material respects (other than representations and warranties that are qualified as to materiality or Company Material Adverse Effect (as defined below), which representations and warranties shall be true in all respects as so qualified) at and as of the Closing Date;</w:t>
      </w:r>
    </w:p>
    <w:p>
      <w:pPr>
        <w:spacing w:after="0" w:line="68" w:lineRule="exact"/>
        <w:rPr>
          <w:rFonts w:ascii="Times New Roman" w:cs="Times New Roman" w:eastAsia="Times New Roman" w:hAnsi="Times New Roman"/>
          <w:sz w:val="18"/>
          <w:szCs w:val="18"/>
          <w:color w:val="auto"/>
        </w:rPr>
      </w:pPr>
    </w:p>
    <w:p>
      <w:pPr>
        <w:ind w:right="60" w:firstLine="1366"/>
        <w:spacing w:after="0" w:line="258" w:lineRule="auto"/>
        <w:tabs>
          <w:tab w:leader="none" w:pos="162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the covenants, agreements and conditions required by this Subscription Agreement to be performed, satisfied or complied with by the Company at or prior to the Closing, except where the failure of such performance or compliance would not reasonably be expected to prevent, materially delay, or materially impair the ability of the Company to consummate the Closing; and</w:t>
      </w:r>
    </w:p>
    <w:p>
      <w:pPr>
        <w:spacing w:after="0" w:line="72" w:lineRule="exact"/>
        <w:rPr>
          <w:rFonts w:ascii="Times New Roman" w:cs="Times New Roman" w:eastAsia="Times New Roman" w:hAnsi="Times New Roman"/>
          <w:sz w:val="18"/>
          <w:szCs w:val="18"/>
          <w:color w:val="auto"/>
        </w:rPr>
      </w:pPr>
    </w:p>
    <w:p>
      <w:pPr>
        <w:ind w:right="20" w:firstLine="1366"/>
        <w:spacing w:after="0" w:line="258" w:lineRule="auto"/>
        <w:tabs>
          <w:tab w:leader="none" w:pos="167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consented to in writing by Subscriber, the Transaction Agreement (as filed with the Commission on or immediately following the date hereof) shall not have been amended, modified, supplemented or waived in a manner which (x) materially and adversely affects the Company or (y) materially and adversely affect the economics of the Subscribed Shares that Subscriber is acquiring pursuant to this Subscription Agreement.</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0"/>
          </w:cols>
          <w:pgMar w:left="920" w:top="268" w:right="51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Company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represents and warrants to Subscriber that:</w:t>
      </w:r>
    </w:p>
    <w:p>
      <w:pPr>
        <w:spacing w:after="0" w:line="116" w:lineRule="exact"/>
        <w:rPr>
          <w:sz w:val="20"/>
          <w:szCs w:val="20"/>
          <w:color w:val="auto"/>
        </w:rPr>
      </w:pPr>
    </w:p>
    <w:p>
      <w:pPr>
        <w:ind w:left="1180" w:hanging="233"/>
        <w:spacing w:after="0"/>
        <w:tabs>
          <w:tab w:leader="none" w:pos="118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organized, validly existing and in good standing under the laws of its jurisdiction of incorporation,</w:t>
      </w:r>
    </w:p>
    <w:p>
      <w:pPr>
        <w:spacing w:after="0" w:line="25" w:lineRule="exact"/>
        <w:rPr>
          <w:rFonts w:ascii="Times New Roman" w:cs="Times New Roman" w:eastAsia="Times New Roman" w:hAnsi="Times New Roman"/>
          <w:sz w:val="18"/>
          <w:szCs w:val="18"/>
          <w:color w:val="auto"/>
        </w:rPr>
      </w:pPr>
    </w:p>
    <w:p>
      <w:pPr>
        <w:ind w:firstLine="4"/>
        <w:spacing w:after="0" w:line="249" w:lineRule="auto"/>
        <w:tabs>
          <w:tab w:leader="none" w:pos="262"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has or would reasonably be expected to have, a material adverse effect on the (x) business or financial condition of the Company, (y) the validity of the Subscribed Shares or (z) the legal authority or ability of the Company to perform its obligations hereunder, including the Company’s ability to consummate the Transaction and the issuance and sale of the Subscribed Shares.</w:t>
      </w:r>
    </w:p>
    <w:p>
      <w:pPr>
        <w:spacing w:after="0" w:line="80" w:lineRule="exact"/>
        <w:rPr>
          <w:rFonts w:ascii="Times New Roman" w:cs="Times New Roman" w:eastAsia="Times New Roman" w:hAnsi="Times New Roman"/>
          <w:sz w:val="18"/>
          <w:szCs w:val="18"/>
          <w:color w:val="auto"/>
        </w:rPr>
      </w:pPr>
    </w:p>
    <w:p>
      <w:pPr>
        <w:jc w:val="both"/>
        <w:ind w:right="160" w:firstLine="947"/>
        <w:spacing w:after="0" w:line="285" w:lineRule="auto"/>
        <w:tabs>
          <w:tab w:leader="none" w:pos="1195"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Subscribed Shares have been duly authorized and, when issued and delivered to Subscriber against full payment therefor in accordance with the terms of this Subscription Agreement, will be validly issued, fully paid and non-assessable and will not have been issued in violation of any preemptive rights created under the Company’s organizational documents or the laws of its jurisdiction of incorporation.</w:t>
      </w:r>
    </w:p>
    <w:p>
      <w:pPr>
        <w:spacing w:after="0" w:line="52" w:lineRule="exact"/>
        <w:rPr>
          <w:rFonts w:ascii="Times New Roman" w:cs="Times New Roman" w:eastAsia="Times New Roman" w:hAnsi="Times New Roman"/>
          <w:sz w:val="17"/>
          <w:szCs w:val="17"/>
          <w:color w:val="auto"/>
        </w:rPr>
      </w:pPr>
    </w:p>
    <w:p>
      <w:pPr>
        <w:ind w:right="60" w:firstLine="947"/>
        <w:spacing w:after="0" w:line="258" w:lineRule="auto"/>
        <w:tabs>
          <w:tab w:leader="none" w:pos="118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72" w:lineRule="exact"/>
        <w:rPr>
          <w:rFonts w:ascii="Times New Roman" w:cs="Times New Roman" w:eastAsia="Times New Roman" w:hAnsi="Times New Roman"/>
          <w:sz w:val="18"/>
          <w:szCs w:val="18"/>
          <w:color w:val="auto"/>
        </w:rPr>
      </w:pPr>
    </w:p>
    <w:p>
      <w:pPr>
        <w:ind w:firstLine="947"/>
        <w:spacing w:after="0" w:line="251" w:lineRule="auto"/>
        <w:tabs>
          <w:tab w:leader="none" w:pos="119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their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Company Material Adverse Effect, and no such material breaches, violations, defaults or impositions exist at the time of the transaction(s) that are not directly related to the transactions.</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0"/>
          </w:cols>
          <w:pgMar w:left="920" w:top="266" w:right="499" w:bottom="1440" w:gutter="0" w:footer="0" w:header="0"/>
        </w:sectPr>
      </w:pPr>
    </w:p>
    <w:bookmarkStart w:id="340" w:name="page341"/>
    <w:bookmarkEnd w:id="340"/>
    <w:p>
      <w:pPr>
        <w:ind w:right="100" w:firstLine="947"/>
        <w:spacing w:after="0" w:line="251" w:lineRule="auto"/>
        <w:tabs>
          <w:tab w:leader="none" w:pos="118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the Company is not required to obtain any consent, waiver, authorization, order or approval, give any notice to, or make any filing or registration with, any court or other federal, state, local or other governmental authority, self-regulatory organization (including the Stock Exchange) or other person in connection with the execution, delivery and performance of this Subscription Agreement (including, without limitation, the issuance of the Subscribed Shares), other than (i) filings required by applicable state securities laws, (ii) filings required by applicable state banking and money transmitter licensing authorities, (iii) the filing of the Registration Statement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(iv) filings required by the United States Securities and Exchange Commission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(v) those required by the Stock Exchange, (vi) those required to consummate the Transaction as provided under the Transaction Agreement, (vii) the filing of notification under the Hart-Scott-Rodino Antitrust Improvements Act of 1976, if applicable, (viii) filings required in connection with the Relisting and the Domestication, and (ix) the failure of which to obtain would not be reasonably likely to have a Company Material Adverse Effect.</w:t>
      </w:r>
    </w:p>
    <w:p>
      <w:pPr>
        <w:spacing w:after="0" w:line="82" w:lineRule="exact"/>
        <w:rPr>
          <w:rFonts w:ascii="Times New Roman" w:cs="Times New Roman" w:eastAsia="Times New Roman" w:hAnsi="Times New Roman"/>
          <w:sz w:val="18"/>
          <w:szCs w:val="18"/>
          <w:color w:val="auto"/>
        </w:rPr>
      </w:pPr>
    </w:p>
    <w:p>
      <w:pPr>
        <w:ind w:firstLine="947"/>
        <w:spacing w:after="0" w:line="251" w:lineRule="auto"/>
        <w:tabs>
          <w:tab w:leader="none" w:pos="116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reports required to be filed by the Company with the Commission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Company timely filed each report, statement, schedule, prospectus, and registration statement that the Company was required to file with the Commission since its inception. There are no material outstanding or unresolved comments in comment letters from the staff of the Commission with respect to any of the SEC Reports.</w:t>
      </w:r>
    </w:p>
    <w:p>
      <w:pPr>
        <w:spacing w:after="0" w:line="79" w:lineRule="exact"/>
        <w:rPr>
          <w:rFonts w:ascii="Times New Roman" w:cs="Times New Roman" w:eastAsia="Times New Roman" w:hAnsi="Times New Roman"/>
          <w:sz w:val="18"/>
          <w:szCs w:val="18"/>
          <w:color w:val="auto"/>
        </w:rPr>
      </w:pPr>
    </w:p>
    <w:p>
      <w:pPr>
        <w:ind w:right="20" w:firstLine="947"/>
        <w:spacing w:after="0" w:line="251" w:lineRule="auto"/>
        <w:tabs>
          <w:tab w:leader="none" w:pos="119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the Company consists of 220,000,000 ordinary shares, par value of $0.0001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including 200,000,000 Class A Ordinary Shares, 20,000,000 Class B ordinary shares, par value $0.0001 per share (the “</w:t>
      </w:r>
      <w:r>
        <w:rPr>
          <w:rFonts w:ascii="Times New Roman" w:cs="Times New Roman" w:eastAsia="Times New Roman" w:hAnsi="Times New Roman"/>
          <w:sz w:val="18"/>
          <w:szCs w:val="18"/>
          <w:u w:val="single" w:color="auto"/>
          <w:color w:val="auto"/>
        </w:rPr>
        <w:t>Class B Ordinary Shares</w:t>
      </w:r>
      <w:r>
        <w:rPr>
          <w:rFonts w:ascii="Times New Roman" w:cs="Times New Roman" w:eastAsia="Times New Roman" w:hAnsi="Times New Roman"/>
          <w:sz w:val="18"/>
          <w:szCs w:val="18"/>
          <w:color w:val="auto"/>
        </w:rPr>
        <w:t>”), and 1,000,000 preference shares, par value of $0.0001 per share (“</w:t>
      </w:r>
      <w:r>
        <w:rPr>
          <w:rFonts w:ascii="Times New Roman" w:cs="Times New Roman" w:eastAsia="Times New Roman" w:hAnsi="Times New Roman"/>
          <w:sz w:val="18"/>
          <w:szCs w:val="18"/>
          <w:u w:val="single" w:color="auto"/>
          <w:color w:val="auto"/>
        </w:rPr>
        <w:t>Preference Shares</w:t>
      </w:r>
      <w:r>
        <w:rPr>
          <w:rFonts w:ascii="Times New Roman" w:cs="Times New Roman" w:eastAsia="Times New Roman" w:hAnsi="Times New Roman"/>
          <w:sz w:val="18"/>
          <w:szCs w:val="18"/>
          <w:color w:val="auto"/>
        </w:rPr>
        <w:t>”). As of immediately prior to the Closing and prior to giving effect to any of the Transactions contemplated by the Transaction Agreement (other than the Domestication), the authorized capital stock of the Company will consist of 1,001,000,000 shares of capital stock, consisting of 750,000,000 shares of Class A common stock, 250,000,000 shares of Class V common stock, par value $0.0001 per share, and 1,000,000 shares of preferred stock, par value $0.0001 per share. As of the date hereof: (i) 20,737,202 Class A Ordinary Shares are issued and outstanding, 5,184,300 Class B Ordinary Shares are issued and outstanding and no Preference Shares are issued and outstanding; (ii) 16,516,041 warrants, each exercisable to purchase one Class A Ordinary Share at $11.50 per share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are issued and outstanding, including 6,147,440 private placement warrants; and (iii) no Class A Ordinary Shares was subject to issuance upon exercise of outstanding options. No Warrants are exercisable on or prior to the Closing.</w:t>
      </w:r>
    </w:p>
    <w:p>
      <w:pPr>
        <w:spacing w:after="0" w:line="82" w:lineRule="exact"/>
        <w:rPr>
          <w:rFonts w:ascii="Times New Roman" w:cs="Times New Roman" w:eastAsia="Times New Roman" w:hAnsi="Times New Roman"/>
          <w:sz w:val="18"/>
          <w:szCs w:val="18"/>
          <w:color w:val="auto"/>
        </w:rPr>
      </w:pPr>
    </w:p>
    <w:p>
      <w:pPr>
        <w:ind w:right="180" w:firstLine="947"/>
        <w:spacing w:after="0" w:line="274" w:lineRule="auto"/>
        <w:tabs>
          <w:tab w:leader="none" w:pos="1195"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issued and outstanding Ordinary Shares have been duly authorized and are validly issued, fully paid and non-assessable and are not subject to preemptive rights. As of the date hereof, except as set forth above and pursuant to (i) the Other Subscription Agreements, or</w:t>
      </w:r>
    </w:p>
    <w:p>
      <w:pPr>
        <w:ind w:right="680" w:firstLine="4"/>
        <w:spacing w:after="0" w:line="256" w:lineRule="auto"/>
        <w:tabs>
          <w:tab w:leader="none" w:pos="26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(including the exhibits and schedules thereto), there are no outstanding options, warrants or other rights to subscribe for, purchase or acquire from the Company any</w:t>
      </w:r>
    </w:p>
    <w:p>
      <w:pPr>
        <w:spacing w:after="0" w:line="1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0"/>
          </w:cols>
          <w:pgMar w:left="920" w:top="268" w:right="499" w:bottom="1440" w:gutter="0" w:footer="0" w:header="0"/>
        </w:sectPr>
      </w:pPr>
    </w:p>
    <w:bookmarkStart w:id="341" w:name="page342"/>
    <w:bookmarkEnd w:id="341"/>
    <w:p>
      <w:pPr>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Ordinary Shares or other equity interests in the Company (collectively, “</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September 24, 2020, pursuant to which the Company’s sponsor and the Company’s executive officers and independent directors agreed to vote in favor of any proposed Business Combination (as defined therein), which includes the Transaction, and (B) as contemplated by the Transaction Agreement. There are no securities or instruments issued by or to which the Company is a party containing anti-dilution or similar provisions that will be triggered, by (i) the issuance of the Subscribed Shares or the shares to be issued pursuant to any Other Subscription Agreement, (ii) the Domestication, or</w:t>
      </w:r>
    </w:p>
    <w:p>
      <w:pPr>
        <w:spacing w:after="0" w:line="2" w:lineRule="exact"/>
        <w:rPr>
          <w:sz w:val="20"/>
          <w:szCs w:val="20"/>
          <w:color w:val="auto"/>
        </w:rPr>
      </w:pPr>
    </w:p>
    <w:p>
      <w:pPr>
        <w:ind w:right="140" w:firstLine="4"/>
        <w:spacing w:after="0" w:line="256" w:lineRule="auto"/>
        <w:tabs>
          <w:tab w:leader="none" w:pos="31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except in each case for such anti-dilution or similar provisions the application of which has been effectively waived. Except as disclosed in the SEC Reports, as of the date hereof, the Company had no outstanding indebtedness.</w:t>
      </w:r>
    </w:p>
    <w:p>
      <w:pPr>
        <w:spacing w:after="0" w:line="74" w:lineRule="exact"/>
        <w:rPr>
          <w:rFonts w:ascii="Times New Roman" w:cs="Times New Roman" w:eastAsia="Times New Roman" w:hAnsi="Times New Roman"/>
          <w:sz w:val="18"/>
          <w:szCs w:val="18"/>
          <w:color w:val="auto"/>
        </w:rPr>
      </w:pPr>
    </w:p>
    <w:p>
      <w:pPr>
        <w:jc w:val="both"/>
        <w:ind w:right="40" w:firstLine="947"/>
        <w:spacing w:after="0" w:line="258" w:lineRule="auto"/>
        <w:tabs>
          <w:tab w:leader="none" w:pos="115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as of the date hereof, there is no (i) suit,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72" w:lineRule="exact"/>
        <w:rPr>
          <w:rFonts w:ascii="Times New Roman" w:cs="Times New Roman" w:eastAsia="Times New Roman" w:hAnsi="Times New Roman"/>
          <w:sz w:val="18"/>
          <w:szCs w:val="18"/>
          <w:color w:val="auto"/>
        </w:rPr>
      </w:pPr>
    </w:p>
    <w:p>
      <w:pPr>
        <w:ind w:left="1160" w:hanging="213"/>
        <w:spacing w:after="0"/>
        <w:tabs>
          <w:tab w:leader="none" w:pos="11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are registered pursuant to Section 12(b) of the Securities Exchange Act of 1934, as amended (the</w:t>
      </w:r>
    </w:p>
    <w:p>
      <w:pPr>
        <w:spacing w:after="0" w:line="2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are listed for trading on the Stock Exchange under the symbol “VIH”. There is no suit, action, proceeding or investigation pending or, to the knowledge of the Company, threatened against the Company by the Stock Exchange or the Commission with respect to any intention by such entity to deregister the Class A Ordinary Shares or prohibit or terminate the listing of the Class A Ordinary Shares on the Stock Exchange. The Company has taken no action that is designed to terminate the registration of the Class A Ordinary Shares under the Exchange Act.</w:t>
      </w:r>
    </w:p>
    <w:p>
      <w:pPr>
        <w:spacing w:after="0" w:line="64" w:lineRule="exact"/>
        <w:rPr>
          <w:sz w:val="20"/>
          <w:szCs w:val="20"/>
          <w:color w:val="auto"/>
        </w:rPr>
      </w:pPr>
    </w:p>
    <w:p>
      <w:pPr>
        <w:ind w:right="80" w:firstLine="947"/>
        <w:spacing w:after="0" w:line="278" w:lineRule="auto"/>
        <w:tabs>
          <w:tab w:leader="none" w:pos="11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the issued and outstanding shares of Class A Common Stock will be registered pursuant to Section 12(b) of the Exchange Act and will be approved for listing on the Stock Exchange, subject only to official notice thereof.</w:t>
      </w:r>
    </w:p>
    <w:p>
      <w:pPr>
        <w:spacing w:after="0" w:line="55" w:lineRule="exact"/>
        <w:rPr>
          <w:rFonts w:ascii="Times New Roman" w:cs="Times New Roman" w:eastAsia="Times New Roman" w:hAnsi="Times New Roman"/>
          <w:sz w:val="18"/>
          <w:szCs w:val="18"/>
          <w:color w:val="auto"/>
        </w:rPr>
      </w:pPr>
    </w:p>
    <w:p>
      <w:pPr>
        <w:ind w:right="220" w:firstLine="947"/>
        <w:spacing w:after="0" w:line="278" w:lineRule="auto"/>
        <w:tabs>
          <w:tab w:leader="none" w:pos="11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Subscriber’s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no registration under the Securities Act is required for the offer and sale of the Subscribed Shares by the Company to Subscriber.</w:t>
      </w:r>
    </w:p>
    <w:p>
      <w:pPr>
        <w:spacing w:after="0" w:line="55" w:lineRule="exact"/>
        <w:rPr>
          <w:rFonts w:ascii="Times New Roman" w:cs="Times New Roman" w:eastAsia="Times New Roman" w:hAnsi="Times New Roman"/>
          <w:sz w:val="18"/>
          <w:szCs w:val="18"/>
          <w:color w:val="auto"/>
        </w:rPr>
      </w:pPr>
    </w:p>
    <w:p>
      <w:pPr>
        <w:ind w:right="520" w:firstLine="947"/>
        <w:spacing w:after="0" w:line="278" w:lineRule="auto"/>
        <w:tabs>
          <w:tab w:leader="none" w:pos="124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person acting on its behalf has engaged or will engage in any form of general solicitation or general advertising (within the meaning of Regulation D) in connection with any offer or sale of the Subscribed Shares.</w:t>
      </w:r>
    </w:p>
    <w:p>
      <w:pPr>
        <w:spacing w:after="0" w:line="55" w:lineRule="exact"/>
        <w:rPr>
          <w:rFonts w:ascii="Times New Roman" w:cs="Times New Roman" w:eastAsia="Times New Roman" w:hAnsi="Times New Roman"/>
          <w:sz w:val="18"/>
          <w:szCs w:val="18"/>
          <w:color w:val="auto"/>
        </w:rPr>
      </w:pPr>
    </w:p>
    <w:p>
      <w:pPr>
        <w:ind w:right="80" w:firstLine="947"/>
        <w:spacing w:after="0" w:line="263" w:lineRule="auto"/>
        <w:tabs>
          <w:tab w:leader="none" w:pos="11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Jefferies LLC, acting as placement agent to the Company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and Citigroup Global Markets Inc., acting as placement agent to the Company (“</w:t>
      </w:r>
      <w:r>
        <w:rPr>
          <w:rFonts w:ascii="Times New Roman" w:cs="Times New Roman" w:eastAsia="Times New Roman" w:hAnsi="Times New Roman"/>
          <w:sz w:val="18"/>
          <w:szCs w:val="18"/>
          <w:u w:val="single" w:color="auto"/>
          <w:color w:val="auto"/>
        </w:rPr>
        <w:t>Citi</w:t>
      </w:r>
      <w:r>
        <w:rPr>
          <w:rFonts w:ascii="Times New Roman" w:cs="Times New Roman" w:eastAsia="Times New Roman" w:hAnsi="Times New Roman"/>
          <w:sz w:val="18"/>
          <w:szCs w:val="18"/>
          <w:color w:val="auto"/>
        </w:rPr>
        <w:t>” and together with Jefferies,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no broker or finder is entitled to any brokerage or finder’s fee or commission solely in connection with the sale of the Subscribed Shares to Subscriber.</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920" w:top="268" w:right="519" w:bottom="1440" w:gutter="0" w:footer="0" w:header="0"/>
        </w:sectPr>
      </w:pPr>
    </w:p>
    <w:bookmarkStart w:id="342" w:name="page343"/>
    <w:bookmarkEnd w:id="342"/>
    <w:p>
      <w:pPr>
        <w:ind w:right="60" w:firstLine="947"/>
        <w:spacing w:after="0" w:line="253" w:lineRule="auto"/>
        <w:tabs>
          <w:tab w:leader="none" w:pos="119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acknowledges and agrees that, notwithstanding anything herein to the contrary, the Subscribed Shares may be pledged by the Subscriber in connection with a bona fide margin agreement, which shall not be deemed to be a transfer, sale or assignment of the Subscribed Shares hereunder, and the Subscriber effecting a pledge of Subscribed Shares shall not be required to provide the Company with any notice thereof or otherwise make any delivery to the Company pursuant to this Subscription Agreement. The Company hereby agrees to execute and deliver such documentation as a pledgee of the Subscribed Shares may reasonably request in connection with a pledge of the Subscribed Shares to such pledgee by the Subscriber, provided that the Subscriber shall be responsible for payment of legal fees and expenses incurred by the Company in connection with such request.</w:t>
      </w:r>
    </w:p>
    <w:p>
      <w:pPr>
        <w:spacing w:after="0" w:line="77" w:lineRule="exact"/>
        <w:rPr>
          <w:rFonts w:ascii="Times New Roman" w:cs="Times New Roman" w:eastAsia="Times New Roman" w:hAnsi="Times New Roman"/>
          <w:sz w:val="18"/>
          <w:szCs w:val="18"/>
          <w:color w:val="auto"/>
        </w:rPr>
      </w:pPr>
    </w:p>
    <w:p>
      <w:pPr>
        <w:ind w:right="40" w:firstLine="947"/>
        <w:spacing w:after="0" w:line="252" w:lineRule="auto"/>
        <w:tabs>
          <w:tab w:leader="none" w:pos="119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entered into any side letter or similar agreement with any Other Subscribers relating to such Other Subscriber’s purchase of Other Subscribed Shares other than the Other Subscription Agreements or any side letter or similar agreement unrelated to the Collective Subscribed Shares or whose terms are not materially more advantageous to such Other Subscriber than the Subscriber hereunder. The Other Subscription Agreements (and any amendments thereto) reflect the same Per Share Price and other material terms with respect to the purchase of the Subscribed Shares that are no more favorable to such Subscriber thereunder than the terms of this Subscription Agreement other than terms particular to the regulatory requirements of such subscriber or its affiliates or related funds;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Intercontinental Exchange Holdings, Inc. (or its affiliates) shall have the right pursuant to its Subscription Agreement to assign the right and obligation to purchase up to an aggregate of five million dollars ($5,000,000) of its Subscribed Shares to other equity holders of Bakkt.</w:t>
      </w:r>
    </w:p>
    <w:p>
      <w:pPr>
        <w:spacing w:after="0" w:line="80" w:lineRule="exact"/>
        <w:rPr>
          <w:rFonts w:ascii="Times New Roman" w:cs="Times New Roman" w:eastAsia="Times New Roman" w:hAnsi="Times New Roman"/>
          <w:sz w:val="18"/>
          <w:szCs w:val="18"/>
          <w:color w:val="auto"/>
        </w:rPr>
      </w:pPr>
    </w:p>
    <w:p>
      <w:pPr>
        <w:ind w:right="60" w:firstLine="947"/>
        <w:spacing w:after="0" w:line="271" w:lineRule="auto"/>
        <w:tabs>
          <w:tab w:leader="none" w:pos="1195"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is not in default or violation (and no event has occurred which, with notice or the lapse of time or both, would constitute a default or violation) of any material term, condition or provision of (i) the organizational documents of the Company, (ii) any loan or credit agreement, note, bond, mortgage, indenture, lease or other agreement, permit, franchise or license to which the Company is now a party or by which the Company’s properties or assets are bound or (iii) any statute or any judgment, order, rule or regulation of any court or governmental agency or body, domestic or foreign, having jurisdiction over the Company or any of its properties, except, in the case of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for defaults or violations that have not had and would not be reasonably expected to have, individually or in the aggregate, a Material Adverse Effect.</w:t>
      </w:r>
    </w:p>
    <w:p>
      <w:pPr>
        <w:spacing w:after="0" w:line="66" w:lineRule="exact"/>
        <w:rPr>
          <w:rFonts w:ascii="Times New Roman" w:cs="Times New Roman" w:eastAsia="Times New Roman" w:hAnsi="Times New Roman"/>
          <w:sz w:val="17"/>
          <w:szCs w:val="17"/>
          <w:color w:val="auto"/>
        </w:rPr>
      </w:pPr>
    </w:p>
    <w:p>
      <w:pPr>
        <w:ind w:right="560" w:firstLine="947"/>
        <w:spacing w:after="0" w:line="308" w:lineRule="auto"/>
        <w:tabs>
          <w:tab w:leader="none" w:pos="1165"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operations of the Company are conducted in compliance with anti-money laundering Laws, and no government action involving the Company with respect to any of the foregoing is pending or, to the knowledge of the Company, threatened in writing.</w:t>
      </w:r>
    </w:p>
    <w:p>
      <w:pPr>
        <w:spacing w:after="0" w:line="33" w:lineRule="exact"/>
        <w:rPr>
          <w:rFonts w:ascii="Times New Roman" w:cs="Times New Roman" w:eastAsia="Times New Roman" w:hAnsi="Times New Roman"/>
          <w:sz w:val="17"/>
          <w:szCs w:val="17"/>
          <w:color w:val="auto"/>
        </w:rPr>
      </w:pPr>
    </w:p>
    <w:p>
      <w:pPr>
        <w:ind w:firstLine="947"/>
        <w:spacing w:after="0" w:line="251" w:lineRule="auto"/>
        <w:tabs>
          <w:tab w:leader="none" w:pos="117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of any other applicable anti-bribery or anti-corruption Law. The Company has not promised, offered, authorized, given or agreed to give any unlawful gift, similar unlawful benefit or anything of value to any customer, supplier, governmental employee or other party who is or may be in a position to help or hinder the Company or assist in connection with any actual or proposed transaction, in violation of any provision of the FCPA or of any other applicable anti-bribery or anti-corruption law. To the knowledge of the Company, no government action with respect to any of the foregoing is pending or threatened against or that involves the Company.</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0"/>
          </w:cols>
          <w:pgMar w:left="920" w:top="268" w:right="4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the Company that:</w:t>
      </w:r>
    </w:p>
    <w:p>
      <w:pPr>
        <w:spacing w:after="0" w:line="116" w:lineRule="exact"/>
        <w:rPr>
          <w:sz w:val="20"/>
          <w:szCs w:val="20"/>
          <w:color w:val="auto"/>
        </w:rPr>
      </w:pPr>
    </w:p>
    <w:p>
      <w:pPr>
        <w:ind w:right="140" w:firstLine="947"/>
        <w:spacing w:after="0" w:line="263" w:lineRule="auto"/>
        <w:tabs>
          <w:tab w:leader="none" w:pos="118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 is duly organized, validly existing and (to the extent applicable) in good standing under the laws of its jurisdiction of incorporation or formation, and (ii) has the requisite power and authority to enter into and perform its obligations under this Subscription Agreement.</w:t>
      </w:r>
    </w:p>
    <w:p>
      <w:pPr>
        <w:spacing w:after="0" w:line="68" w:lineRule="exact"/>
        <w:rPr>
          <w:rFonts w:ascii="Times New Roman" w:cs="Times New Roman" w:eastAsia="Times New Roman" w:hAnsi="Times New Roman"/>
          <w:sz w:val="18"/>
          <w:szCs w:val="18"/>
          <w:color w:val="auto"/>
        </w:rPr>
      </w:pPr>
    </w:p>
    <w:p>
      <w:pPr>
        <w:ind w:right="40" w:firstLine="947"/>
        <w:spacing w:after="0" w:line="258" w:lineRule="auto"/>
        <w:tabs>
          <w:tab w:leader="none" w:pos="119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72" w:lineRule="exact"/>
        <w:rPr>
          <w:rFonts w:ascii="Times New Roman" w:cs="Times New Roman" w:eastAsia="Times New Roman" w:hAnsi="Times New Roman"/>
          <w:sz w:val="18"/>
          <w:szCs w:val="18"/>
          <w:color w:val="auto"/>
        </w:rPr>
      </w:pPr>
    </w:p>
    <w:p>
      <w:pPr>
        <w:ind w:right="60" w:firstLine="947"/>
        <w:spacing w:after="0" w:line="251" w:lineRule="auto"/>
        <w:tabs>
          <w:tab w:leader="none" w:pos="118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Subscriber Material Adverse Effect. For purposes of this Subscription Agreement, a “</w:t>
      </w:r>
      <w:r>
        <w:rPr>
          <w:rFonts w:ascii="Times New Roman" w:cs="Times New Roman" w:eastAsia="Times New Roman" w:hAnsi="Times New Roman"/>
          <w:sz w:val="18"/>
          <w:szCs w:val="18"/>
          <w:u w:val="single" w:color="auto"/>
          <w:color w:val="auto"/>
        </w:rPr>
        <w:t>Subscriber Material Adverse Effect</w:t>
      </w:r>
      <w:r>
        <w:rPr>
          <w:rFonts w:ascii="Times New Roman" w:cs="Times New Roman" w:eastAsia="Times New Roman" w:hAnsi="Times New Roman"/>
          <w:sz w:val="18"/>
          <w:szCs w:val="18"/>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79" w:lineRule="exact"/>
        <w:rPr>
          <w:rFonts w:ascii="Times New Roman" w:cs="Times New Roman" w:eastAsia="Times New Roman" w:hAnsi="Times New Roman"/>
          <w:sz w:val="18"/>
          <w:szCs w:val="18"/>
          <w:color w:val="auto"/>
        </w:rPr>
      </w:pPr>
    </w:p>
    <w:p>
      <w:pPr>
        <w:ind w:firstLine="947"/>
        <w:spacing w:after="0" w:line="274" w:lineRule="auto"/>
        <w:tabs>
          <w:tab w:leader="none" w:pos="1195"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(i) is a “qualified institutional buyer” (as defined in Rule 144A under the Securities Act) or an institutional “accredited investor” (within the meaning of Rule 501(a) under the Securities Act), in each case, satisfying the applicable requirements set forth on Annex A,</w:t>
      </w:r>
    </w:p>
    <w:p>
      <w:pPr>
        <w:ind w:right="20" w:firstLine="4"/>
        <w:spacing w:after="0" w:line="249" w:lineRule="auto"/>
        <w:tabs>
          <w:tab w:leader="none" w:pos="26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acquiring the Subscribed Shares only for its own account and not for the account of others, or if Subscriber is subscribing for the Subscribed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w:t>
      </w:r>
    </w:p>
    <w:p>
      <w:pPr>
        <w:spacing w:after="0" w:line="83" w:lineRule="exact"/>
        <w:rPr>
          <w:rFonts w:ascii="Times New Roman" w:cs="Times New Roman" w:eastAsia="Times New Roman" w:hAnsi="Times New Roman"/>
          <w:sz w:val="18"/>
          <w:szCs w:val="18"/>
          <w:color w:val="auto"/>
        </w:rPr>
      </w:pPr>
    </w:p>
    <w:p>
      <w:pPr>
        <w:ind w:right="300" w:firstLine="947"/>
        <w:spacing w:after="0" w:line="255" w:lineRule="auto"/>
        <w:tabs>
          <w:tab w:leader="none" w:pos="118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acknowledges and agrees that the Subscribed Shares are being offered in a transaction not involving any public offering within the meaning of the Securities Act and that the Subscribed Shares have not been registered under the Securities Act and that the Company is not required to register the Subscribed Shares except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Subscription Agreement. Subscriber acknowledges and agrees that the Subscribed Shares may not be offered, resold, transferred, pledged or otherwise disposed of by Subscriber absent an effective registration statement under the Securities Act, except (i) to the Company or a subsidiary thereof,</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920" w:top="266" w:right="519" w:bottom="1440" w:gutter="0" w:footer="0" w:header="0"/>
        </w:sectPr>
      </w:pPr>
    </w:p>
    <w:bookmarkStart w:id="344" w:name="page345"/>
    <w:bookmarkEnd w:id="344"/>
    <w:p>
      <w:pPr>
        <w:ind w:right="20" w:firstLine="4"/>
        <w:spacing w:after="0" w:line="236" w:lineRule="auto"/>
        <w:tabs>
          <w:tab w:leader="none" w:pos="26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pursuant to an applicable exemption from the registration requirements of the Securities Act, (including without limitation a private resale pursuant to so called “Section 4(a)1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or (iii) an ordinary course pledge such as a broker lien over account property generally, and, in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accordance with any applicable securities laws of the states and other jurisdictions of the United States, and that any certificates or account entries representing the Subscribed Shares shall contain a restrictive legend to such effect. Subscriber acknowledges and agrees that the Subscribed Shares will be subject to these securities laws transfer restrictions, and as a result of these transfer restrictions, Subscriber may not be able to readily offer, resell, transfer, pledge or otherwise dispose of the Subscribed Shares and may be required to bear the financial risk of an investment in the Subscribed Shares for an indefinite period of time. Subscriber acknowledges and agrees that the Subscribed Shares will not be immediately eligible for offer, resale, transfer, pledge or disposition pursuant to Rule 144 promulgated under the Securities Act, as amended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until at least one year following the filing of certain required information with the Commission after the Closing Date. Subscriber acknowledges and agrees that it has been advised to consult legal counsel prior to making any offer, resale, pledge or transfer of any of the Subscribed Shares.</w:t>
      </w:r>
    </w:p>
    <w:p>
      <w:pPr>
        <w:spacing w:after="0" w:line="97" w:lineRule="exact"/>
        <w:rPr>
          <w:rFonts w:ascii="Times New Roman" w:cs="Times New Roman" w:eastAsia="Times New Roman" w:hAnsi="Times New Roman"/>
          <w:sz w:val="18"/>
          <w:szCs w:val="18"/>
          <w:color w:val="auto"/>
        </w:rPr>
      </w:pPr>
    </w:p>
    <w:p>
      <w:pPr>
        <w:ind w:right="80" w:firstLine="947"/>
        <w:spacing w:after="0" w:line="254" w:lineRule="auto"/>
        <w:tabs>
          <w:tab w:leader="none" w:pos="116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Subscriber is purchasing the Subscribed Shares directly from the Company. Subscriber further acknowledges that there have not been, and Subscriber hereby agrees that it is not relying on, any statements, representations, warranties, covenants or agreements made to Subscriber by or on behalf of the Company, Bakkt, any other party to the Transaction, or any of their respective affiliates or any control persons, officers, directors, employees, partners, agents or representatives of the foregoing or any other person or entity, expressly or by implication, other than those representations, warranties, covenants and agreements of the Company set forth in this Subscription Agreement.</w:t>
      </w:r>
    </w:p>
    <w:p>
      <w:pPr>
        <w:spacing w:after="0" w:line="76" w:lineRule="exact"/>
        <w:rPr>
          <w:rFonts w:ascii="Times New Roman" w:cs="Times New Roman" w:eastAsia="Times New Roman" w:hAnsi="Times New Roman"/>
          <w:sz w:val="18"/>
          <w:szCs w:val="18"/>
          <w:color w:val="auto"/>
        </w:rPr>
      </w:pPr>
    </w:p>
    <w:p>
      <w:pPr>
        <w:ind w:firstLine="947"/>
        <w:spacing w:after="0" w:line="249" w:lineRule="auto"/>
        <w:tabs>
          <w:tab w:leader="none" w:pos="119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its decision to purchase the Subscribed Shares, Subscriber has relied solely upon independent investigation made by Subscriber and the Company’s representations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Subscriber acknowledges and agrees that Subscriber has received such information as Subscriber deems necessary in order to make an investment decision with respect to the Subscribed Shares, including with respect to the Company, Bakkt and the Transaction (including Pylon and its subsidiaries (collectively, the “</w:t>
      </w:r>
      <w:r>
        <w:rPr>
          <w:rFonts w:ascii="Times New Roman" w:cs="Times New Roman" w:eastAsia="Times New Roman" w:hAnsi="Times New Roman"/>
          <w:sz w:val="18"/>
          <w:szCs w:val="18"/>
          <w:u w:val="single" w:color="auto"/>
          <w:color w:val="auto"/>
        </w:rPr>
        <w:t>Acquired Companies</w:t>
      </w:r>
      <w:r>
        <w:rPr>
          <w:rFonts w:ascii="Times New Roman" w:cs="Times New Roman" w:eastAsia="Times New Roman" w:hAnsi="Times New Roman"/>
          <w:sz w:val="18"/>
          <w:szCs w:val="18"/>
          <w:color w:val="auto"/>
        </w:rPr>
        <w:t>”)), and made its own assessment and is satisfied concerning the relevant financial, tax and other economic considerations relevant to Subscriber’s investment in the Subscribed Shares. Without limiting the generality of the foregoing, Subscriber acknowledges that it has reviewed the Company’s filings with the Commission.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further acknowledges that the information provided to Subscriber was preliminary and subject to change, including in the registration statement and the proxy statement that the Company intends to file with the Commission (which will include substantial additional information about the Company and the Transaction and will update and supersede the information previously provided to Subscriber). Subscriber acknowledges and agrees that none of the Placement Agents, nor any affiliate of any Placement Agent has provided Subscriber with any information or advice with respect to the Subscribed Shares nor is such information or advice necessary or desired. Neither any Placement Agent nor any of their respective affiliates has made or makes any representation as to the Company or the Acquired</w:t>
      </w:r>
    </w:p>
    <w:p>
      <w:pPr>
        <w:spacing w:after="0" w:line="1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20" w:top="268" w:right="519" w:bottom="1440" w:gutter="0" w:footer="0" w:header="0"/>
        </w:sectPr>
      </w:pPr>
    </w:p>
    <w:bookmarkStart w:id="345" w:name="page346"/>
    <w:bookmarkEnd w:id="345"/>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Companies or the quality or value of the Subscribed Shares and the Placement Agents and any of their respective affiliates may have acquired non-public information with respect to the Company or the Acquired Companies which Subscriber agrees need not be provided to it. In connection with the issuance of the Subscribed Shares to Subscriber, neither any Placement Agent nor any of their respective affiliates has acted as a financial advisor or fiduciary to Subscriber.</w:t>
      </w:r>
    </w:p>
    <w:p>
      <w:pPr>
        <w:spacing w:after="0" w:line="73" w:lineRule="exact"/>
        <w:rPr>
          <w:sz w:val="20"/>
          <w:szCs w:val="20"/>
          <w:color w:val="auto"/>
        </w:rPr>
      </w:pPr>
    </w:p>
    <w:p>
      <w:pPr>
        <w:ind w:firstLine="947"/>
        <w:spacing w:after="0" w:line="251" w:lineRule="auto"/>
        <w:tabs>
          <w:tab w:leader="none" w:pos="119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became aware of this offering of the Subscribed Shares solely by means of direct contact between Subscriber and the Company or Bakkt or their respective affiliates, or by means of contact from either Placement Agent, and the Subscribed Shares were offered to Subscriber solely by direct contact between Subscriber and the Company or Bakkt or their respective affiliates. Subscriber did not become aware of this offering of the Subscribed Shares, nor were the Subscribed Shares offered to Subscriber, by any other means. Subscriber acknowledges that the Company represents and warrants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 Subscriber acknowledges that it is not relying upon, and has not relied upon, any statement, representation or warranty made by any person, firm or corporation (including, without limitation, the Company, Bakkt, the Placement Agents, any of their respective affiliates or any control persons, officers, directors, employees, agents or representatives of any of the foregoing), other than the representations and warranties of the Company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in making its investment or decision to invest in the Company.</w:t>
      </w:r>
    </w:p>
    <w:p>
      <w:pPr>
        <w:spacing w:after="0" w:line="79" w:lineRule="exact"/>
        <w:rPr>
          <w:rFonts w:ascii="Times New Roman" w:cs="Times New Roman" w:eastAsia="Times New Roman" w:hAnsi="Times New Roman"/>
          <w:sz w:val="18"/>
          <w:szCs w:val="18"/>
          <w:color w:val="auto"/>
        </w:rPr>
      </w:pPr>
    </w:p>
    <w:p>
      <w:pPr>
        <w:ind w:right="80" w:firstLine="947"/>
        <w:spacing w:after="0" w:line="252" w:lineRule="auto"/>
        <w:tabs>
          <w:tab w:leader="none" w:pos="11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that Subscriber shall be responsible for any of the Subscriber’s tax liabilities that may arise as a result of the transactions contemplated by this Subscription Agreement, and that neither the Company, Bakkt, any Non-Party Affiliate of the Company or Bakkt, nor any of their respective agents, have provided any tax advice or any other representation or guarantee, whether written or oral, regarding the tax consequences of the transactions contemplated by this Subscription Agreement.</w:t>
      </w:r>
    </w:p>
    <w:p>
      <w:pPr>
        <w:spacing w:after="0" w:line="80" w:lineRule="exact"/>
        <w:rPr>
          <w:rFonts w:ascii="Times New Roman" w:cs="Times New Roman" w:eastAsia="Times New Roman" w:hAnsi="Times New Roman"/>
          <w:sz w:val="18"/>
          <w:szCs w:val="18"/>
          <w:color w:val="auto"/>
        </w:rPr>
      </w:pPr>
    </w:p>
    <w:p>
      <w:pPr>
        <w:ind w:right="120" w:firstLine="947"/>
        <w:spacing w:after="0" w:line="258" w:lineRule="auto"/>
        <w:tabs>
          <w:tab w:leader="none" w:pos="11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72" w:lineRule="exact"/>
        <w:rPr>
          <w:rFonts w:ascii="Times New Roman" w:cs="Times New Roman" w:eastAsia="Times New Roman" w:hAnsi="Times New Roman"/>
          <w:sz w:val="18"/>
          <w:szCs w:val="18"/>
          <w:color w:val="auto"/>
        </w:rPr>
      </w:pPr>
    </w:p>
    <w:p>
      <w:pPr>
        <w:ind w:right="520" w:firstLine="947"/>
        <w:spacing w:after="0" w:line="278" w:lineRule="auto"/>
        <w:tabs>
          <w:tab w:leader="none" w:pos="119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has passed judgement upon or endorsed the merits of the offering of the Subscribed Shares or made any findings or determination as to the fairness of this investment.</w:t>
      </w:r>
    </w:p>
    <w:p>
      <w:pPr>
        <w:spacing w:after="0" w:line="55" w:lineRule="exact"/>
        <w:rPr>
          <w:rFonts w:ascii="Times New Roman" w:cs="Times New Roman" w:eastAsia="Times New Roman" w:hAnsi="Times New Roman"/>
          <w:sz w:val="18"/>
          <w:szCs w:val="18"/>
          <w:color w:val="auto"/>
        </w:rPr>
      </w:pPr>
    </w:p>
    <w:p>
      <w:pPr>
        <w:ind w:firstLine="947"/>
        <w:spacing w:after="0" w:line="255" w:lineRule="auto"/>
        <w:tabs>
          <w:tab w:leader="none" w:pos="11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Subscriber agrees to provide law enforcement agencies, if</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0"/>
          </w:cols>
          <w:pgMar w:left="920" w:top="268" w:right="519" w:bottom="1440" w:gutter="0" w:footer="0" w:header="0"/>
        </w:sectPr>
      </w:pPr>
    </w:p>
    <w:bookmarkStart w:id="346" w:name="page347"/>
    <w:bookmarkEnd w:id="3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requested thereby, such records as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that Subscriber maintains, either directly or through the use of a third-party administrator,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either directly or through the use of a third-party administrator, policies and procedures reasonably designed to ensure that the funds held by Subscriber and used to purchase the Subscribed Shares were legally derived.</w:t>
      </w:r>
    </w:p>
    <w:p>
      <w:pPr>
        <w:spacing w:after="0" w:line="80" w:lineRule="exact"/>
        <w:rPr>
          <w:sz w:val="20"/>
          <w:szCs w:val="20"/>
          <w:color w:val="auto"/>
        </w:rPr>
      </w:pPr>
    </w:p>
    <w:p>
      <w:pPr>
        <w:ind w:right="40" w:firstLine="947"/>
        <w:spacing w:after="0" w:line="255" w:lineRule="auto"/>
        <w:tabs>
          <w:tab w:leader="none" w:pos="124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person (as defined in 31 C.F.R. Part 800.224) in which the national or subnational governments of a single foreign state have a substantial interest (as defined in 31 C.F.R. Part 800.244) will acquire a substantial interest in the Company as a result of the purchase and sale of Subscribed Shares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and sale of Subscribed Shares hereunder.</w:t>
      </w:r>
    </w:p>
    <w:p>
      <w:pPr>
        <w:spacing w:after="0" w:line="77" w:lineRule="exact"/>
        <w:rPr>
          <w:rFonts w:ascii="Times New Roman" w:cs="Times New Roman" w:eastAsia="Times New Roman" w:hAnsi="Times New Roman"/>
          <w:sz w:val="18"/>
          <w:szCs w:val="18"/>
          <w:color w:val="auto"/>
        </w:rPr>
      </w:pPr>
    </w:p>
    <w:p>
      <w:pPr>
        <w:ind w:firstLine="947"/>
        <w:spacing w:after="0" w:line="250" w:lineRule="auto"/>
        <w:tabs>
          <w:tab w:leader="none" w:pos="119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an employee benefit plan that is subject to Title I of the U.S.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 plan, an individual retirement account or other arrangement that is subject to section 4975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an entity whose underlying assets are considered to include “plan assets” of any such plan, account or arrangement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purposes of Section 3(42) of ERISA or the comparable provisions of any Similar Laws, Subscriber represents and warrants that (x) neither the Company, nor any of its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(y) Subscriber’s acquisition and holding of the Subscribed Shares shall not constitute or result in a non-exempt “prohibited transaction” under Section 406 of ERISA and/or Section 4975 of the Code (or, in the case of a governmental plan, church plan, non-U.S. Plan or other plan, a violation of Similar Law).</w:t>
      </w:r>
    </w:p>
    <w:p>
      <w:pPr>
        <w:spacing w:after="0" w:line="85" w:lineRule="exact"/>
        <w:rPr>
          <w:rFonts w:ascii="Times New Roman" w:cs="Times New Roman" w:eastAsia="Times New Roman" w:hAnsi="Times New Roman"/>
          <w:sz w:val="18"/>
          <w:szCs w:val="18"/>
          <w:color w:val="auto"/>
        </w:rPr>
      </w:pPr>
    </w:p>
    <w:p>
      <w:pPr>
        <w:ind w:firstLine="947"/>
        <w:spacing w:after="0" w:line="253" w:lineRule="auto"/>
        <w:tabs>
          <w:tab w:leader="none" w:pos="119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does not have, as of the date hereof, and during the 30-day period immediately prior to the date hereof such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Subscription Agreement.</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0"/>
          </w:cols>
          <w:pgMar w:left="920" w:top="268" w:right="499" w:bottom="1440" w:gutter="0" w:footer="0" w:header="0"/>
        </w:sectPr>
      </w:pPr>
    </w:p>
    <w:bookmarkStart w:id="347" w:name="page348"/>
    <w:bookmarkEnd w:id="347"/>
    <w:p>
      <w:pPr>
        <w:ind w:left="1200" w:hanging="253"/>
        <w:spacing w:after="0"/>
        <w:tabs>
          <w:tab w:leader="none" w:pos="12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Subscriber at the Closing will have sufficient funds to pay the Purchase Price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40" w:firstLine="947"/>
        <w:spacing w:after="0" w:line="278" w:lineRule="auto"/>
        <w:tabs>
          <w:tab w:leader="none" w:pos="119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or finder is entitled to any brokerage or finder’s fee or commission solely in connection with the sale of the Subscribed Shares to Subscriber.</w:t>
      </w:r>
    </w:p>
    <w:p>
      <w:pPr>
        <w:spacing w:after="0" w:line="55" w:lineRule="exact"/>
        <w:rPr>
          <w:rFonts w:ascii="Times New Roman" w:cs="Times New Roman" w:eastAsia="Times New Roman" w:hAnsi="Times New Roman"/>
          <w:sz w:val="18"/>
          <w:szCs w:val="18"/>
          <w:color w:val="auto"/>
        </w:rPr>
      </w:pPr>
    </w:p>
    <w:p>
      <w:pPr>
        <w:ind w:right="400" w:firstLine="947"/>
        <w:spacing w:after="0" w:line="278" w:lineRule="auto"/>
        <w:tabs>
          <w:tab w:leader="none" w:pos="116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agrees that, notwithstanding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each Placement Agent and Bakkt may rely upon the representations and warranties made by Subscriber to the Company in this Subscription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Registration of Subscribed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47"/>
        <w:spacing w:after="0" w:line="264" w:lineRule="auto"/>
        <w:tabs>
          <w:tab w:leader="none" w:pos="1185"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that, within thirty (30) days after the Closing Date, the Company will file with the Commission (at the Company’s sole cost and expense) a registration statement registering the resale of the Subscribed Shares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and the Company shall use its commercially reasonable efforts to have the Registration Statement declared effective no later than the earlier of (the “</w:t>
      </w:r>
      <w:r>
        <w:rPr>
          <w:rFonts w:ascii="Times New Roman" w:cs="Times New Roman" w:eastAsia="Times New Roman" w:hAnsi="Times New Roman"/>
          <w:sz w:val="17"/>
          <w:szCs w:val="17"/>
          <w:u w:val="single" w:color="auto"/>
          <w:color w:val="auto"/>
        </w:rPr>
        <w:t>Effectiveness Deadline</w:t>
      </w:r>
      <w:r>
        <w:rPr>
          <w:rFonts w:ascii="Times New Roman" w:cs="Times New Roman" w:eastAsia="Times New Roman" w:hAnsi="Times New Roman"/>
          <w:sz w:val="17"/>
          <w:szCs w:val="17"/>
          <w:color w:val="auto"/>
        </w:rPr>
        <w:t>”) (i) sixty (60) calendar days following the Closing Date (or ninety (90) calendar days after the Closing Date if the Registration Statement is reviewed by, and receives comments from, the Commission) and (ii)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business day after the date the Company is notified in writing by the Commission that the Registration Statement will not be “reviewed” or will not be subject to further review. The Company will use its commercially reasonable efforts to provide a draft of the Registration Statement to Subscriber for review (but not comment) at least two (2) Business Days in advance of filing the Registration Statement; provided that, for the avoidance of doubt, in no event shall the Company be required to delay or postpone the filing of such Registration Statement as a result of or in connection with Subscriber’s review. Unless otherwise agreed to in writing by the Subscriber, the Subscriber shall not be identified as a statutory underwriter in the Registration Statement unless requested or required by statute, regulation or exchange rules;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the Commission requests that a Subscriber be identified as a statutory underwriter in the Registration Statement, Subscriber will have the opportunity to withdraw from the Registration Statement upon its prompt written request to the Company. Notwithstanding the foregoing, if the Commission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Commission. In such event, the number of Subscribed Shares to be registered for each selling stockholder named in the Registration Statement shall be reduced pro rata among all such selling stockholders and as promptly as practicable after being permitted to register additional Subscribed Shares under Rule 415 under the Securities Act, the Company file a new Registration Statement to register such Subscribed Shares not included in the initial Registration Statement and cause such Registration Statement to become effective as promptly as practicable. The Company agrees that, except for such times as the Company is permitted hereunder to suspend the use of the prospectus forming part of a Registration Statement, the Company will use commercially reasonable efforts to cause such Registration Statement to remain effective with respect to Subscriber until the earlier of (i) three years from the issuance of the Subscribed Shares, (ii) the date on which all of the Subscribed Shares shall have been sold, or (iii) on the first date on which Subscriber can sell all of its Subscribed Shares (or shares received in exchange therefor) under Rule 144 of the Securities Act without limitation as to the manner of sale or the amount of such securities that may be sold. The Company will use commercially reasonable efforts to file all reports, and provide all customary and reasonable cooperation, necessary to enable Subscriber to resell the Subscribed Shares pursuant to the Registration Statement (for as long as the Registration Statement shall remain effective pursuant to the</w:t>
      </w:r>
    </w:p>
    <w:p>
      <w:pPr>
        <w:spacing w:after="0" w:line="3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80"/>
          </w:cols>
          <w:pgMar w:left="920" w:top="268" w:right="499" w:bottom="1440" w:gutter="0" w:footer="0" w:header="0"/>
        </w:sectPr>
      </w:pPr>
    </w:p>
    <w:bookmarkStart w:id="348" w:name="page349"/>
    <w:bookmarkEnd w:id="348"/>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immediately preceding sentence) or Rule 144 of the Securities Act (when Rule 144 of the Securities Act becomes available to the Company), as applicable, qualify the Subscribed Shares for listing on the applicable stock exchange on which the Company’s Class A Ordinary Shares are then listed, and update or amend the Registration Statement as necessary to include the Subscribed Shares. The Company agrees, for as long as Subscriber holds Subscribed shares, to file with the Commission in a timely manner all reports and other documents required of the Issuer under the Securities Act and the Exchange Act so long as the Company remains subject to such requirements and the filing of such reports and other documents is required for the applicable provisions of Rule 144; and furnish to Subscriber so long as it owns Subscribed Shares, promptly upon request, (x) a written statement by the Company, if true, that it has complied with the reporting requirements of Rule 144(c) or Rule 144(i), as applicable,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 If requested by the Subscriber, the Company shall use its commercially reasonable efforts to (i) cause the removal of the restrictive legends from any Subscribed Shares being sold under the Registration Statement or pursuant to Rule 144 at the time of sale of such Subscribed Shares and, at the request of a Holder (as defined below), cause the removal of all restrictive legends from any Registrable Securities held by such Holder that may be sold by such Holder without restriction under Rule 144, including without limitation, any volume and manner of sale restrictions, and (ii) cause its legal counsel to deliver an opinion, if necessary, to the transfer agent in connection with the instruction under subclause (i) to the effect that the removal of such restrictive legends in such circumstances may be effected under the Securities Act, in each case upon the receipt of customary representations and other documentation, if any, from the Holder as reasonably requested by the Company, its counsel or the transfer agent, establishing that restrictive legends are no longer required. “Holder” shall mean the Subscriber or any affiliate of the Subscriber to which the rights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have been assigned. Subscriber agrees to disclose its beneficial ownership, as determined in accordance with Rule 13d-3 of the Securities Exchange Act of 1934, of Subscribed Shares to the Company (or its successor) upon request to assist the Company in making the determination described above. The Company’s obligations to include the Subscribed Shares in the Registration Statement are contingent upon Subscriber furnishing in writing to the Company such information regarding Subscriber, the securities of the Company held by Subscriber and the intended method of disposition of the Subscribed Shares as shall be reasonably requested by the Company to effect the registration of the Subscribed Shares, and Subscriber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Registration Statement during any customary blackout or similar period or as permitted hereunder. In the case of the registration effected by the Company pursuant to this Subscription Agreement, the Company shall, upon reasonable request, inform Subscriber as to the status of such registration. Subscriber shall not be entitled to use the Registration Statement for an underwritten offering of Subscribed Shares. Notwithstanding anything to the contrary contained herein, the Company may delay or postpone filing of such Registration Statement, and from time to time require Subscriber not to sell under the Registration Statement or suspend the use of any such Registration Statement if it determines that in order for the Registration Statement to not contain a material misstatement or omission, an amendment or supplement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 the Company shall not so delay filing or so suspend the use of the Registration Statement for a period of more than sixty (60) consecutive days or more than two (2) times in any three hundred sixty (360) day period and (x) the Company shall use commercially reasonable efforts to make such registration statement available for the sale by Subscriber of such securities as soon as practicable thereafter.</w:t>
      </w:r>
    </w:p>
    <w:p>
      <w:pPr>
        <w:spacing w:after="0" w:line="15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80"/>
          </w:cols>
          <w:pgMar w:left="920" w:top="268" w:right="499" w:bottom="1440" w:gutter="0" w:footer="0" w:header="0"/>
        </w:sectPr>
      </w:pPr>
    </w:p>
    <w:bookmarkStart w:id="349" w:name="page350"/>
    <w:bookmarkEnd w:id="349"/>
    <w:p>
      <w:pPr>
        <w:ind w:right="20" w:firstLine="947"/>
        <w:spacing w:after="0" w:line="264" w:lineRule="auto"/>
        <w:tabs>
          <w:tab w:leader="none" w:pos="1195"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Upon receipt of any written notice from the Company (which notice shall not contain any material non-public information regarding the Company) of the occurrence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Subscribed Shares under the Registration Statement (excluding, for the avoidance of doubt, sales conducted pursuant to Rule 144) until Subscriber receives copies of a supplemental or amended prospectus (which the Company agrees to promptly prepare) that corrects the misstatement(s) or omission(s) referred to above and receives notice that any post-effective amendment or supplement has become effective or unless otherwise notified by the Company that it may resume such offers and sales, and (ii) it will maintain the confidentiality of any information included in such written notice delivered by the Company unless otherwise required by law, subpoena or regulatory request or requirement. If so directed by the Company, Subscriber will deliver to the Company or, in Subscriber’s sole discretion destroy, all copies of the prospectus covering the Subscribed Shares in Subscriber’s possession; provided, however, that this obligation to deliver or destroy all copies of the prospectus covering the Subscribed Shares shall not apply</w:t>
      </w:r>
    </w:p>
    <w:p>
      <w:pPr>
        <w:spacing w:after="0" w:line="6" w:lineRule="exact"/>
        <w:rPr>
          <w:rFonts w:ascii="Times New Roman" w:cs="Times New Roman" w:eastAsia="Times New Roman" w:hAnsi="Times New Roman"/>
          <w:sz w:val="17"/>
          <w:szCs w:val="17"/>
          <w:color w:val="auto"/>
        </w:rPr>
      </w:pPr>
    </w:p>
    <w:p>
      <w:pPr>
        <w:ind w:right="100" w:firstLine="4"/>
        <w:spacing w:after="0" w:line="252" w:lineRule="auto"/>
        <w:tabs>
          <w:tab w:leader="none" w:pos="213"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78"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advise Subscriber within five (5) business days:</w:t>
      </w:r>
    </w:p>
    <w:p>
      <w:pPr>
        <w:spacing w:after="0" w:line="113" w:lineRule="exact"/>
        <w:rPr>
          <w:rFonts w:ascii="Times New Roman" w:cs="Times New Roman" w:eastAsia="Times New Roman" w:hAnsi="Times New Roman"/>
          <w:sz w:val="18"/>
          <w:szCs w:val="18"/>
          <w:color w:val="auto"/>
        </w:rPr>
      </w:pPr>
    </w:p>
    <w:p>
      <w:pPr>
        <w:ind w:right="180" w:firstLine="1366"/>
        <w:spacing w:after="0" w:line="278" w:lineRule="auto"/>
        <w:tabs>
          <w:tab w:leader="none" w:pos="1575"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or any amendment thereto has been filed with the Commission and when such Registration Statement or any post-effective amendment thereto has become effective;</w:t>
      </w:r>
    </w:p>
    <w:p>
      <w:pPr>
        <w:spacing w:after="0" w:line="55" w:lineRule="exact"/>
        <w:rPr>
          <w:rFonts w:ascii="Times New Roman" w:cs="Times New Roman" w:eastAsia="Times New Roman" w:hAnsi="Times New Roman"/>
          <w:sz w:val="18"/>
          <w:szCs w:val="18"/>
          <w:color w:val="auto"/>
        </w:rPr>
      </w:pPr>
    </w:p>
    <w:p>
      <w:pPr>
        <w:ind w:firstLine="1366"/>
        <w:spacing w:after="0" w:line="278" w:lineRule="auto"/>
        <w:tabs>
          <w:tab w:leader="none" w:pos="162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amendments or supplements to any Registration Statement or the prospectus included therein or for additional information;</w:t>
      </w:r>
    </w:p>
    <w:p>
      <w:pPr>
        <w:spacing w:after="0" w:line="55" w:lineRule="exact"/>
        <w:rPr>
          <w:rFonts w:ascii="Times New Roman" w:cs="Times New Roman" w:eastAsia="Times New Roman" w:hAnsi="Times New Roman"/>
          <w:sz w:val="18"/>
          <w:szCs w:val="18"/>
          <w:color w:val="auto"/>
        </w:rPr>
      </w:pPr>
    </w:p>
    <w:p>
      <w:pPr>
        <w:ind w:right="360" w:firstLine="1366"/>
        <w:spacing w:after="0" w:line="278" w:lineRule="auto"/>
        <w:tabs>
          <w:tab w:leader="none" w:pos="167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any Registration Statement or the initiation of any proceedings for such purpose;</w:t>
      </w:r>
    </w:p>
    <w:p>
      <w:pPr>
        <w:spacing w:after="0" w:line="55" w:lineRule="exact"/>
        <w:rPr>
          <w:rFonts w:ascii="Times New Roman" w:cs="Times New Roman" w:eastAsia="Times New Roman" w:hAnsi="Times New Roman"/>
          <w:sz w:val="18"/>
          <w:szCs w:val="18"/>
          <w:color w:val="auto"/>
        </w:rPr>
      </w:pPr>
    </w:p>
    <w:p>
      <w:pPr>
        <w:ind w:right="420" w:firstLine="1366"/>
        <w:spacing w:after="0" w:line="278" w:lineRule="auto"/>
        <w:tabs>
          <w:tab w:leader="none" w:pos="166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of the Subscribed Shares included therein for sale in any jurisdiction or the initiation or threatening of any proceeding for such purpose; and</w:t>
      </w:r>
    </w:p>
    <w:p>
      <w:pPr>
        <w:spacing w:after="0" w:line="55" w:lineRule="exact"/>
        <w:rPr>
          <w:rFonts w:ascii="Times New Roman" w:cs="Times New Roman" w:eastAsia="Times New Roman" w:hAnsi="Times New Roman"/>
          <w:sz w:val="18"/>
          <w:szCs w:val="18"/>
          <w:color w:val="auto"/>
        </w:rPr>
      </w:pPr>
    </w:p>
    <w:p>
      <w:pPr>
        <w:ind w:right="60" w:firstLine="1366"/>
        <w:spacing w:after="0" w:line="258" w:lineRule="auto"/>
        <w:tabs>
          <w:tab w:leader="none" w:pos="161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80"/>
          </w:cols>
          <w:pgMar w:left="920" w:top="268" w:right="499" w:bottom="1440" w:gutter="0" w:footer="0" w:header="0"/>
        </w:sectPr>
      </w:pPr>
    </w:p>
    <w:bookmarkStart w:id="350" w:name="page351"/>
    <w:bookmarkEnd w:id="350"/>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(i) through (v) above constitutes material, nonpublic information regarding the Company and Subscriber is notified that such events are material, nonpublic information at the time of notification.</w:t>
      </w:r>
    </w:p>
    <w:p>
      <w:pPr>
        <w:spacing w:after="0" w:line="73" w:lineRule="exact"/>
        <w:rPr>
          <w:sz w:val="20"/>
          <w:szCs w:val="20"/>
          <w:color w:val="auto"/>
        </w:rPr>
      </w:pPr>
    </w:p>
    <w:p>
      <w:pPr>
        <w:ind w:left="440" w:right="80" w:firstLine="947"/>
        <w:spacing w:after="0" w:line="278" w:lineRule="auto"/>
        <w:tabs>
          <w:tab w:leader="none" w:pos="163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obtain the withdrawal of any order suspending the effectiveness of any Registration Statement as soon as reasonably practicable.</w:t>
      </w:r>
    </w:p>
    <w:p>
      <w:pPr>
        <w:spacing w:after="0" w:line="55" w:lineRule="exact"/>
        <w:rPr>
          <w:rFonts w:ascii="Times New Roman" w:cs="Times New Roman" w:eastAsia="Times New Roman" w:hAnsi="Times New Roman"/>
          <w:sz w:val="18"/>
          <w:szCs w:val="18"/>
          <w:color w:val="auto"/>
        </w:rPr>
      </w:pPr>
    </w:p>
    <w:p>
      <w:pPr>
        <w:ind w:left="440" w:firstLine="947"/>
        <w:spacing w:after="0" w:line="254" w:lineRule="auto"/>
        <w:tabs>
          <w:tab w:leader="none" w:pos="162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times as the Company is permitted hereunder to suspend, and has suspended, the use of a prospectus forming part of a Registration Statement as contemplated by this Subscription Agreement,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Subscribed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76" w:lineRule="exact"/>
        <w:rPr>
          <w:rFonts w:ascii="Times New Roman" w:cs="Times New Roman" w:eastAsia="Times New Roman" w:hAnsi="Times New Roman"/>
          <w:sz w:val="18"/>
          <w:szCs w:val="18"/>
          <w:color w:val="auto"/>
        </w:rPr>
      </w:pPr>
    </w:p>
    <w:p>
      <w:pPr>
        <w:ind w:left="440" w:right="20" w:firstLine="947"/>
        <w:spacing w:after="0" w:line="278" w:lineRule="auto"/>
        <w:tabs>
          <w:tab w:leader="none" w:pos="160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all Subscribed Shares to be listed on each securities exchange or market, if any, on which the Common Stock have been listed.</w:t>
      </w:r>
    </w:p>
    <w:p>
      <w:pPr>
        <w:spacing w:after="0" w:line="55" w:lineRule="exact"/>
        <w:rPr>
          <w:rFonts w:ascii="Times New Roman" w:cs="Times New Roman" w:eastAsia="Times New Roman" w:hAnsi="Times New Roman"/>
          <w:sz w:val="18"/>
          <w:szCs w:val="18"/>
          <w:color w:val="auto"/>
        </w:rPr>
      </w:pPr>
    </w:p>
    <w:p>
      <w:pPr>
        <w:ind w:left="440" w:right="560" w:firstLine="947"/>
        <w:spacing w:after="0" w:line="278" w:lineRule="auto"/>
        <w:tabs>
          <w:tab w:leader="none" w:pos="163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take all other steps necessary to effect the registration of the Subscribed Shares required hereby.</w:t>
      </w:r>
    </w:p>
    <w:p>
      <w:pPr>
        <w:spacing w:after="0" w:line="55"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20" w:firstLine="1366"/>
        <w:spacing w:after="0" w:line="250" w:lineRule="auto"/>
        <w:tabs>
          <w:tab w:leader="none" w:pos="2015"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Subscriber (to the extent a seller under the Registration Statement), the officers, directors, agents and employees of Subscriber, each person who controls Subscriber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alleged untrue statements, omissions or alleged omissions are based upon information regarding Subscriber furnished in writing to the Company by Subscriber expressly for use therein or that Subscriber has omitted a material fact from such information. The Company shall notify Subscriber promptly of the institution, threat or assertion of any proceeding arising from or in connection with the transactions contemplated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which the Company is aware. Such indemnity shall remain in full force and effect regardless of any investigation made by or on behalf of an indemnified party and shall survive the transfer of the Subscribed Shares by Subscriber.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351" w:name="page352"/>
    <w:bookmarkEnd w:id="351"/>
    <w:p>
      <w:pPr>
        <w:ind w:firstLine="1366"/>
        <w:spacing w:after="0" w:line="266" w:lineRule="auto"/>
        <w:tabs>
          <w:tab w:leader="none" w:pos="1624"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Subscriber shall, severally and not jointly with any Other Subscriber in the offering contemplated by this Subscription Agreement,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Subscriber furnished in writing to the Company by Subscriber expressly for use therein. In no event shall the liability of Subscriber be greater in amount than the dollar amount of the net proceeds received by Subscriber upon the sale of the Subscribed Shares giving rise to such indemnification obligation. Notwithstanding the forgoing, Subscriber indemnification obligations shall not apply to amounts paid in settlement of any Losses or action if such settlement is effected without the prior written consent of Subscriber (which consent shall not be unreasonably withheld or delayed).</w:t>
      </w:r>
    </w:p>
    <w:p>
      <w:pPr>
        <w:spacing w:after="0" w:line="72" w:lineRule="exact"/>
        <w:rPr>
          <w:rFonts w:ascii="Times New Roman" w:cs="Times New Roman" w:eastAsia="Times New Roman" w:hAnsi="Times New Roman"/>
          <w:sz w:val="17"/>
          <w:szCs w:val="17"/>
          <w:color w:val="auto"/>
        </w:rPr>
      </w:pPr>
    </w:p>
    <w:p>
      <w:pPr>
        <w:ind w:right="20" w:firstLine="1366"/>
        <w:spacing w:after="0" w:line="250" w:lineRule="auto"/>
        <w:tabs>
          <w:tab w:leader="none" w:pos="167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84" w:lineRule="exact"/>
        <w:rPr>
          <w:rFonts w:ascii="Times New Roman" w:cs="Times New Roman" w:eastAsia="Times New Roman" w:hAnsi="Times New Roman"/>
          <w:sz w:val="18"/>
          <w:szCs w:val="18"/>
          <w:color w:val="auto"/>
        </w:rPr>
      </w:pPr>
    </w:p>
    <w:p>
      <w:pPr>
        <w:ind w:right="80" w:firstLine="1366"/>
        <w:spacing w:after="0" w:line="263" w:lineRule="auto"/>
        <w:tabs>
          <w:tab w:leader="none" w:pos="166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or entity of such indemnified party and shall survive the transfer of securities.</w:t>
      </w:r>
    </w:p>
    <w:p>
      <w:pPr>
        <w:spacing w:after="0" w:line="68" w:lineRule="exact"/>
        <w:rPr>
          <w:rFonts w:ascii="Times New Roman" w:cs="Times New Roman" w:eastAsia="Times New Roman" w:hAnsi="Times New Roman"/>
          <w:sz w:val="18"/>
          <w:szCs w:val="18"/>
          <w:color w:val="auto"/>
        </w:rPr>
      </w:pPr>
    </w:p>
    <w:p>
      <w:pPr>
        <w:ind w:right="40" w:firstLine="1366"/>
        <w:spacing w:after="0" w:line="263" w:lineRule="auto"/>
        <w:tabs>
          <w:tab w:leader="none" w:pos="161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0"/>
          </w:cols>
          <w:pgMar w:left="920" w:top="268" w:right="499" w:bottom="1440" w:gutter="0" w:footer="0" w:header="0"/>
        </w:sectPr>
      </w:pPr>
    </w:p>
    <w:bookmarkStart w:id="352" w:name="page353"/>
    <w:bookmarkEnd w:id="352"/>
    <w:p>
      <w:pPr>
        <w:ind w:left="440" w:right="6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by the indemnified party as a result of such losses, claims, damages, liabilities and expenses in such proportion as is appropriate to reflect the relative fault of the indemnifying party and the indemnified party, as well as any other relevant equitable considerations; provided, however, the liability of the Investor shall be limited the net proceeds received by such Subscriber from the sale of Subscribed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5(h)(v)</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87" w:lineRule="exact"/>
        <w:rPr>
          <w:sz w:val="20"/>
          <w:szCs w:val="20"/>
          <w:color w:val="auto"/>
        </w:rPr>
      </w:pPr>
    </w:p>
    <w:p>
      <w:pPr>
        <w:ind w:left="440" w:right="140" w:firstLine="1366"/>
        <w:spacing w:after="0" w:line="252" w:lineRule="auto"/>
        <w:tabs>
          <w:tab w:leader="none" w:pos="201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hereby agrees that neither it, nor any person or entity acting on its behalf or pursuant to any understanding with the Subscriber, shall, directly or indirectly, engage in any hedging activities or execute any Short Sales with respect to the securities of the Company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nothing in this </w:t>
      </w:r>
      <w:r>
        <w:rPr>
          <w:rFonts w:ascii="Times New Roman" w:cs="Times New Roman" w:eastAsia="Times New Roman" w:hAnsi="Times New Roman"/>
          <w:sz w:val="18"/>
          <w:szCs w:val="18"/>
          <w:u w:val="single" w:color="auto"/>
          <w:color w:val="auto"/>
        </w:rPr>
        <w:t>Section 5(i)</w:t>
      </w:r>
      <w:r>
        <w:rPr>
          <w:rFonts w:ascii="Times New Roman" w:cs="Times New Roman" w:eastAsia="Times New Roman" w:hAnsi="Times New Roman"/>
          <w:sz w:val="18"/>
          <w:szCs w:val="18"/>
          <w:color w:val="auto"/>
        </w:rPr>
        <w:t xml:space="preserve"> shall restrict Subscriber’s ability to maintain bona fide hedging positions in respect of the Warrants of the Company held by the Subscriber as of the date hereof.</w:t>
      </w:r>
    </w:p>
    <w:p>
      <w:pPr>
        <w:spacing w:after="0" w:line="187"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any of the conditions to Closing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Subscription Agreement (excepting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are not satisfied or waived on or prior to the Closing and, as a result thereof, the transactions contemplated by this Subscription Agreement are not consummated at the Closing, or (d) December 31, 2021;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92"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Subscriber hereby acknowledges that the Company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(a) agrees that it does not now and shall not at any time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353" w:name="page354"/>
    <w:bookmarkEnd w:id="35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limit any Subscriber’s right to distributions from the Trust Account in accordance with the Company’s amended and restated memorandum and articles of association in respect of Class A Ordinary Shares of the Company acquired by any means other than pursuant to this Subscription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firstLine="947"/>
        <w:spacing w:after="0" w:line="251" w:lineRule="auto"/>
        <w:tabs>
          <w:tab w:leader="none" w:pos="162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request, claim, demand, waiver, consent, approval or other communication which is required or permitted hereunder shall be in writing and shall be deemed given (i) when delivered by hand (with written confirmation of receipt), (ii) when received by the addressee if sent by a nationally recognized overnight courier postage prepaid (receipt requested), (iii)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(iv)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claim, demand, waiver, consent, approval or other communication given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also be given in the method provided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440" w:firstLine="947"/>
        <w:spacing w:after="0" w:line="253" w:lineRule="auto"/>
        <w:tabs>
          <w:tab w:leader="none" w:pos="163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the Company, Bakkt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77" w:lineRule="exact"/>
        <w:rPr>
          <w:rFonts w:ascii="Times New Roman" w:cs="Times New Roman" w:eastAsia="Times New Roman" w:hAnsi="Times New Roman"/>
          <w:sz w:val="18"/>
          <w:szCs w:val="18"/>
          <w:color w:val="auto"/>
        </w:rPr>
      </w:pPr>
    </w:p>
    <w:p>
      <w:pPr>
        <w:ind w:left="440" w:right="20" w:firstLine="947"/>
        <w:spacing w:after="0" w:line="278" w:lineRule="auto"/>
        <w:tabs>
          <w:tab w:leader="none" w:pos="162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Bakkt and Subscriber is irrevocably authorized to produce this Subscription Agreement or a copy hereof to any interested party in any administrative or legal proceeding or official inquiry with respect to the matters covered hereby.</w:t>
      </w:r>
    </w:p>
    <w:p>
      <w:pPr>
        <w:spacing w:after="0" w:line="55"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pay all of its own expenses in connection with this Subscription Agreement and the transactions contemplated</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w:t>
      </w:r>
    </w:p>
    <w:p>
      <w:pPr>
        <w:spacing w:after="0" w:line="95" w:lineRule="exact"/>
        <w:rPr>
          <w:rFonts w:ascii="Times New Roman" w:cs="Times New Roman" w:eastAsia="Times New Roman" w:hAnsi="Times New Roman"/>
          <w:sz w:val="18"/>
          <w:szCs w:val="18"/>
          <w:color w:val="auto"/>
        </w:rPr>
      </w:pPr>
    </w:p>
    <w:p>
      <w:pPr>
        <w:jc w:val="both"/>
        <w:ind w:left="440" w:right="200" w:firstLine="947"/>
        <w:spacing w:after="0" w:line="263" w:lineRule="auto"/>
        <w:tabs>
          <w:tab w:leader="none" w:pos="162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8" w:right="519" w:bottom="1440" w:gutter="0" w:footer="0" w:header="0"/>
        </w:sectPr>
      </w:pPr>
    </w:p>
    <w:bookmarkStart w:id="354" w:name="page355"/>
    <w:bookmarkEnd w:id="35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Company may transfer the Subscription Agreement and its rights hereunder solely in connection with the consummation of the Domestication and/or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shall relieve Subscriber of its obligations hereunder if any such assignee fails to perform such obligations, unless the Company has given its prior written consent to such relief.</w:t>
      </w:r>
    </w:p>
    <w:p>
      <w:pPr>
        <w:spacing w:after="0" w:line="77" w:lineRule="exact"/>
        <w:rPr>
          <w:sz w:val="20"/>
          <w:szCs w:val="20"/>
          <w:color w:val="auto"/>
        </w:rPr>
      </w:pPr>
    </w:p>
    <w:p>
      <w:pPr>
        <w:ind w:firstLine="947"/>
        <w:spacing w:after="0" w:line="258" w:lineRule="auto"/>
        <w:tabs>
          <w:tab w:leader="none" w:pos="116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agreements, representations and warranties made by each party hereto in this Subscription Agreement shall survive the Closing. For the avoidance of doubt, if for any reason the Closing does not occur prior to the consummation of the Transaction, all representations, warranties, covenants and agreements of the parties hereunder shall survive the consummation of the Transaction and remain in full force and effect.</w:t>
      </w:r>
    </w:p>
    <w:p>
      <w:pPr>
        <w:spacing w:after="0" w:line="72" w:lineRule="exact"/>
        <w:rPr>
          <w:rFonts w:ascii="Times New Roman" w:cs="Times New Roman" w:eastAsia="Times New Roman" w:hAnsi="Times New Roman"/>
          <w:sz w:val="18"/>
          <w:szCs w:val="18"/>
          <w:color w:val="auto"/>
        </w:rPr>
      </w:pPr>
    </w:p>
    <w:p>
      <w:pPr>
        <w:ind w:right="240" w:firstLine="947"/>
        <w:spacing w:after="0" w:line="274" w:lineRule="auto"/>
        <w:tabs>
          <w:tab w:leader="none" w:pos="1195"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request from Subscriber such additional information as the Company may deem reasonably necessary to evaluate the eligibility of Subscriber to acquire the Subscribed Shares, and Subscriber shall provide such information as may be reasonably requested, to the extent readily available and to the extent consistent with its internal policies and procedures (except with respect to requests in connection with determining eligibility under applicable laws, rules or regulations (including, without limitation, financial services or banking laws, rules or regulations) and/or requests by applicable governmental authorities, which requests shall be complied with in all respects).</w:t>
      </w:r>
    </w:p>
    <w:p>
      <w:pPr>
        <w:spacing w:after="0" w:line="61" w:lineRule="exact"/>
        <w:rPr>
          <w:rFonts w:ascii="Times New Roman" w:cs="Times New Roman" w:eastAsia="Times New Roman" w:hAnsi="Times New Roman"/>
          <w:sz w:val="17"/>
          <w:szCs w:val="17"/>
          <w:color w:val="auto"/>
        </w:rPr>
      </w:pPr>
    </w:p>
    <w:p>
      <w:pPr>
        <w:ind w:right="80" w:firstLine="947"/>
        <w:spacing w:after="0" w:line="263" w:lineRule="auto"/>
        <w:tabs>
          <w:tab w:leader="none" w:pos="119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amended, modified or terminated except by an instrument in writing, signed by each of the parties hereto. This Subscription Agreement may not be waived except by an instrument in writing, signed by the party against whom enforcement of such waiver is sought.</w:t>
      </w:r>
    </w:p>
    <w:p>
      <w:pPr>
        <w:spacing w:after="0" w:line="68" w:lineRule="exact"/>
        <w:rPr>
          <w:rFonts w:ascii="Times New Roman" w:cs="Times New Roman" w:eastAsia="Times New Roman" w:hAnsi="Times New Roman"/>
          <w:sz w:val="18"/>
          <w:szCs w:val="18"/>
          <w:color w:val="auto"/>
        </w:rPr>
      </w:pPr>
    </w:p>
    <w:p>
      <w:pPr>
        <w:ind w:right="40" w:firstLine="947"/>
        <w:spacing w:after="0" w:line="258" w:lineRule="auto"/>
        <w:tabs>
          <w:tab w:leader="none" w:pos="11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constitutes the entire agreement, and supersedes all other prior agreements, understandings, representations and warranties, both written and oral, among the parties, with respect to the subject matter hereof. Except as otherwise provided in </w:t>
      </w:r>
      <w:r>
        <w:rPr>
          <w:rFonts w:ascii="Times New Roman" w:cs="Times New Roman" w:eastAsia="Times New Roman" w:hAnsi="Times New Roman"/>
          <w:sz w:val="18"/>
          <w:szCs w:val="18"/>
          <w:u w:val="single" w:color="auto"/>
          <w:color w:val="auto"/>
        </w:rPr>
        <w:t>Section 8(n)</w:t>
      </w:r>
      <w:r>
        <w:rPr>
          <w:rFonts w:ascii="Times New Roman" w:cs="Times New Roman" w:eastAsia="Times New Roman" w:hAnsi="Times New Roman"/>
          <w:sz w:val="18"/>
          <w:szCs w:val="18"/>
          <w:color w:val="auto"/>
        </w:rPr>
        <w:t>, this Subscription Agreement shall not confer any rights or remedies upon any person other than the parties hereto and their respective permitted successors and assigns.</w:t>
      </w:r>
    </w:p>
    <w:p>
      <w:pPr>
        <w:spacing w:after="0" w:line="72" w:lineRule="exact"/>
        <w:rPr>
          <w:rFonts w:ascii="Times New Roman" w:cs="Times New Roman" w:eastAsia="Times New Roman" w:hAnsi="Times New Roman"/>
          <w:sz w:val="18"/>
          <w:szCs w:val="18"/>
          <w:color w:val="auto"/>
        </w:rPr>
      </w:pPr>
    </w:p>
    <w:p>
      <w:pPr>
        <w:ind w:right="300" w:firstLine="947"/>
        <w:spacing w:after="0" w:line="258" w:lineRule="auto"/>
        <w:tabs>
          <w:tab w:leader="none" w:pos="11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2" w:lineRule="exact"/>
        <w:rPr>
          <w:rFonts w:ascii="Times New Roman" w:cs="Times New Roman" w:eastAsia="Times New Roman" w:hAnsi="Times New Roman"/>
          <w:sz w:val="18"/>
          <w:szCs w:val="18"/>
          <w:color w:val="auto"/>
        </w:rPr>
      </w:pPr>
    </w:p>
    <w:p>
      <w:pPr>
        <w:ind w:right="20" w:firstLine="947"/>
        <w:spacing w:after="0" w:line="263" w:lineRule="auto"/>
        <w:tabs>
          <w:tab w:leader="none" w:pos="119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68" w:lineRule="exact"/>
        <w:rPr>
          <w:rFonts w:ascii="Times New Roman" w:cs="Times New Roman" w:eastAsia="Times New Roman" w:hAnsi="Times New Roman"/>
          <w:sz w:val="18"/>
          <w:szCs w:val="18"/>
          <w:color w:val="auto"/>
        </w:rPr>
      </w:pPr>
    </w:p>
    <w:p>
      <w:pPr>
        <w:ind w:right="160" w:firstLine="947"/>
        <w:spacing w:after="0" w:line="258" w:lineRule="auto"/>
        <w:tabs>
          <w:tab w:leader="none" w:pos="11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Company or Subscriber in exercising any right, power or remedy under this Subscription Agreement, and no course of dealing between the Company or Subscriber, shall operate as a waiver of any such right, power or remedy of such party. No single or partial exercise of any right, power or remedy under this Subscription Agreement by the Company or Subscriber, nor any abandonment or discontinuance of steps to enforce any such</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480"/>
          </w:cols>
          <w:pgMar w:left="920" w:top="268" w:right="499" w:bottom="1440" w:gutter="0" w:footer="0" w:header="0"/>
        </w:sectPr>
      </w:pPr>
    </w:p>
    <w:bookmarkStart w:id="355" w:name="page356"/>
    <w:bookmarkEnd w:id="355"/>
    <w:p>
      <w:pPr>
        <w:ind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right, power or remedy, shall preclude such party from any other or further exercise thereof or the exercise of any other right, power or remedy hereunder. The election of any remedy by the Company or Subscriber shall not constitute a waiver of the right of such party to pursue other available remedies. No notice to or demand on the Company or Subscriber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61" w:lineRule="exact"/>
        <w:rPr>
          <w:sz w:val="20"/>
          <w:szCs w:val="20"/>
          <w:color w:val="auto"/>
        </w:rPr>
      </w:pPr>
    </w:p>
    <w:p>
      <w:pPr>
        <w:ind w:right="220" w:firstLine="947"/>
        <w:spacing w:after="0" w:line="263" w:lineRule="auto"/>
        <w:tabs>
          <w:tab w:leader="none" w:pos="124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68" w:lineRule="exact"/>
        <w:rPr>
          <w:rFonts w:ascii="Times New Roman" w:cs="Times New Roman" w:eastAsia="Times New Roman" w:hAnsi="Times New Roman"/>
          <w:sz w:val="18"/>
          <w:szCs w:val="18"/>
          <w:color w:val="auto"/>
        </w:rPr>
      </w:pPr>
    </w:p>
    <w:p>
      <w:pPr>
        <w:ind w:firstLine="947"/>
        <w:spacing w:after="0" w:line="258"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this Subscription Agreement is intended for the benefit of the parties hereto and their respective successors and permitted assigns and is not for the benefit of, nor may any provision hereof be enforced by,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Placement Agent shall be an intended third party beneficiary of the representations and warranties of the Company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of Subscriber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72" w:lineRule="exact"/>
        <w:rPr>
          <w:rFonts w:ascii="Times New Roman" w:cs="Times New Roman" w:eastAsia="Times New Roman" w:hAnsi="Times New Roman"/>
          <w:sz w:val="18"/>
          <w:szCs w:val="18"/>
          <w:color w:val="auto"/>
        </w:rPr>
      </w:pPr>
    </w:p>
    <w:p>
      <w:pPr>
        <w:ind w:right="60" w:firstLine="947"/>
        <w:spacing w:after="0" w:line="253"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Bakkt shall be entitled to rely on the representations and warranties of Subscriber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other provisions of this Subscription Agreement which mention Bakkt, in each case, on the terms and subject to the conditions set forth herein.</w:t>
      </w:r>
    </w:p>
    <w:p>
      <w:pPr>
        <w:spacing w:after="0" w:line="77" w:lineRule="exact"/>
        <w:rPr>
          <w:rFonts w:ascii="Times New Roman" w:cs="Times New Roman" w:eastAsia="Times New Roman" w:hAnsi="Times New Roman"/>
          <w:sz w:val="18"/>
          <w:szCs w:val="18"/>
          <w:color w:val="auto"/>
        </w:rPr>
      </w:pPr>
    </w:p>
    <w:p>
      <w:pPr>
        <w:jc w:val="both"/>
        <w:ind w:right="60" w:firstLine="947"/>
        <w:spacing w:after="0" w:line="263"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shall be governed by, and construed in accordance with, the laws of the State of Delaware, without regard to the principles of conflicts of laws that would otherwise require the application of the law of any other state (except insofar as affected by the statutes, rules and regulations related to applicable financial services or banking authorities).</w:t>
      </w:r>
    </w:p>
    <w:p>
      <w:pPr>
        <w:spacing w:after="0" w:line="64" w:lineRule="exact"/>
        <w:rPr>
          <w:rFonts w:ascii="Times New Roman" w:cs="Times New Roman" w:eastAsia="Times New Roman" w:hAnsi="Times New Roman"/>
          <w:sz w:val="18"/>
          <w:szCs w:val="18"/>
          <w:color w:val="auto"/>
        </w:rPr>
      </w:pPr>
    </w:p>
    <w:p>
      <w:pPr>
        <w:ind w:right="80" w:firstLine="947"/>
        <w:spacing w:after="0" w:line="251"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80"/>
          </w:cols>
          <w:pgMar w:left="920" w:top="268" w:right="499" w:bottom="1440" w:gutter="0" w:footer="0" w:header="0"/>
        </w:sectPr>
      </w:pPr>
    </w:p>
    <w:bookmarkStart w:id="356" w:name="page357"/>
    <w:bookmarkEnd w:id="356"/>
    <w:p>
      <w:pPr>
        <w:ind w:firstLine="947"/>
        <w:spacing w:after="0" w:line="250" w:lineRule="auto"/>
        <w:tabs>
          <w:tab w:leader="none" w:pos="116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8"/>
          <w:szCs w:val="18"/>
          <w:u w:val="single" w:color="auto"/>
          <w:color w:val="auto"/>
        </w:rPr>
        <w:t>Designated Courts</w:t>
      </w:r>
      <w:r>
        <w:rPr>
          <w:rFonts w:ascii="Times New Roman" w:cs="Times New Roman" w:eastAsia="Times New Roman" w:hAnsi="Times New Roman"/>
          <w:sz w:val="18"/>
          <w:szCs w:val="18"/>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87" w:lineRule="exact"/>
        <w:rPr>
          <w:rFonts w:ascii="Times New Roman" w:cs="Times New Roman" w:eastAsia="Times New Roman" w:hAnsi="Times New Roman"/>
          <w:sz w:val="18"/>
          <w:szCs w:val="18"/>
          <w:color w:val="auto"/>
        </w:rPr>
      </w:pPr>
    </w:p>
    <w:p>
      <w:pPr>
        <w:ind w:right="40" w:firstLine="947"/>
        <w:spacing w:after="0" w:line="253" w:lineRule="auto"/>
        <w:tabs>
          <w:tab w:leader="none" w:pos="117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77" w:lineRule="exact"/>
        <w:rPr>
          <w:rFonts w:ascii="Times New Roman" w:cs="Times New Roman" w:eastAsia="Times New Roman" w:hAnsi="Times New Roman"/>
          <w:sz w:val="18"/>
          <w:szCs w:val="18"/>
          <w:color w:val="auto"/>
        </w:rPr>
      </w:pPr>
    </w:p>
    <w:p>
      <w:pPr>
        <w:ind w:right="20" w:firstLine="947"/>
        <w:spacing w:after="0" w:line="250" w:lineRule="auto"/>
        <w:tabs>
          <w:tab w:leader="none" w:pos="11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hereby consents to the publication and disclosure in any press release issued by the Company of any Form 8-K filed by the Company with the Commission in connection with the execution and delivery of the Transaction Agreement or the transactions contemplated thereby and the Proxy Statement (as defined in the Transaction Agreement) (and, as and to the extent otherwise required by the federal securities laws, exchange rules, the Commission or any other securities authorities or any rules and regulations promulgated thereby, any other documents or communications provided by the Company to any governmental entity or to any securityholders of the Company) of Subscriber’s identity and beneficial ownership of the Subscribed Shares and the nature of Subscriber’s commitments, arrangements and understandings under and relating to this Subscription Agreement and, if deemed reasonably appropriate by the Company, a copy of this Subscription Agreement, all solely to the extent required by applicable law or any regulation or stock exchange listing requirement. Subscriber will promptly provide any information reasonably requested by the Company for any regulatory application or filing made or approval sought in connection with the Transaction (including filings with the SEC). Notwithstanding the foregoing, the Company shall provide to Subscriber a copy of any proposed disclosure relating to the Subscriber in accordance with the provisions of this </w:t>
      </w:r>
      <w:r>
        <w:rPr>
          <w:rFonts w:ascii="Times New Roman" w:cs="Times New Roman" w:eastAsia="Times New Roman" w:hAnsi="Times New Roman"/>
          <w:sz w:val="18"/>
          <w:szCs w:val="18"/>
          <w:u w:val="single" w:color="auto"/>
          <w:color w:val="auto"/>
        </w:rPr>
        <w:t>Section 8(t)</w:t>
      </w:r>
      <w:r>
        <w:rPr>
          <w:rFonts w:ascii="Times New Roman" w:cs="Times New Roman" w:eastAsia="Times New Roman" w:hAnsi="Times New Roman"/>
          <w:sz w:val="18"/>
          <w:szCs w:val="18"/>
          <w:color w:val="auto"/>
        </w:rPr>
        <w:t xml:space="preserve"> in advance of any publication thereof and shall include such revisions to such proposed disclosure as Subscriber shall reasonably request.</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80"/>
          </w:cols>
          <w:pgMar w:left="920" w:top="268" w:right="499" w:bottom="1440" w:gutter="0" w:footer="0" w:header="0"/>
        </w:sectPr>
      </w:pPr>
    </w:p>
    <w:bookmarkStart w:id="357" w:name="page358"/>
    <w:bookmarkEnd w:id="357"/>
    <w:p>
      <w:pPr>
        <w:ind w:firstLine="947"/>
        <w:spacing w:after="0" w:line="250" w:lineRule="auto"/>
        <w:tabs>
          <w:tab w:leader="none" w:pos="119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Company shall, by 9:00 a.m., New York City time, on the first (1st)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the transactions contemplated hereby and by the Other Subscription Agreements, the Transaction and any other material, nonpublic information that the Company has provided to Subscriber at any time prior to the filing of the Disclosure Document. Upon the issuance of the Disclosure Document, to the Company’s knowledge, Subscriber shall not be in possession of any material, non-public information received from the Company or any of its officers, directors, or employees or agents, and Subscriber shall no longer be subject to any confidentiality or similar obligations under any current agreement, whether written or oral with Company, the Placement Agents or any of their affiliates in connection with the Transaction. Notwithstanding anything in this Subscription Agreement to the contrary, the Company (i) shall not publicly disclose the name of Subscriber or any of its affiliates or advisers, or include the name of Subscriber or any of its affiliates or advisers in any press release, without the prior written consent of Subscriber and (ii) shall not publicly disclose the name of the Subscriber or any of its affiliates or advisers, or include the name of the Subscriber or any of its affiliates or advisers in any filing with the Commission or any regulatory agency or trading market, without the prior written consent of Subscriber, except (A) as required by the federal securities law and (B) to the extent such disclosure is required by law, at the request of the staff of the Commission or regulatory agency or under the regulations of the Stock Exchange. Subscriber will promptly provide any information reasonably requested by the Company for any regulatory application or filing made or approval sought in connection with the Transaction (including filings with the Commission).</w:t>
      </w:r>
    </w:p>
    <w:p>
      <w:pPr>
        <w:spacing w:after="0" w:line="82" w:lineRule="exact"/>
        <w:rPr>
          <w:rFonts w:ascii="Times New Roman" w:cs="Times New Roman" w:eastAsia="Times New Roman" w:hAnsi="Times New Roman"/>
          <w:sz w:val="18"/>
          <w:szCs w:val="18"/>
          <w:color w:val="auto"/>
        </w:rPr>
      </w:pPr>
    </w:p>
    <w:p>
      <w:pPr>
        <w:ind w:firstLine="947"/>
        <w:spacing w:after="0" w:line="249" w:lineRule="auto"/>
        <w:tabs>
          <w:tab w:leader="none" w:pos="119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60"/>
          </w:cols>
          <w:pgMar w:left="920" w:top="267" w:right="519" w:bottom="1440" w:gutter="0" w:footer="0" w:header="0"/>
        </w:sectPr>
      </w:pPr>
    </w:p>
    <w:bookmarkStart w:id="358" w:name="page359"/>
    <w:bookmarkEnd w:id="358"/>
    <w:p>
      <w:pPr>
        <w:ind w:right="560" w:firstLine="947"/>
        <w:spacing w:after="0" w:line="263" w:lineRule="auto"/>
        <w:tabs>
          <w:tab w:leader="none" w:pos="123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Subscriber hereby agrees that it shall comply with all regulatory requirements in connection with the Subscription and the Transaction and shall coordinate in good faith with the Company or Bakkt, as applicable, to provide all information as may reasonably be requested by any applicable governmental authority relating to the Subscription or the Transaction.</w:t>
      </w:r>
    </w:p>
    <w:p>
      <w:pPr>
        <w:spacing w:after="0" w:line="68" w:lineRule="exact"/>
        <w:rPr>
          <w:rFonts w:ascii="Times New Roman" w:cs="Times New Roman" w:eastAsia="Times New Roman" w:hAnsi="Times New Roman"/>
          <w:sz w:val="18"/>
          <w:szCs w:val="18"/>
          <w:color w:val="auto"/>
        </w:rPr>
      </w:pPr>
    </w:p>
    <w:p>
      <w:pPr>
        <w:ind w:right="340" w:firstLine="947"/>
        <w:spacing w:after="0" w:line="278" w:lineRule="auto"/>
        <w:tabs>
          <w:tab w:leader="none" w:pos="119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Subscriber agrees for the express benefit of each of the Placement Agents, their respective affiliates and their respective representatives that:</w:t>
      </w:r>
    </w:p>
    <w:p>
      <w:pPr>
        <w:spacing w:after="0" w:line="55" w:lineRule="exact"/>
        <w:rPr>
          <w:rFonts w:ascii="Times New Roman" w:cs="Times New Roman" w:eastAsia="Times New Roman" w:hAnsi="Times New Roman"/>
          <w:sz w:val="18"/>
          <w:szCs w:val="18"/>
          <w:color w:val="auto"/>
        </w:rPr>
      </w:pPr>
    </w:p>
    <w:p>
      <w:pPr>
        <w:ind w:firstLine="1366"/>
        <w:spacing w:after="0" w:line="251" w:lineRule="auto"/>
        <w:tabs>
          <w:tab w:leader="none" w:pos="1575"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affiliates or any of their representatives (1) has any duties or obligations other than those specifically set forth herein or in the engagement letter, dated as of December 15, 2020, among the Company and Citigroup Global Markets Inc. (the “</w:t>
      </w:r>
      <w:r>
        <w:rPr>
          <w:rFonts w:ascii="Times New Roman" w:cs="Times New Roman" w:eastAsia="Times New Roman" w:hAnsi="Times New Roman"/>
          <w:sz w:val="18"/>
          <w:szCs w:val="18"/>
          <w:u w:val="single" w:color="auto"/>
          <w:color w:val="auto"/>
        </w:rPr>
        <w:t>Citi Engagement Letter</w:t>
      </w:r>
      <w:r>
        <w:rPr>
          <w:rFonts w:ascii="Times New Roman" w:cs="Times New Roman" w:eastAsia="Times New Roman" w:hAnsi="Times New Roman"/>
          <w:sz w:val="18"/>
          <w:szCs w:val="18"/>
          <w:color w:val="auto"/>
        </w:rPr>
        <w:t>”) and the engagement letter, dated as of December 16, 2020, among the Company and Jefferies LLC (the “</w:t>
      </w:r>
      <w:r>
        <w:rPr>
          <w:rFonts w:ascii="Times New Roman" w:cs="Times New Roman" w:eastAsia="Times New Roman" w:hAnsi="Times New Roman"/>
          <w:sz w:val="18"/>
          <w:szCs w:val="18"/>
          <w:u w:val="single" w:color="auto"/>
          <w:color w:val="auto"/>
        </w:rPr>
        <w:t>Jefferies Engagement Letter</w:t>
      </w:r>
      <w:r>
        <w:rPr>
          <w:rFonts w:ascii="Times New Roman" w:cs="Times New Roman" w:eastAsia="Times New Roman" w:hAnsi="Times New Roman"/>
          <w:sz w:val="18"/>
          <w:szCs w:val="18"/>
          <w:color w:val="auto"/>
        </w:rPr>
        <w:t>” and together with the Citi Engagement Letter, the “</w:t>
      </w:r>
      <w:r>
        <w:rPr>
          <w:rFonts w:ascii="Times New Roman" w:cs="Times New Roman" w:eastAsia="Times New Roman" w:hAnsi="Times New Roman"/>
          <w:sz w:val="18"/>
          <w:szCs w:val="18"/>
          <w:u w:val="single" w:color="auto"/>
          <w:color w:val="auto"/>
        </w:rPr>
        <w:t>Engagement Letters</w:t>
      </w:r>
      <w:r>
        <w:rPr>
          <w:rFonts w:ascii="Times New Roman" w:cs="Times New Roman" w:eastAsia="Times New Roman" w:hAnsi="Times New Roman"/>
          <w:sz w:val="18"/>
          <w:szCs w:val="18"/>
          <w:color w:val="auto"/>
        </w:rPr>
        <w:t>”);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Subscription Agreement or in connection with any of the Transactions; or (4) shall be liable (x) for any action taken, suffered or omitted by any of them in good faith and reasonably believed to be authorized or within the discretion or rights or powers conferred upon it by this Subscription Agreement or (y) for anything which any of them may do or refrain from doing in connection with this Subscription Agreement, except for such party’s own gross negligence, willful misconduct or bad faith.</w:t>
      </w:r>
    </w:p>
    <w:p>
      <w:pPr>
        <w:spacing w:after="0" w:line="82" w:lineRule="exact"/>
        <w:rPr>
          <w:rFonts w:ascii="Times New Roman" w:cs="Times New Roman" w:eastAsia="Times New Roman" w:hAnsi="Times New Roman"/>
          <w:sz w:val="18"/>
          <w:szCs w:val="18"/>
          <w:color w:val="auto"/>
        </w:rPr>
      </w:pPr>
    </w:p>
    <w:p>
      <w:pPr>
        <w:jc w:val="both"/>
        <w:ind w:right="40" w:firstLine="1366"/>
        <w:spacing w:after="0" w:line="258" w:lineRule="auto"/>
        <w:tabs>
          <w:tab w:leader="none" w:pos="162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Placement Agents, their respective affiliates and their respective representatives shall be entitled to (1) rely on, and shall be protected in acting upon, any certificate, instrument, opinion, notice, letter or any other document or security delivered to any of them by or on behalf of the Company, and (2) be indemnified by the Company for acting as Placement Agents hereunder pursuant the indemnification provisions set forth in the respective Engagement Letters.</w:t>
      </w:r>
    </w:p>
    <w:p>
      <w:pPr>
        <w:spacing w:after="0" w:line="72" w:lineRule="exact"/>
        <w:rPr>
          <w:rFonts w:ascii="Times New Roman" w:cs="Times New Roman" w:eastAsia="Times New Roman" w:hAnsi="Times New Roman"/>
          <w:sz w:val="18"/>
          <w:szCs w:val="18"/>
          <w:color w:val="auto"/>
        </w:rPr>
      </w:pPr>
    </w:p>
    <w:p>
      <w:pPr>
        <w:ind w:right="20" w:firstLine="947"/>
        <w:spacing w:after="0" w:line="250" w:lineRule="auto"/>
        <w:tabs>
          <w:tab w:leader="none" w:pos="119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and agrees that none of any other party to the Transaction Agreement (other than the Company) or any Non-Party Affiliate, shall have any liability to Subscriber, or to any other investor, pursuant to, arising out of or relating to this Subscription Agreement or any other subscription agreement related to the private placement of the Subscribed Shares, the negotiation hereof or thereof or its subject matter, or the transactions contemplated hereby or thereby, including, without limitation, with respect to any action heretofore or hereafter taken or omitted to be taken by any of them in connection with the purchase of the Subscribed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Bakkt, or any Non-Party Affiliate concerning the Company, Bakkt, any of their controlled affiliates, this Subscription Agreement or the transactions contemplated hereby. For purposes of this Subscription Agreement, “Non-Party Affiliates” means each former, current or future officer, director, employee, partner, member, investment manager, manager, direct or indirect equityholder, investors, representatives, agents, predecessors, successors, assigns, or affiliate of the Company, Bakkt, or any of the Company’s or Bakkt’s controlled affiliates or any family member of the foregoing.</w:t>
      </w:r>
    </w:p>
    <w:p>
      <w:pPr>
        <w:spacing w:after="0" w:line="1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80"/>
          </w:cols>
          <w:pgMar w:left="920" w:top="268" w:right="499" w:bottom="1440" w:gutter="0" w:footer="0" w:header="0"/>
        </w:sectPr>
      </w:pPr>
    </w:p>
    <w:bookmarkStart w:id="359" w:name="page360"/>
    <w:bookmarkEnd w:id="359"/>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Company and Subscriber has executed or caused this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first set forth above.</w:t>
      </w:r>
    </w:p>
    <w:p>
      <w:pPr>
        <w:spacing w:after="0" w:line="1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656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tab/>
        <w:t>President and Chief Operating Officer</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7" w:lineRule="exact"/>
        <w:rPr>
          <w:sz w:val="20"/>
          <w:szCs w:val="20"/>
          <w:color w:val="auto"/>
        </w:rPr>
      </w:pPr>
    </w:p>
    <w:p>
      <w:pPr>
        <w:ind w:left="6560"/>
        <w:spacing w:after="0"/>
        <w:tabs>
          <w:tab w:leader="none" w:pos="7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Gordon Watson</w:t>
      </w:r>
    </w:p>
    <w:p>
      <w:pPr>
        <w:spacing w:after="0" w:line="7" w:lineRule="exact"/>
        <w:rPr>
          <w:sz w:val="20"/>
          <w:szCs w:val="20"/>
          <w:color w:val="auto"/>
        </w:rPr>
      </w:pPr>
    </w:p>
    <w:p>
      <w:pPr>
        <w:ind w:left="6560"/>
        <w:spacing w:after="0"/>
        <w:tabs>
          <w:tab w:leader="none" w:pos="7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gwatson@victoryparkcapital.com</w:t>
      </w:r>
    </w:p>
    <w:p>
      <w:pPr>
        <w:sectPr>
          <w:pgSz w:w="11900" w:h="16838" w:orient="portrait"/>
          <w:cols w:equalWidth="0" w:num="1">
            <w:col w:w="10820"/>
          </w:cols>
          <w:pgMar w:left="480" w:top="264" w:right="599" w:bottom="1440" w:gutter="0" w:footer="0" w:header="0"/>
        </w:sectPr>
      </w:pPr>
    </w:p>
    <w:bookmarkStart w:id="360" w:name="page361"/>
    <w:bookmarkEnd w:id="3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Number of Subscribed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-111760</wp:posOffset>
            </wp:positionV>
            <wp:extent cx="4704715" cy="135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Price Per Subscribed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15875</wp:posOffset>
            </wp:positionV>
            <wp:extent cx="4704715" cy="135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SUBSCRIBER: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27686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304800</wp:posOffset>
            </wp:positionV>
            <wp:extent cx="27686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457835</wp:posOffset>
            </wp:positionV>
            <wp:extent cx="27686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15875</wp:posOffset>
            </wp:positionV>
            <wp:extent cx="22078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15875</wp:posOffset>
            </wp:positionV>
            <wp:extent cx="22078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27686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600710</wp:posOffset>
            </wp:positionV>
            <wp:extent cx="314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$10.00</w:t>
      </w:r>
    </w:p>
    <w:p>
      <w:pPr>
        <w:spacing w:after="0" w:line="2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3810</wp:posOffset>
            </wp:positionV>
            <wp:extent cx="314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300"/>
          </w:cols>
          <w:pgMar w:left="480" w:top="268" w:right="559" w:bottom="1440" w:gutter="0" w:footer="0" w:header="0"/>
        </w:sectPr>
      </w:pPr>
    </w:p>
    <w:p>
      <w:pPr>
        <w:spacing w:after="0" w:line="29"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You must pay the Purchase Price by wire transfer of United States dollars in immediately available funds to the account of the Company specified by the Company in the Closing Notice.</w:t>
      </w:r>
    </w:p>
    <w:p>
      <w:pPr>
        <w:sectPr>
          <w:pgSz w:w="11900" w:h="16838" w:orient="portrait"/>
          <w:cols w:equalWidth="0" w:num="1">
            <w:col w:w="10860"/>
          </w:cols>
          <w:pgMar w:left="480" w:top="268" w:right="559" w:bottom="1440" w:gutter="0" w:footer="0" w:header="0"/>
          <w:type w:val="continuous"/>
        </w:sectPr>
      </w:pPr>
    </w:p>
    <w:bookmarkStart w:id="361" w:name="page362"/>
    <w:bookmarkEnd w:id="36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A</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This Annex A should be completed and signed by Subscriber</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and constitutes a part of the Subscription Agreement.</w:t>
      </w:r>
    </w:p>
    <w:p>
      <w:pPr>
        <w:spacing w:after="0" w:line="229" w:lineRule="exact"/>
        <w:rPr>
          <w:sz w:val="20"/>
          <w:szCs w:val="20"/>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box, if applicable)</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 “qualified institutional buyer” (as defined in Rule 144A under the Securities Act).</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applicable boxes)</w:t>
      </w:r>
    </w:p>
    <w:p>
      <w:pPr>
        <w:spacing w:after="0" w:line="127" w:lineRule="exact"/>
        <w:rPr>
          <w:rFonts w:ascii="Times New Roman" w:cs="Times New Roman" w:eastAsia="Times New Roman" w:hAnsi="Times New Roman"/>
          <w:sz w:val="18"/>
          <w:szCs w:val="18"/>
          <w:color w:val="auto"/>
        </w:rPr>
      </w:pPr>
    </w:p>
    <w:p>
      <w:pPr>
        <w:ind w:left="980" w:right="100" w:hanging="545"/>
        <w:spacing w:after="0" w:line="278" w:lineRule="auto"/>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“accredited investor” (within the meaning of Rule 501(a)(1), (2), (3) or (7) under the Securities Act) and has marked and initialed the appropriate box below indicating the provision under which it qualifies as an “accredited investor.”</w:t>
      </w:r>
    </w:p>
    <w:p>
      <w:pPr>
        <w:spacing w:after="0" w:line="68" w:lineRule="exact"/>
        <w:rPr>
          <w:rFonts w:ascii="MS PGothic" w:cs="MS PGothic" w:eastAsia="MS PGothic" w:hAnsi="MS PGothic"/>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not a natural person.</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 STATUS (Please check the box, if applicable)</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“Institutional Account” (as defined in FINRA Rule 4512(c)).</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 (Please check the applicable box)</w:t>
      </w:r>
    </w:p>
    <w:p>
      <w:pPr>
        <w:spacing w:after="0" w:line="113"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127" w:lineRule="exact"/>
        <w:rPr>
          <w:rFonts w:ascii="MS PGothic" w:cs="MS PGothic" w:eastAsia="MS PGothic" w:hAnsi="MS PGothic"/>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1"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86" w:lineRule="exact"/>
        <w:rPr>
          <w:sz w:val="20"/>
          <w:szCs w:val="20"/>
          <w:color w:val="auto"/>
        </w:rPr>
      </w:pPr>
    </w:p>
    <w:p>
      <w:pPr>
        <w:ind w:left="980" w:right="440" w:hanging="545"/>
        <w:spacing w:after="0" w:line="278" w:lineRule="auto"/>
        <w:tabs>
          <w:tab w:leader="none" w:pos="980" w:val="left"/>
        </w:tabs>
        <w:numPr>
          <w:ilvl w:val="0"/>
          <w:numId w:val="3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 (in each case as defined in Rule 501(a));</w:t>
      </w:r>
    </w:p>
    <w:p>
      <w:pPr>
        <w:spacing w:after="0" w:line="68" w:lineRule="exact"/>
        <w:rPr>
          <w:rFonts w:ascii="MS PGothic" w:cs="MS PGothic" w:eastAsia="MS PGothic" w:hAnsi="MS PGothic"/>
          <w:sz w:val="18"/>
          <w:szCs w:val="18"/>
          <w:color w:val="auto"/>
        </w:rPr>
      </w:pPr>
    </w:p>
    <w:p>
      <w:pPr>
        <w:ind w:left="980" w:right="580" w:hanging="545"/>
        <w:spacing w:after="0" w:line="278" w:lineRule="auto"/>
        <w:tabs>
          <w:tab w:leader="none" w:pos="980" w:val="left"/>
        </w:tabs>
        <w:numPr>
          <w:ilvl w:val="0"/>
          <w:numId w:val="3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68" w:lineRule="exact"/>
        <w:rPr>
          <w:rFonts w:ascii="MS PGothic" w:cs="MS PGothic" w:eastAsia="MS PGothic" w:hAnsi="MS PGothic"/>
          <w:sz w:val="18"/>
          <w:szCs w:val="18"/>
          <w:color w:val="auto"/>
        </w:rPr>
      </w:pPr>
    </w:p>
    <w:p>
      <w:pPr>
        <w:ind w:left="980" w:right="100" w:hanging="545"/>
        <w:spacing w:after="0" w:line="278" w:lineRule="auto"/>
        <w:tabs>
          <w:tab w:leader="none" w:pos="980" w:val="left"/>
        </w:tabs>
        <w:numPr>
          <w:ilvl w:val="0"/>
          <w:numId w:val="3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ectPr>
          <w:pgSz w:w="11900" w:h="16838" w:orient="portrait"/>
          <w:cols w:equalWidth="0" w:num="1">
            <w:col w:w="10860"/>
          </w:cols>
          <w:pgMar w:left="480" w:top="264" w:right="559" w:bottom="1440" w:gutter="0" w:footer="0" w:header="0"/>
        </w:sectPr>
      </w:pPr>
    </w:p>
    <w:bookmarkStart w:id="362" w:name="page363"/>
    <w:bookmarkEnd w:id="362"/>
    <w:p>
      <w:pPr>
        <w:ind w:left="545" w:right="240" w:hanging="545"/>
        <w:spacing w:after="0" w:line="308" w:lineRule="auto"/>
        <w:tabs>
          <w:tab w:leader="none" w:pos="545" w:val="left"/>
        </w:tabs>
        <w:numPr>
          <w:ilvl w:val="0"/>
          <w:numId w:val="37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corporation, Massachusetts or similar business trust, partnership or any organization described in Section 501(c)(3) of the Internal Revenue Code, not formed for the specific purpose of acquiring the securities offered, with total assets in excess of $5,000,000;</w:t>
      </w:r>
    </w:p>
    <w:p>
      <w:pPr>
        <w:spacing w:after="0" w:line="46" w:lineRule="exact"/>
        <w:rPr>
          <w:rFonts w:ascii="MS PGothic" w:cs="MS PGothic" w:eastAsia="MS PGothic" w:hAnsi="MS PGothic"/>
          <w:sz w:val="17"/>
          <w:szCs w:val="17"/>
          <w:color w:val="auto"/>
        </w:rPr>
      </w:pPr>
    </w:p>
    <w:p>
      <w:pPr>
        <w:ind w:left="545" w:right="40" w:hanging="545"/>
        <w:spacing w:after="0" w:line="278" w:lineRule="auto"/>
        <w:tabs>
          <w:tab w:leader="none" w:pos="545" w:val="left"/>
        </w:tabs>
        <w:numPr>
          <w:ilvl w:val="0"/>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68" w:lineRule="exact"/>
        <w:rPr>
          <w:rFonts w:ascii="MS PGothic" w:cs="MS PGothic" w:eastAsia="MS PGothic" w:hAnsi="MS PGothic"/>
          <w:sz w:val="18"/>
          <w:szCs w:val="18"/>
          <w:color w:val="auto"/>
        </w:rPr>
      </w:pPr>
    </w:p>
    <w:p>
      <w:pPr>
        <w:ind w:left="545" w:right="80" w:hanging="545"/>
        <w:spacing w:after="0" w:line="274" w:lineRule="auto"/>
        <w:tabs>
          <w:tab w:leader="none" w:pos="545" w:val="left"/>
        </w:tabs>
        <w:numPr>
          <w:ilvl w:val="0"/>
          <w:numId w:val="37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natural person whose individual net worth, or joint net worth with that person’s spouse, at the time of his purchase exceeds $1,000,000. For purposes of calculating a natural person’s net worth: (a) the person’s primary residence must not be included as an asset;</w:t>
      </w:r>
    </w:p>
    <w:p>
      <w:pPr>
        <w:ind w:left="545"/>
        <w:spacing w:after="0" w:line="250"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93" w:lineRule="exact"/>
        <w:rPr>
          <w:rFonts w:ascii="MS PGothic" w:cs="MS PGothic" w:eastAsia="MS PGothic" w:hAnsi="MS PGothic"/>
          <w:sz w:val="17"/>
          <w:szCs w:val="17"/>
          <w:color w:val="auto"/>
        </w:rPr>
      </w:pPr>
    </w:p>
    <w:p>
      <w:pPr>
        <w:ind w:left="545" w:right="140" w:hanging="545"/>
        <w:spacing w:after="0" w:line="278" w:lineRule="auto"/>
        <w:tabs>
          <w:tab w:leader="none" w:pos="545" w:val="left"/>
        </w:tabs>
        <w:numPr>
          <w:ilvl w:val="0"/>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as described in Rule 506(b)(2)(ii) under the Securities Act; or</w:t>
      </w:r>
    </w:p>
    <w:p>
      <w:pPr>
        <w:spacing w:after="0" w:line="68" w:lineRule="exact"/>
        <w:rPr>
          <w:rFonts w:ascii="MS PGothic" w:cs="MS PGothic" w:eastAsia="MS PGothic" w:hAnsi="MS PGothic"/>
          <w:sz w:val="18"/>
          <w:szCs w:val="18"/>
          <w:color w:val="auto"/>
        </w:rPr>
      </w:pPr>
    </w:p>
    <w:p>
      <w:pPr>
        <w:ind w:left="545" w:hanging="545"/>
        <w:spacing w:after="0"/>
        <w:tabs>
          <w:tab w:leader="none" w:pos="545" w:val="left"/>
        </w:tabs>
        <w:numPr>
          <w:ilvl w:val="0"/>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248"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SUBSCRIBER:</w:t>
      </w:r>
    </w:p>
    <w:p>
      <w:pPr>
        <w:spacing w:after="0" w:line="221"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28"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ectPr>
          <w:pgSz w:w="11900" w:h="16838" w:orient="portrait"/>
          <w:cols w:equalWidth="0" w:num="1">
            <w:col w:w="10385"/>
          </w:cols>
          <w:pgMar w:left="915" w:top="268" w:right="59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5" w:lineRule="exact"/>
        <w:rPr>
          <w:sz w:val="20"/>
          <w:szCs w:val="20"/>
          <w:color w:val="auto"/>
        </w:rPr>
      </w:pPr>
    </w:p>
    <w:p>
      <w:pPr>
        <w:ind w:right="160" w:firstLine="436"/>
        <w:spacing w:after="0" w:line="271" w:lineRule="auto"/>
        <w:rPr>
          <w:sz w:val="20"/>
          <w:szCs w:val="20"/>
          <w:color w:val="auto"/>
        </w:rPr>
      </w:pPr>
      <w:r>
        <w:rPr>
          <w:rFonts w:ascii="Times New Roman" w:cs="Times New Roman" w:eastAsia="Times New Roman" w:hAnsi="Times New Roman"/>
          <w:sz w:val="17"/>
          <w:szCs w:val="17"/>
          <w:color w:val="auto"/>
        </w:rPr>
        <w:t>THIS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being executed and delivered as of January 11, 2021, by and among (i) each member of Bakkt Opco (as defined below) delivering a signature page or joinder to this Agreement (each a “</w:t>
      </w:r>
      <w:r>
        <w:rPr>
          <w:rFonts w:ascii="Times New Roman" w:cs="Times New Roman" w:eastAsia="Times New Roman" w:hAnsi="Times New Roman"/>
          <w:sz w:val="17"/>
          <w:szCs w:val="17"/>
          <w:u w:val="single" w:color="auto"/>
          <w:color w:val="auto"/>
        </w:rPr>
        <w:t>Restricted Party</w:t>
      </w:r>
      <w:r>
        <w:rPr>
          <w:rFonts w:ascii="Times New Roman" w:cs="Times New Roman" w:eastAsia="Times New Roman" w:hAnsi="Times New Roman"/>
          <w:sz w:val="17"/>
          <w:szCs w:val="17"/>
          <w:color w:val="auto"/>
        </w:rPr>
        <w:t>”) in favor of, and for the benefit of, VIH (as defined below), (ii) Bakkt Holdings, LLC, a Delaware limited liability company (together with its successors, including the surviving limited liability company in the Merger (as defined below), “</w:t>
      </w:r>
      <w:r>
        <w:rPr>
          <w:rFonts w:ascii="Times New Roman" w:cs="Times New Roman" w:eastAsia="Times New Roman" w:hAnsi="Times New Roman"/>
          <w:sz w:val="17"/>
          <w:szCs w:val="17"/>
          <w:u w:val="single" w:color="auto"/>
          <w:color w:val="auto"/>
        </w:rPr>
        <w:t>Bakkt Opco</w:t>
      </w:r>
      <w:r>
        <w:rPr>
          <w:rFonts w:ascii="Times New Roman" w:cs="Times New Roman" w:eastAsia="Times New Roman" w:hAnsi="Times New Roman"/>
          <w:sz w:val="17"/>
          <w:szCs w:val="17"/>
          <w:color w:val="auto"/>
        </w:rPr>
        <w:t>”), and (iii) VPC Impact Acquisition Holdings, a Cayman Islands exempted company (together with its successors, including the resulting Delaware corporation after the consummation of the Domestication (as defined below), “</w:t>
      </w:r>
      <w:r>
        <w:rPr>
          <w:rFonts w:ascii="Times New Roman" w:cs="Times New Roman" w:eastAsia="Times New Roman" w:hAnsi="Times New Roman"/>
          <w:sz w:val="17"/>
          <w:szCs w:val="17"/>
          <w:u w:val="single" w:color="auto"/>
          <w:color w:val="auto"/>
        </w:rPr>
        <w:t>VIH</w:t>
      </w:r>
      <w:r>
        <w:rPr>
          <w:rFonts w:ascii="Times New Roman" w:cs="Times New Roman" w:eastAsia="Times New Roman" w:hAnsi="Times New Roman"/>
          <w:sz w:val="17"/>
          <w:szCs w:val="17"/>
          <w:color w:val="auto"/>
        </w:rPr>
        <w:t>”). Each capitalized term used and not otherwise defined herein has the meaning ascribed to such term in the Merger Agreement (as defined below).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WHEREAS, pursuant to the terms and subject to the conditions of that certain Agreement and Plan of Merger, dated as of January 11, 2021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VIH, Bakkt Opco and Pylon Merger Company LLC, a Delaware limited liability company and wholly 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among other matters, (i) VIH will domesticate as a Delaware corporation to be named Bakkt Holdings, Inc.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in accordance with the applicable provisions of the Companies Law (2020 Revision) of the Cayman Islands and the General Corporation Law of the State of Delaware, and (ii) immediately following the domestication, Merger Sub will merge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continuing as the surviving limited liability company and a subsidiary of Bakkt Holdco;</w:t>
      </w:r>
    </w:p>
    <w:p>
      <w:pPr>
        <w:spacing w:after="0" w:line="184"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WHEREAS, as of the date of each Restricted Party’s execution of or joinder to this Agreement, such Restricted Party is the record holder, and the beneficial (as such term is defined in Rule 13d-3 under the Exchange Act, which meaning shall apply for all purposes of this Agreement whenever the term “beneficial” or “beneficially” is used) owner of, and has full voting power over, the number of Class A Voting Units, Class B Voting Units and Class C Voting Units of Bakkt Opco (the “</w:t>
      </w:r>
      <w:r>
        <w:rPr>
          <w:rFonts w:ascii="Times New Roman" w:cs="Times New Roman" w:eastAsia="Times New Roman" w:hAnsi="Times New Roman"/>
          <w:sz w:val="18"/>
          <w:szCs w:val="18"/>
          <w:u w:val="single" w:color="auto"/>
          <w:color w:val="auto"/>
        </w:rPr>
        <w:t>Bakkt Opco Units</w:t>
      </w:r>
      <w:r>
        <w:rPr>
          <w:rFonts w:ascii="Times New Roman" w:cs="Times New Roman" w:eastAsia="Times New Roman" w:hAnsi="Times New Roman"/>
          <w:sz w:val="18"/>
          <w:szCs w:val="18"/>
          <w:color w:val="auto"/>
        </w:rPr>
        <w:t>”) set forth on such Restricted Party’s signature page or joinder hereto (the “</w:t>
      </w:r>
      <w:r>
        <w:rPr>
          <w:rFonts w:ascii="Times New Roman" w:cs="Times New Roman" w:eastAsia="Times New Roman" w:hAnsi="Times New Roman"/>
          <w:sz w:val="18"/>
          <w:szCs w:val="18"/>
          <w:u w:val="single" w:color="auto"/>
          <w:color w:val="auto"/>
        </w:rPr>
        <w:t>Subject 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WHEREAS, each Restricted Party acknowledges that, as a condition and material inducement to VIH’s and Merger Sub’s willingness to enter into the Merger Agreement, VIH has required that Restricted Parties holding in the aggregate sufficient Bakkt Opco Units in order to approve the applicable Transactions (including, without limitation, the Merger) promptly (but in any event within seven (7) days) after the execution and delivery of the Merger Agreement execute or join this Agreement and the written consent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and, in order to induce VIH and Merger Sub to enter into the Merger Agreement and consummate the Merger and the other transactions contemplated by the Merger Agreement, such Restricted Party is willing to enter into this Agreement;</w:t>
      </w:r>
    </w:p>
    <w:p>
      <w:pPr>
        <w:spacing w:after="0" w:line="184"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WHEREAS, VIH desires that each Restricted Party agree, and each Restricted Party is willing to agree, subject to the limitations herein, not to Transfer (as defined below) any of the Subject Bakkt Opco Units, and to enter into the Written Consent and otherwise vote the Subject Bakkt Opco Units in a manner so as to facilitate consummation of the Merger and the other transactions contemplated by the Merger Agreement, and to undertake certain additional obligations pursuant to this Agreement; and</w:t>
      </w:r>
    </w:p>
    <w:p>
      <w:pPr>
        <w:spacing w:after="0" w:line="180"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WHEREAS, Intercontinental Exchange Holdings, Inc. has executed the Written Consent and is delivering the Written Consent to VIH and Bakkt Opco simultaneously with its execution and delivery of this Agreement.</w:t>
      </w:r>
    </w:p>
    <w:p>
      <w:pPr>
        <w:sectPr>
          <w:pgSz w:w="11900" w:h="16838" w:orient="portrait"/>
          <w:cols w:equalWidth="0" w:num="1">
            <w:col w:w="10920"/>
          </w:cols>
          <w:pgMar w:left="480" w:top="117" w:right="499" w:bottom="1440" w:gutter="0" w:footer="0" w:header="0"/>
        </w:sectPr>
      </w:pPr>
    </w:p>
    <w:bookmarkStart w:id="364" w:name="page365"/>
    <w:bookmarkEnd w:id="3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w:t>
      </w:r>
    </w:p>
    <w:p>
      <w:pPr>
        <w:spacing w:after="0" w:line="225"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other good and valuable consideration, the receipt and sufficiency of which are hereby acknowledged and accepted, VIH, Bakkt Opco and each Restricted Party, intending to be legally bound, hereby agree as follows: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TRANSFER OF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44"/>
        <w:spacing w:after="0" w:line="254" w:lineRule="auto"/>
        <w:tabs>
          <w:tab w:leader="none" w:pos="679"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each Restricted Party irrevocably and unconditionally agrees, during the period beginning on the date of this Agreement or such Restricted Party’s joinder to this Agreement, as applicable, and ending on the Expiration Date (as defined below)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members of Bakkt Opco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and at each adjournment or postponement thereof, and in connection with each action or approval by consent in writing of the members of Bakkt Opco (a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to cause to be present in person or represented by proxy and to vote or cause to be voted (or express consent or dissent in writing, as applicable) the Subject Bakkt Opco Units of such Restricted Party that are entitled to vote (or express consent or dissent in writing, as applicable), in each case as follows:</w:t>
      </w:r>
    </w:p>
    <w:p>
      <w:pPr>
        <w:spacing w:after="0" w:line="76" w:lineRule="exact"/>
        <w:rPr>
          <w:rFonts w:ascii="Times New Roman" w:cs="Times New Roman" w:eastAsia="Times New Roman" w:hAnsi="Times New Roman"/>
          <w:sz w:val="18"/>
          <w:szCs w:val="18"/>
          <w:color w:val="auto"/>
        </w:rPr>
      </w:pPr>
    </w:p>
    <w:p>
      <w:pPr>
        <w:jc w:val="both"/>
        <w:ind w:right="40" w:firstLine="990"/>
        <w:spacing w:after="0" w:line="263" w:lineRule="auto"/>
        <w:tabs>
          <w:tab w:leader="none" w:pos="1195"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for members of Bakkt Opco to approve and adopt the Merger Agreement and the other Transaction Documents (including, without limitation, the Surviving Company LLC Agreement) and the transactions contemplated thereby, including the Merger, in accordance with the terms thereof;</w:t>
      </w:r>
    </w:p>
    <w:p>
      <w:pPr>
        <w:spacing w:after="0" w:line="68" w:lineRule="exact"/>
        <w:rPr>
          <w:rFonts w:ascii="Times New Roman" w:cs="Times New Roman" w:eastAsia="Times New Roman" w:hAnsi="Times New Roman"/>
          <w:sz w:val="18"/>
          <w:szCs w:val="18"/>
          <w:color w:val="auto"/>
        </w:rPr>
      </w:pPr>
    </w:p>
    <w:p>
      <w:pPr>
        <w:ind w:firstLine="990"/>
        <w:spacing w:after="0" w:line="255" w:lineRule="auto"/>
        <w:tabs>
          <w:tab w:leader="none" w:pos="1245"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a Meeting at which there is a proposal for members of Bakkt Opco to approve and adopt the Merger Agreement and the other Transaction Documents (including, without limitation, the Surviving Company LLC Agreement) and the transactions contemplated thereby, including the Merger, to a later date if there are not sufficient votes to approve and adopt the Merger Agreement and the other Transaction Documents (including, without limitation, the Surviving Company LLC Agreement) and the transactions contemplated thereby, including the Merger, or if there are not sufficient Bakkt Opco Units present in person or represented by proxy at such Meeting to constitute a quorum;</w:t>
      </w:r>
    </w:p>
    <w:p>
      <w:pPr>
        <w:spacing w:after="0" w:line="77"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2"/>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any proposal providing for an Alternative Transaction or the adoption of an agreement to enter into an Alternative Transaction;</w:t>
      </w:r>
    </w:p>
    <w:p>
      <w:pPr>
        <w:spacing w:after="0" w:line="125" w:lineRule="exact"/>
        <w:rPr>
          <w:rFonts w:ascii="Times New Roman" w:cs="Times New Roman" w:eastAsia="Times New Roman" w:hAnsi="Times New Roman"/>
          <w:sz w:val="17"/>
          <w:szCs w:val="17"/>
          <w:color w:val="auto"/>
        </w:rPr>
      </w:pPr>
    </w:p>
    <w:p>
      <w:pPr>
        <w:jc w:val="both"/>
        <w:ind w:right="260" w:firstLine="990"/>
        <w:spacing w:after="0" w:line="270" w:lineRule="auto"/>
        <w:tabs>
          <w:tab w:leader="none" w:pos="1284" w:val="left"/>
        </w:tabs>
        <w:numPr>
          <w:ilvl w:val="2"/>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against any proposal for any amendment or modification of Bakkt Opco’s current Organizational Documents that would change the voting rights of any Bakkt Opco Units or the number of votes required to approve any proposal, including the vote required to approve and adopt the Merger Agreement and the other Transaction Documents, and the transactions contemplated thereby, including the Merger (provided that this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ind w:right="20" w:firstLine="7"/>
        <w:spacing w:after="0" w:line="256" w:lineRule="auto"/>
        <w:tabs>
          <w:tab w:leader="none" w:pos="302" w:val="left"/>
        </w:tabs>
        <w:numPr>
          <w:ilvl w:val="0"/>
          <w:numId w:val="3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prevent the approval and adoption of the Surviving Company LLC Agreement to the extent such Surviving Company LLC Agreement is to take effect at Closing); and</w:t>
      </w:r>
    </w:p>
    <w:p>
      <w:pPr>
        <w:spacing w:after="0" w:line="74" w:lineRule="exact"/>
        <w:rPr>
          <w:rFonts w:ascii="Times New Roman" w:cs="Times New Roman" w:eastAsia="Times New Roman" w:hAnsi="Times New Roman"/>
          <w:sz w:val="18"/>
          <w:szCs w:val="18"/>
          <w:u w:val="single" w:color="auto"/>
          <w:color w:val="auto"/>
        </w:rPr>
      </w:pPr>
    </w:p>
    <w:p>
      <w:pPr>
        <w:ind w:right="80" w:firstLine="990"/>
        <w:spacing w:after="0" w:line="278" w:lineRule="auto"/>
        <w:tabs>
          <w:tab w:leader="none" w:pos="1235"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transaction or agreement that (A) would result in a breach of any Bakkt Fundamental Representations or (B) would reasonably be expected to prevent, delay or impair consummation of the Transactions in any material respect.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365" w:name="page366"/>
    <w:bookmarkEnd w:id="365"/>
    <w:p>
      <w:pPr>
        <w:jc w:val="both"/>
        <w:ind w:right="60" w:firstLine="444"/>
        <w:spacing w:after="0" w:line="255" w:lineRule="auto"/>
        <w:tabs>
          <w:tab w:leader="none" w:pos="68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Any vote required to be cast or consent or dissent in writing required to be expressed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any Restricted Party (or entitles any proxy of such Restricted Party) to convert, exercise or exchange any options, warrants or convertible securities in order to obtain any underlying Bakkt Opco Units.</w:t>
      </w:r>
    </w:p>
    <w:p>
      <w:pPr>
        <w:spacing w:after="0" w:line="77" w:lineRule="exact"/>
        <w:rPr>
          <w:rFonts w:ascii="Times New Roman" w:cs="Times New Roman" w:eastAsia="Times New Roman" w:hAnsi="Times New Roman"/>
          <w:sz w:val="18"/>
          <w:szCs w:val="18"/>
          <w:color w:val="auto"/>
        </w:rPr>
      </w:pPr>
    </w:p>
    <w:p>
      <w:pPr>
        <w:ind w:right="240" w:firstLine="444"/>
        <w:spacing w:after="0" w:line="278" w:lineRule="auto"/>
        <w:tabs>
          <w:tab w:leader="none" w:pos="67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Party agrees not to enter into any commitment, agreement, understanding or similar arrangement with any Person to vote or give voting instructions or express consent or dissent in writing in any manner inconsistent with the terms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36"/>
        <w:spacing w:after="0" w:line="266"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No Transfers</w:t>
      </w:r>
      <w:r>
        <w:rPr>
          <w:rFonts w:ascii="Times New Roman" w:cs="Times New Roman" w:eastAsia="Times New Roman" w:hAnsi="Times New Roman"/>
          <w:sz w:val="17"/>
          <w:szCs w:val="17"/>
          <w:color w:val="auto"/>
        </w:rPr>
        <w:t>. During the Applicable Period, each Restricted Party shall not, directly or indirectly: (a) sell, convey, assign, transfer (including by succession or otherwise by operation of Law), exchange, pledge, hypothecate or otherwise encumber or dispose of any Subject Bakkt Opco Units (or any right, title or interest therein) or any rights to acquire any securities or Equity Interests of Bakkt Opco; (b) deposit any Subject Bakkt Opco Units or any rights to acquire any securities or Equity Interests of Bakkt Opco into a voting trust or enter into a voting agreement or any other arrangement with respect to any Subject Bakkt Opco Units or any rights to acquire any securities or Equity Interests of Bakkt Opco or grant or purport to grant any proxy or power of attorney with respect thereto which, in any case, would be inconsistent with or interfere with its obligations hereunder;</w:t>
      </w:r>
    </w:p>
    <w:p>
      <w:pPr>
        <w:spacing w:after="0" w:line="3" w:lineRule="exact"/>
        <w:rPr>
          <w:sz w:val="20"/>
          <w:szCs w:val="20"/>
          <w:color w:val="auto"/>
        </w:rPr>
      </w:pPr>
    </w:p>
    <w:p>
      <w:pPr>
        <w:ind w:firstLine="7"/>
        <w:spacing w:after="0" w:line="248" w:lineRule="auto"/>
        <w:tabs>
          <w:tab w:leader="none" w:pos="24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option, call or other arrangement or undertaking, whether or not in writing, with respect to the sale, conveyance, assignment, transfer, exchange, pledge, hypothecation or other encumbrance or disposition, or limitation on the voting rights, of any Subject Bakkt Opco Units (or any right, title or interest therein) or any rights to acquire any securities or Equity Interests of Bakkt Opco which, in any case, would be inconsistent with or interfere with its obligations hereunder (including, without limitation,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(d) otherwise grant any Liens on any Subject Bakkt Opco Units (other than applicable restrictions on transfer under U.S. state or federal securities or “blue sky” Laws) or (e) commit or agree to take any of the foregoing actions (any action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Transfers between any Restricted Party and any Affiliate of such Restricted Party so long as, prior to and as a condition to the effectiveness of any such Transfer, such Affiliate executes and delivers to VIH a joinder to this Agreement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Any Transfer or action in violation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Subject Bakkt Opco Units occurs, the transferee (and all transferees and subsequent transferees of such transferee) shall take and hold such Subject Bakkt Opco Units subject to all of the restrictions, liabilities and rights under this Agreement, which shall continue in full force and effect during the Applicable Period.</w:t>
      </w:r>
    </w:p>
    <w:p>
      <w:pPr>
        <w:spacing w:after="0" w:line="196"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Stop Transfer</w:t>
      </w:r>
      <w:r>
        <w:rPr>
          <w:rFonts w:ascii="Times New Roman" w:cs="Times New Roman" w:eastAsia="Times New Roman" w:hAnsi="Times New Roman"/>
          <w:sz w:val="18"/>
          <w:szCs w:val="18"/>
          <w:color w:val="auto"/>
        </w:rPr>
        <w:t xml:space="preserve">. No Restricted Party shall request that Bakkt Opco register any transfer of any certificate or other uncertificated interest representing any Subject Bakkt Opco Units made in violation of the restrictions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during the Applicable Period.</w:t>
      </w:r>
    </w:p>
    <w:p>
      <w:pPr>
        <w:spacing w:after="0" w:line="162" w:lineRule="exact"/>
        <w:rPr>
          <w:sz w:val="20"/>
          <w:szCs w:val="20"/>
          <w:color w:val="auto"/>
        </w:rPr>
      </w:pPr>
    </w:p>
    <w:p>
      <w:pPr>
        <w:ind w:right="200" w:firstLine="436"/>
        <w:spacing w:after="0" w:line="285"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Waiver of Appraisal Rights</w:t>
      </w:r>
      <w:r>
        <w:rPr>
          <w:rFonts w:ascii="Times New Roman" w:cs="Times New Roman" w:eastAsia="Times New Roman" w:hAnsi="Times New Roman"/>
          <w:sz w:val="17"/>
          <w:szCs w:val="17"/>
          <w:color w:val="auto"/>
        </w:rPr>
        <w:t>. Each Restricted Party hereby agrees not to assert, exercise or perfect, directly or indirectly, and hereby irrevocably and unconditionally waives, any appraisal rights that such Restricted Party may be entitled to under applicable Law (including under the DLLCA or otherwise) with respect to the Merger or the other transactions contemplated by the Merger Agreement (collectively, “</w:t>
      </w:r>
      <w:r>
        <w:rPr>
          <w:rFonts w:ascii="Times New Roman" w:cs="Times New Roman" w:eastAsia="Times New Roman" w:hAnsi="Times New Roman"/>
          <w:sz w:val="17"/>
          <w:szCs w:val="17"/>
          <w:u w:val="single" w:color="auto"/>
          <w:color w:val="auto"/>
        </w:rPr>
        <w:t>Appraisal Rights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Public Announcements; Filings; Disclosures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20" w:firstLine="444"/>
        <w:spacing w:after="0" w:line="285" w:lineRule="auto"/>
        <w:tabs>
          <w:tab w:leader="none" w:pos="679"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Restricted Party (and such Restricted Party’s controlled Affiliates) shall not issue any press release or make any other public announcement or public statement (a “</w:t>
      </w:r>
      <w:r>
        <w:rPr>
          <w:rFonts w:ascii="Times New Roman" w:cs="Times New Roman" w:eastAsia="Times New Roman" w:hAnsi="Times New Roman"/>
          <w:sz w:val="17"/>
          <w:szCs w:val="17"/>
          <w:u w:val="single" w:color="auto"/>
          <w:color w:val="auto"/>
        </w:rPr>
        <w:t>Public Communication</w:t>
      </w:r>
      <w:r>
        <w:rPr>
          <w:rFonts w:ascii="Times New Roman" w:cs="Times New Roman" w:eastAsia="Times New Roman" w:hAnsi="Times New Roman"/>
          <w:sz w:val="17"/>
          <w:szCs w:val="17"/>
          <w:color w:val="auto"/>
        </w:rPr>
        <w:t>”) with respect to this Agreement, the Merger Agreement, the other Transaction Documents or the transactions contemplated by this Agreement, the Merger Agreement or the other Transaction Documents, without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366" w:name="page367"/>
    <w:bookmarkEnd w:id="36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prior written consent of VIH and Bakkt Opco, except (i) as required by applicable Law or court process, in which case such Restricted Party shall use its reasonable efforts to provide VIH and Bakkt Opco and their respective legal counsel with a reasonable opportunity to review and comment on such Public Communication in advance of its issuance and shall consider in good faith any such comments or (ii) with respect to a Public Communication that is consistent with prior disclosures by VIH and Bakkt Opco;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disclosure required to be made by such Restricted Party to a Governmental Authority so long as such disclosure is consistent with the terms of this Agreement and the Merger Agreement and the disclosures made by Bakkt Opco and VIH pursuant to the terms of the Merger Agreement. Notwithstanding anything to the contrary in this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any member of the board of managers or an officer of Bakkt Opco, in his or her capacity as a member of the board of managers or an officer of Bakkt Opco, may make public statements in such capacity to the extent permitted under the Merger Agreement.</w:t>
      </w:r>
    </w:p>
    <w:p>
      <w:pPr>
        <w:spacing w:after="0" w:line="80" w:lineRule="exact"/>
        <w:rPr>
          <w:sz w:val="20"/>
          <w:szCs w:val="20"/>
          <w:color w:val="auto"/>
        </w:rPr>
      </w:pPr>
    </w:p>
    <w:p>
      <w:pPr>
        <w:ind w:firstLine="444"/>
        <w:spacing w:after="0" w:line="251" w:lineRule="auto"/>
        <w:tabs>
          <w:tab w:leader="none" w:pos="689"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Party hereby (i) consents to and authorizes Bakkt Opco and VIH to publish and disclose in any disclosure required by the SEC and in the proxy statement prepared by VIH and filed with the SEC relating to the VIH Shareholder Meeting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such Restricted Party’s identity and ownership of Subject Bakkt Opco Units (including the number of Subject Bakkt Opco Units owned by such Restricted Party solely to the extent that such information is required to be disclosed by applicable Law) and such Restricted Party’s obligations under this Agreement (the “</w:t>
      </w:r>
      <w:r>
        <w:rPr>
          <w:rFonts w:ascii="Times New Roman" w:cs="Times New Roman" w:eastAsia="Times New Roman" w:hAnsi="Times New Roman"/>
          <w:sz w:val="18"/>
          <w:szCs w:val="18"/>
          <w:u w:val="single" w:color="auto"/>
          <w:color w:val="auto"/>
        </w:rPr>
        <w:t>Restricted Party Information</w:t>
      </w:r>
      <w:r>
        <w:rPr>
          <w:rFonts w:ascii="Times New Roman" w:cs="Times New Roman" w:eastAsia="Times New Roman" w:hAnsi="Times New Roman"/>
          <w:sz w:val="18"/>
          <w:szCs w:val="18"/>
          <w:color w:val="auto"/>
        </w:rPr>
        <w:t>”), (ii) consents to the filing of this Agreement to the extent required by applicable Law to be filed with the SEC or any Governmental Authority relating to the Merger, and (iii) agrees to reasonably cooperate with VIH in connection with such filings, including providing such Restricted Party Information reasonably requested by VIH. VIH shall use its reasonable best efforts to provide each Restricted Party with a reasonable opportunity to review and comment on any Restricted Party Information of such Restricted Party included in such disclosure in advance of its filing. As promptly as practicable, each Restricted Party shall notify VIH of any required corrections with respect to any Restricted Party Information supplied by such Restricted Party, if and to the extent such Restricted Party becomes aware that any such Restricted Party Information shall have become false or misleading in any material respect.</w:t>
      </w:r>
    </w:p>
    <w:p>
      <w:pPr>
        <w:spacing w:after="0" w:line="185"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Each Restricted Party acknowledges that such Restricted Party has read Section 5.11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xml:space="preserve">) of the Merger Agreement. In addition, each Restricted Party, solely in such Restricted Party’s capacity as an equity holder of Bakkt Opco, agrees not to, directly or indirectly, take any action that would violate Section 5.11 of the Merger Agreement if such Restricted Party were deemed a “Representative” of Bakkt Opco for purposes of Section 5.11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shall not serve to limit or restrict any actions taken by such Restricted Party in any capacity other than as an equity holder of Bakkt Opco, to the extent such actions are in compliance with or required under Section 5.11 of the Merger Agreement.</w:t>
      </w:r>
    </w:p>
    <w:p>
      <w:pPr>
        <w:spacing w:after="0" w:line="186"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Agreement as Director or Officer</w:t>
      </w:r>
      <w:r>
        <w:rPr>
          <w:rFonts w:ascii="Times New Roman" w:cs="Times New Roman" w:eastAsia="Times New Roman" w:hAnsi="Times New Roman"/>
          <w:sz w:val="18"/>
          <w:szCs w:val="18"/>
          <w:color w:val="auto"/>
        </w:rPr>
        <w:t>. Each Restricted Party is entering into this Agreement solely in such Restricted Party’s capacity as record or beneficial owner of the Subject Bakkt Opco Units and nothing herein is intended to or shall limit or affect any actions taken by such Restricted Party or any employee, officer, director (or person performing similar functions), partner or other Affiliate (including, for this purpose, any appointee or representative of such Restricted Party to the board of managers of Bakkt Opco or as an officer of Bakkt Opco) of such Restricted Party, solely in his or her capacity as a member of the board of managers or an officer of Bakkt Opco (or a Subsidiary of Bakkt Opco) or other fiduciary capacity for the Bakkt Equity Holders.</w:t>
      </w:r>
    </w:p>
    <w:p>
      <w:pPr>
        <w:spacing w:after="0" w:line="184"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Acquisition of Additional Bakkt Opco Units</w:t>
      </w:r>
      <w:r>
        <w:rPr>
          <w:rFonts w:ascii="Times New Roman" w:cs="Times New Roman" w:eastAsia="Times New Roman" w:hAnsi="Times New Roman"/>
          <w:sz w:val="18"/>
          <w:szCs w:val="18"/>
          <w:color w:val="auto"/>
        </w:rPr>
        <w:t xml:space="preserve">. Each Restricted Party shall promptly (and in any event within two (2) Business Days) notify VIH of the number of any additional Bakkt Opco Units or other Equity Interests of Bakkt Opco with respect to which such Restricted Party becomes the holder of record or acquires beneficial ownership, if any, after the execution of this Agreement and before the Expiration Date, which Bakkt Opco Units or other Equity Interests of Bakkt Opco shall, for the avoidance of doubt, automatically become Subject Bakkt Opco Units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9" w:right="539" w:bottom="1440" w:gutter="0" w:footer="0" w:header="0"/>
        </w:sectPr>
      </w:pPr>
    </w:p>
    <w:bookmarkStart w:id="367" w:name="page368"/>
    <w:bookmarkEnd w:id="3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Existing Rights; Merger Consideration; Confidentiality; No Litigation</w:t>
      </w:r>
      <w:r>
        <w:rPr>
          <w:rFonts w:ascii="Times New Roman" w:cs="Times New Roman" w:eastAsia="Times New Roman" w:hAnsi="Times New Roman"/>
          <w:sz w:val="18"/>
          <w:szCs w:val="18"/>
          <w:color w:val="auto"/>
        </w:rPr>
        <w:t>. Each Restricted Party hereby:</w:t>
      </w:r>
    </w:p>
    <w:p>
      <w:pPr>
        <w:spacing w:after="0" w:line="114" w:lineRule="exact"/>
        <w:rPr>
          <w:sz w:val="20"/>
          <w:szCs w:val="20"/>
          <w:color w:val="auto"/>
        </w:rPr>
      </w:pPr>
    </w:p>
    <w:p>
      <w:pPr>
        <w:ind w:right="380" w:firstLine="444"/>
        <w:spacing w:after="0" w:line="258" w:lineRule="auto"/>
        <w:tabs>
          <w:tab w:leader="none" w:pos="67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preemptive rights, rights of first refusal, rights of first offer or similar rights that such Restricted Party may have under the Organizational Documents of Bakkt Opco or any other Contract by and between such Restricted Party and Bakkt Opco, in each case, that would be triggered by the consummation of the Transactions (including under Sections 7.6 or Article XI of the Bakkt Opco LLC Agreement, but not, for the avoidance of doubt, any transaction arising following the Expiration Date);</w:t>
      </w:r>
    </w:p>
    <w:p>
      <w:pPr>
        <w:spacing w:after="0" w:line="72" w:lineRule="exact"/>
        <w:rPr>
          <w:rFonts w:ascii="Times New Roman" w:cs="Times New Roman" w:eastAsia="Times New Roman" w:hAnsi="Times New Roman"/>
          <w:sz w:val="18"/>
          <w:szCs w:val="18"/>
          <w:color w:val="auto"/>
        </w:rPr>
      </w:pPr>
    </w:p>
    <w:p>
      <w:pPr>
        <w:ind w:right="120" w:firstLine="444"/>
        <w:spacing w:after="0" w:line="269" w:lineRule="auto"/>
        <w:tabs>
          <w:tab w:leader="none" w:pos="689"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expressly acknowledges and agrees that the Merger Consideration and such Restricted Party’s respective allocation of Merger Consideration shall be determined pursuant to and in the manner prescribed by the terms of the Merger Agreement, as shall be calculated and set forth on the Final Merger Consideration Spreadsheet (as defined in the Merger Agreement), and, irrevocably waives and discharges any and all claims and causes of action (whether at law or in equity) that such Restricted Party may have at any time against Bakkt Opco, Merger Sub, Surviving Company, VIH, Bakkt Pubco or any of their respective Subsidiaries or Affiliates, or any of their respective directors, officers, employees, agents, members, managers, investment managers, partners, agents, investors, principals, representatives, predecessors, successors and assigns with respect to the Merger Consideration and such Restricted Party’s respective allocation of the Merger Consideration, other than any claim or cause of action alleging that such Restricted Party’s allocation of the Merger Consideration was not determined pursuant to and in the manner prescribed by the Merger Agreement;</w:t>
      </w:r>
    </w:p>
    <w:p>
      <w:pPr>
        <w:spacing w:after="0" w:line="66" w:lineRule="exact"/>
        <w:rPr>
          <w:rFonts w:ascii="Times New Roman" w:cs="Times New Roman" w:eastAsia="Times New Roman" w:hAnsi="Times New Roman"/>
          <w:sz w:val="17"/>
          <w:szCs w:val="17"/>
          <w:color w:val="auto"/>
        </w:rPr>
      </w:pPr>
    </w:p>
    <w:p>
      <w:pPr>
        <w:ind w:right="60" w:firstLine="444"/>
        <w:spacing w:after="0" w:line="254" w:lineRule="auto"/>
        <w:tabs>
          <w:tab w:leader="none" w:pos="67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all confidential, proprietary and non-public information or documents of or pertaining to Bakkt Opco, Merger Sub, Surviving Company, VIH, Bakkt Pubco and/or any Subsidiary of any of the foregoing that is received by such Restricted Party or its Representatives in connection with the transactions contemplated hereby or contemplated by the Merger Agreement or other Transaction Documents shall be deemed “Confidential Information” for purposes of (and subject to any applicable exceptions or other limitations of) Section 16.3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of the Bakkt Opco LLC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solely for any period of time prior to the Effective 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Section 12.2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of the Surviving Company LLC Agreement (solely for any period of time after the Effective Time); and</w:t>
      </w:r>
    </w:p>
    <w:p>
      <w:pPr>
        <w:spacing w:after="0" w:line="76" w:lineRule="exact"/>
        <w:rPr>
          <w:rFonts w:ascii="Times New Roman" w:cs="Times New Roman" w:eastAsia="Times New Roman" w:hAnsi="Times New Roman"/>
          <w:sz w:val="18"/>
          <w:szCs w:val="18"/>
          <w:color w:val="auto"/>
        </w:rPr>
      </w:pPr>
    </w:p>
    <w:p>
      <w:pPr>
        <w:ind w:firstLine="444"/>
        <w:spacing w:after="0" w:line="255" w:lineRule="auto"/>
        <w:tabs>
          <w:tab w:leader="none" w:pos="68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commence, maintain or participate in, or intentionally facilitate, assist or encourage, and agrees to take all actions necessary to opt out of any class in any class action with respect to, any claim, suit, proceeding or cause of action, in law or in equity, in any court or before any Governmental Authority challenging the validity of, or seeking to enjoin or delay the operation of, any provision of this Agreement or the Merger Agreement or any of the transactions contemplated thereby (including any claim seeking to enjoin or delay the consummation of the Merger, but not, for the avoidance of doubt, any transaction arising following the Expiration Date);</w:t>
      </w:r>
    </w:p>
    <w:p>
      <w:pPr>
        <w:spacing w:after="0" w:line="184" w:lineRule="exact"/>
        <w:rPr>
          <w:sz w:val="20"/>
          <w:szCs w:val="20"/>
          <w:color w:val="auto"/>
        </w:rPr>
      </w:pPr>
    </w:p>
    <w:p>
      <w:pPr>
        <w:jc w:val="both"/>
        <w:ind w:right="440"/>
        <w:spacing w:after="0" w:line="26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nothing in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shall be deemed to prohibit any Restricted Party from enforcing (x) such Restricted Party’s rights under this Agreement or any other Transaction Document to which such Restricted Party is a party or (y) such Restricted Party’s right to receive the Merger Consideration in accordance with the terms thereof.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68" w:name="page369"/>
    <w:bookmarkEnd w:id="3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RESTRICTED PARTIES</w:t>
      </w:r>
    </w:p>
    <w:p>
      <w:pPr>
        <w:spacing w:after="0" w:line="225"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Each Restricted Party hereby represents and warrants to VIH as follows (severally and not jointly), except for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which representation and warranty shall solely be made by the Majority Bakkt Equity Holder to VIH:</w:t>
      </w:r>
    </w:p>
    <w:p>
      <w:pPr>
        <w:spacing w:after="0" w:line="162" w:lineRule="exact"/>
        <w:rPr>
          <w:sz w:val="20"/>
          <w:szCs w:val="20"/>
          <w:color w:val="auto"/>
        </w:rPr>
      </w:pPr>
    </w:p>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Organization; Authorization</w:t>
      </w:r>
      <w:r>
        <w:rPr>
          <w:rFonts w:ascii="Times New Roman" w:cs="Times New Roman" w:eastAsia="Times New Roman" w:hAnsi="Times New Roman"/>
          <w:sz w:val="18"/>
          <w:szCs w:val="18"/>
          <w:color w:val="auto"/>
        </w:rPr>
        <w:t>. (a) Such Restricted Party is a legal entity duly organized, validly existing and in good standing under the Laws of such Restricted Party’s jurisdiction of organization, (b) such Restricted Party has all requisite corporate or similar power and authority and has taken all corporate or similar action necessary in order to execute and deliver this Agreement, to perform such Restricted Party’s obligations under this Agreement and to consummate the transactions contemplated by this Agreement, and (c) no approval by any holder of such Restricted Party’s Equity Interests is necessary to approve this Agreement. This Agreement has been duly executed and delivered by such Restricted Party and this Agreement constitutes a valid and binding agreement of such Restricted Party enforceable against such Restricted Party in accordance with its terms, subject to the Enforcement Exceptions.</w:t>
      </w:r>
    </w:p>
    <w:p>
      <w:pPr>
        <w:spacing w:after="0" w:line="18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No Violations; Certain Contracts</w:t>
      </w:r>
      <w:r>
        <w:rPr>
          <w:rFonts w:ascii="Times New Roman" w:cs="Times New Roman" w:eastAsia="Times New Roman" w:hAnsi="Times New Roman"/>
          <w:sz w:val="18"/>
          <w:szCs w:val="18"/>
          <w:color w:val="auto"/>
        </w:rPr>
        <w:t>. The execution, delivery and performance of this Agreement by such Restricted Party does not, and the consummation of the transactions contemplated by this Agreement by such Restricted Party shall not, constitute or result in (i) a breach or violation of, or a default under, the Organizational Documents of such Restricted Party, if applicable, or (ii) with or without notice, lapse of time or both, a breach or violation of, a termination (or right of termination) of or default under, the creation or acceleration of any obligations under or the creation of any Lien on any of the Subject Bakkt Opco Units of such Restricted Party, pursuant to, any Contract binding upon such Restricted Party or under any Law to which such Restricted Party is subject, except, in each case, as would not, individually or in the aggregate, reasonably be expected to prevent, delay or impair the ability of such Restricted Party to perform its obligations under this Agreement or consummate the transactions contemplated by the Agreement.</w:t>
      </w:r>
    </w:p>
    <w:p>
      <w:pPr>
        <w:spacing w:after="0" w:line="18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as would not, individually or in the aggregate, reasonably be expected to prevent, delay or impair the ability of such Restricted Party to perform its obligations under this Agreement or to consummate the transactions contemplated by this Agreement, (a) there are no Actions pending or, to the knowledge of such Restricted Party, threatened against such Restricted Party or any of its Affiliates and (b) neither such Restricted Party nor any of its Affiliates is a party to or subject to the provisions of any judgment, order, writ, injunction, decree or award of any Governmental Authority.</w:t>
      </w:r>
    </w:p>
    <w:p>
      <w:pPr>
        <w:spacing w:after="0" w:line="184"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Ownership of Company Stock; Voting Power</w:t>
      </w:r>
      <w:r>
        <w:rPr>
          <w:rFonts w:ascii="Times New Roman" w:cs="Times New Roman" w:eastAsia="Times New Roman" w:hAnsi="Times New Roman"/>
          <w:sz w:val="17"/>
          <w:szCs w:val="17"/>
          <w:color w:val="auto"/>
        </w:rPr>
        <w:t>. Such Restricted Party’s signature page or joinder hereto correctly sets forth the number of such Restricted Party’s Subject Bakkt Opco Units as of the date of this Agreement and, other than such Subject Bakkt Opco Units, as of the date of this Agreement, there are no Equity Interests of Bakkt Opco (or any Equity Interests convertible, exercisable or exchangeable for, or rights to purchase or acquire, any Equity Interests of Bakkt Opco) held of record or beneficially owned by such Restricted Party or in respect of which such Restricted Party has full voting power. Such Restricted Party is the record holder and beneficial owner of all of its Subject Bakkt Opco Units and has, and shall have throughout the Applicable Period, full voting power and power of disposition with respect to all such Subject Bakkt Opco Units free and clear of any liens, claims, proxies, voting trusts or agreements, options or any other encumbrances or restrictions on title, transfer or exercise of any rights of an equity holder in respect of such Subject Bakkt Opco Units (collectively, “</w:t>
      </w:r>
      <w:r>
        <w:rPr>
          <w:rFonts w:ascii="Times New Roman" w:cs="Times New Roman" w:eastAsia="Times New Roman" w:hAnsi="Times New Roman"/>
          <w:sz w:val="17"/>
          <w:szCs w:val="17"/>
          <w:u w:val="single" w:color="auto"/>
          <w:color w:val="auto"/>
        </w:rPr>
        <w:t>Encumbrances</w:t>
      </w:r>
      <w:r>
        <w:rPr>
          <w:rFonts w:ascii="Times New Roman" w:cs="Times New Roman" w:eastAsia="Times New Roman" w:hAnsi="Times New Roman"/>
          <w:sz w:val="17"/>
          <w:szCs w:val="17"/>
          <w:color w:val="auto"/>
        </w:rPr>
        <w:t>”), except for any such encumbrances that (a) may be imposed pursuant to (i) this Agreement, (ii) any applicable restrictions on transfer under U.S. state or federal securities or “blue sky” Laws, or (iii) Bakkt Opco’s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4" w:right="519" w:bottom="1440" w:gutter="0" w:footer="0" w:header="0"/>
        </w:sectPr>
      </w:pPr>
    </w:p>
    <w:bookmarkStart w:id="369" w:name="page370"/>
    <w:bookmarkEnd w:id="36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Organizational Documents or (b) would not, individually or in the aggregate, reasonably be expected to prevent, delay or impair the ability of such Restricted Party to perform its obligations under this Agreement or to consummate the transactions contemplated by this Agreement. No Person has any contractual or other right or obligation to purchase or otherwise acquire any of such Restricted Party’s Subject Bakkt Opco Units other than pursuant to the Merger Agreement or as set forth in Bakkt Opco’s Organizational Documents.</w:t>
      </w:r>
    </w:p>
    <w:p>
      <w:pPr>
        <w:spacing w:after="0" w:line="180" w:lineRule="exact"/>
        <w:rPr>
          <w:sz w:val="20"/>
          <w:szCs w:val="20"/>
          <w:color w:val="auto"/>
        </w:rPr>
      </w:pPr>
    </w:p>
    <w:p>
      <w:pPr>
        <w:ind w:right="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Such Restricted Party understands and acknowledges that VIH and Merger Sub are relying upon such Restricted Party’s execution, delivery and performance of this Agreement and upon the representations and warranties and covenants of such Restricted Party contained in this Agreement.</w:t>
      </w:r>
    </w:p>
    <w:p>
      <w:pPr>
        <w:spacing w:after="0" w:line="175"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Solely in respect of the Majority Bakkt Equity Holder (and no other Restricted Party), no agent, broker, investment banker, finder or other intermediary is or shall be entitled to any fee or commission or reimbursement of expenses from VIH or any of its Affiliates or Bakkt Opco or any of its Subsidiaries in respect of this Agreement based upon any arrangement or agreement made by or on behalf of the Majority Bakkt Equity Holder. For the avoidance of doubt, no arrangement or agreement with any agent, broker, investment banker, finder or other intermediary specified in Section 3.18 of the Merger Agreement or of the Bakkt Disclosure Letter shall be deemed to have been made by or on behalf of the Majority Bakkt Equity Holder.</w:t>
      </w:r>
    </w:p>
    <w:p>
      <w:pPr>
        <w:spacing w:after="0" w:line="18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such Restricted Party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neither such Restricted Party nor any other Person makes any express or implied representation or warranty to VIH on behalf of such Restricted Party in connection with this Agreement or the transactions expressly contemplated by this Agreement, and such Restricted Party expressly disclaims any such other representations or warranties. Such Restricted Party acknowledges and agrees that VIH has not made and is not making any express or implied representation or warranty to such Restricted Party in connection with this Agreement or the transactions expressly contemplated by this Agreement, except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that such Restricted Party is not relying and has not relied upon any express or implied representation or warranty of VIH in connection with this Agreement or the transactions expressly contemplated by this Agreement, except for the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VIH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VIH represents and warrants to each Restricted Party as follows:</w:t>
      </w:r>
    </w:p>
    <w:p>
      <w:pPr>
        <w:spacing w:after="0" w:line="221" w:lineRule="exact"/>
        <w:rPr>
          <w:sz w:val="20"/>
          <w:szCs w:val="20"/>
          <w:color w:val="auto"/>
        </w:rPr>
      </w:pPr>
    </w:p>
    <w:p>
      <w:pPr>
        <w:ind w:right="3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VIH is a Cayman Islands exempted company, validly existing and in good standing under the Laws of the Cayman Islands.</w:t>
      </w:r>
    </w:p>
    <w:p>
      <w:pPr>
        <w:spacing w:after="0" w:line="162"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VIH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VIH’s Equity Interests is necessary to approve this Agreement. This Agreement has been duly executed and delivered by VIH and constitutes a valid and binding agreement of VIH enforceable against VIH in accordance with its terms, subject to the Enforcement Exceptions.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370" w:name="page371"/>
    <w:bookmarkEnd w:id="370"/>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VIH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neither VIH nor any other Person makes any express or implied representation or warranty to any Restricted Party in connection with this Agreement or the transactions expressly contemplated by this Agreement, and VIH expressly disclaims any such other representations or warranties. VIH acknowledges and agrees that none of the Restricted Parties have made or are making any express or implied representation or warranty to VIH in connection with this Agreement or the transactions expressly contemplated by this Agreement, except as provided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that VIH is not relying or has not relied upon any express or implied representation or warranty in connection with this Agreement or the transactions expressly contemplated by this Agreement, except for the representations and warranties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including the voting agreements contemplated by this Agreement, shall automatically be terminated at the earliest to occur of: (a) the Effective Time; (b) the termination of the Merger Agreement pursuant to Article VIII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thereof; and (c) the effective date of a written agreement duly executed and delivered by VIH and each Restricted Party terminating this Agreement (the date and time at which the earliest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occurs being,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termination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sentence,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Announcements; Filings;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Rights; 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No Litigation</w:t>
      </w:r>
      <w:r>
        <w:rPr>
          <w:rFonts w:ascii="Times New Roman" w:cs="Times New Roman" w:eastAsia="Times New Roman" w:hAnsi="Times New Roman"/>
          <w:sz w:val="18"/>
          <w:szCs w:val="18"/>
          <w:color w:val="auto"/>
        </w:rPr>
        <w:t>), and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survive such termination. Nothing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elsewhere in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any party of any liability or damages to any other party for any breach of this Agreement by such party prior to such termination or fraud in connection with, arising out of or otherwise related to the express representations and warranties set forth in this Agreement or any instrument or other document delivered pursuant to this Agreement.</w:t>
      </w:r>
    </w:p>
    <w:p>
      <w:pPr>
        <w:spacing w:after="0" w:line="19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Such communications must be sent to the respective parties by such party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VIH</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Scott R. Zemnick</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(312) 701-0794</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szemnick@vpcadvisors.com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Raymond Bogenrief</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(312) 881-5450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Raymond.Bogenrief@whitecase.com</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80" w:top="268" w:right="539" w:bottom="1440" w:gutter="0" w:footer="0" w:header="0"/>
        </w:sectPr>
      </w:pPr>
    </w:p>
    <w:bookmarkStart w:id="371" w:name="page372"/>
    <w:bookmarkEnd w:id="3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to a Restricted Party, to such Restricted Party’s address set forth on its signature page or joinder hereto.</w:t>
      </w:r>
    </w:p>
    <w:p>
      <w:pPr>
        <w:spacing w:after="0" w:line="219" w:lineRule="exact"/>
        <w:rPr>
          <w:sz w:val="20"/>
          <w:szCs w:val="20"/>
          <w:color w:val="auto"/>
        </w:rPr>
      </w:pPr>
    </w:p>
    <w:p>
      <w:pPr>
        <w:ind w:firstLine="436"/>
        <w:spacing w:after="0" w:line="280"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 9.2 </w:t>
      </w:r>
      <w:r>
        <w:rPr>
          <w:rFonts w:ascii="Times New Roman" w:cs="Times New Roman" w:eastAsia="Times New Roman" w:hAnsi="Times New Roman"/>
          <w:sz w:val="18"/>
          <w:szCs w:val="18"/>
          <w:i w:val="1"/>
          <w:iCs w:val="1"/>
          <w:color w:val="auto"/>
        </w:rPr>
        <w:t>(Trust Account Waiver)</w:t>
      </w:r>
      <w:r>
        <w:rPr>
          <w:rFonts w:ascii="Times New Roman" w:cs="Times New Roman" w:eastAsia="Times New Roman" w:hAnsi="Times New Roman"/>
          <w:sz w:val="18"/>
          <w:szCs w:val="18"/>
          <w:color w:val="auto"/>
        </w:rPr>
        <w:t xml:space="preserve"> and Article XI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other than Sections 11.1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and 11.5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Fees)</w:t>
      </w:r>
      <w:r>
        <w:rPr>
          <w:rFonts w:ascii="Times New Roman" w:cs="Times New Roman" w:eastAsia="Times New Roman" w:hAnsi="Times New Roman"/>
          <w:sz w:val="18"/>
          <w:szCs w:val="18"/>
          <w:color w:val="auto"/>
        </w:rPr>
        <w:t>, of the Merger Agreement shall apply to this Agreement</w:t>
      </w:r>
      <w:r>
        <w:rPr>
          <w:rFonts w:ascii="Times New Roman" w:cs="Times New Roman" w:eastAsia="Times New Roman" w:hAnsi="Times New Roman"/>
          <w:sz w:val="18"/>
          <w:szCs w:val="18"/>
          <w:i w:val="1"/>
          <w:iCs w:val="1"/>
          <w:color w:val="auto"/>
        </w:rPr>
        <w:t xml:space="preserve"> mutatis mutandis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40"/>
          </w:cols>
          <w:pgMar w:left="480" w:top="268" w:right="67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duly executed and delivered this Agreement as of the date first above written.</w:t>
      </w:r>
    </w:p>
    <w:p>
      <w:pPr>
        <w:spacing w:after="0" w:line="24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PARTY</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INTERCONTINENTAL EXCHANGE</w:t>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HOLDINGS, INC.</w:t>
      </w:r>
    </w:p>
    <w:p>
      <w:pPr>
        <w:spacing w:after="0" w:line="215"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u w:val="single" w:color="auto"/>
          <w:color w:val="auto"/>
        </w:rPr>
        <w:t>Number &amp; Type of Subject Bakkt Opco Units:</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400,000,000 Class A Voting Units</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115,000,000 Class B Voting Units</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237,327,456 Class C Voting Units</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Intercontinental Exchange Holdings, Inc.</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5660 New Northside Drive</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Atlanta, Georgia 30328</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Email: legal-notices@theice.com</w:t>
      </w:r>
    </w:p>
    <w:p>
      <w:pPr>
        <w:spacing w:after="0" w:line="1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4" w:right="1440"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duly executed and delivered this Agreement as of the date first above written.</w:t>
      </w:r>
    </w:p>
    <w:p>
      <w:pPr>
        <w:spacing w:after="0" w:line="24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VIH</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VPC IMPACT ACQUISITION HOLDINGS</w:t>
      </w:r>
    </w:p>
    <w:p>
      <w:pPr>
        <w:spacing w:after="0" w:line="23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3620" w:right="119" w:firstLine="2506"/>
        <w:spacing w:after="0" w:line="426" w:lineRule="auto"/>
        <w:rPr>
          <w:sz w:val="20"/>
          <w:szCs w:val="20"/>
          <w:color w:val="auto"/>
        </w:rPr>
      </w:pPr>
      <w:r>
        <w:rPr>
          <w:rFonts w:ascii="Times New Roman" w:cs="Times New Roman" w:eastAsia="Times New Roman" w:hAnsi="Times New Roman"/>
          <w:sz w:val="18"/>
          <w:szCs w:val="18"/>
          <w:color w:val="auto"/>
        </w:rPr>
        <w:t>Title: President and Chief Executive Officer [</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4"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duly executed and delivered this Agreement as of the date first above written.</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BAKKT OPCO</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5"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13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4" w:right="1440" w:bottom="1440" w:gutter="0" w:footer="0" w:header="0"/>
        </w:sectPr>
      </w:pPr>
    </w:p>
    <w:bookmarkStart w:id="375" w:name="page376"/>
    <w:bookmarkEnd w:id="3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WRITTEN CONSENT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4" w:right="1440"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 BY WRITTEN CONSENT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MEMBERS IN LIEU OF MEETING</w:t>
      </w:r>
    </w:p>
    <w:p>
      <w:pPr>
        <w:spacing w:after="0" w:line="202" w:lineRule="exact"/>
        <w:rPr>
          <w:sz w:val="20"/>
          <w:szCs w:val="20"/>
          <w:color w:val="auto"/>
        </w:rPr>
      </w:pPr>
    </w:p>
    <w:p>
      <w:pPr>
        <w:ind w:right="260" w:firstLine="436"/>
        <w:spacing w:after="0" w:line="263" w:lineRule="auto"/>
        <w:rPr>
          <w:sz w:val="20"/>
          <w:szCs w:val="20"/>
          <w:color w:val="auto"/>
        </w:rPr>
      </w:pPr>
      <w:r>
        <w:rPr>
          <w:rFonts w:ascii="Times New Roman" w:cs="Times New Roman" w:eastAsia="Times New Roman" w:hAnsi="Times New Roman"/>
          <w:sz w:val="18"/>
          <w:szCs w:val="18"/>
          <w:color w:val="auto"/>
        </w:rPr>
        <w:t>Reference is made to the Second Amended and Restated Limited Liability Company Agreement of BAKKT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February 28, 2020, by and among the Company and its members (the “</w:t>
      </w:r>
      <w:r>
        <w:rPr>
          <w:rFonts w:ascii="Times New Roman" w:cs="Times New Roman" w:eastAsia="Times New Roman" w:hAnsi="Times New Roman"/>
          <w:sz w:val="18"/>
          <w:szCs w:val="18"/>
          <w:u w:val="single" w:color="auto"/>
          <w:color w:val="auto"/>
        </w:rPr>
        <w:t>Existing LLC Agreement</w:t>
      </w:r>
      <w:r>
        <w:rPr>
          <w:rFonts w:ascii="Times New Roman" w:cs="Times New Roman" w:eastAsia="Times New Roman" w:hAnsi="Times New Roman"/>
          <w:sz w:val="18"/>
          <w:szCs w:val="18"/>
          <w:color w:val="auto"/>
        </w:rPr>
        <w:t>”). Capitalized terms used herein but not otherwise defined have the meaning ascribed to such terms in the Existing LLC Agreement.</w:t>
      </w:r>
    </w:p>
    <w:p>
      <w:pPr>
        <w:spacing w:after="0" w:line="175" w:lineRule="exact"/>
        <w:rPr>
          <w:sz w:val="20"/>
          <w:szCs w:val="20"/>
          <w:color w:val="auto"/>
        </w:rPr>
      </w:pPr>
    </w:p>
    <w:p>
      <w:pPr>
        <w:ind w:right="20" w:firstLine="436"/>
        <w:spacing w:after="0" w:line="268" w:lineRule="auto"/>
        <w:rPr>
          <w:sz w:val="20"/>
          <w:szCs w:val="20"/>
          <w:color w:val="auto"/>
        </w:rPr>
      </w:pPr>
      <w:r>
        <w:rPr>
          <w:rFonts w:ascii="Times New Roman" w:cs="Times New Roman" w:eastAsia="Times New Roman" w:hAnsi="Times New Roman"/>
          <w:sz w:val="17"/>
          <w:szCs w:val="17"/>
          <w:color w:val="auto"/>
        </w:rPr>
        <w:t>In accordance with Section 18-302 of the Delaware Limited Liability Company Act (the “</w:t>
      </w:r>
      <w:r>
        <w:rPr>
          <w:rFonts w:ascii="Times New Roman" w:cs="Times New Roman" w:eastAsia="Times New Roman" w:hAnsi="Times New Roman"/>
          <w:sz w:val="17"/>
          <w:szCs w:val="17"/>
          <w:u w:val="single" w:color="auto"/>
          <w:color w:val="auto"/>
        </w:rPr>
        <w:t>DLLCA</w:t>
      </w:r>
      <w:r>
        <w:rPr>
          <w:rFonts w:ascii="Times New Roman" w:cs="Times New Roman" w:eastAsia="Times New Roman" w:hAnsi="Times New Roman"/>
          <w:sz w:val="17"/>
          <w:szCs w:val="17"/>
          <w:color w:val="auto"/>
        </w:rPr>
        <w:t>”) and the Existing LLC Agreement, the undersigned Members, constituting the holders of the Company’s outstanding Units (as defined in the Existing LLC Agreement) having not less than the minimum number of votes that would be necessary to authorize or take such action at a meeting at which all Units entitled to vote thereon were present and voted, including (i) the holders of a majority of the outstanding Voting Units, consenting or voting (as the case may be) together as a single class,</w:t>
      </w:r>
    </w:p>
    <w:p>
      <w:pPr>
        <w:spacing w:after="0" w:line="2" w:lineRule="exact"/>
        <w:rPr>
          <w:sz w:val="20"/>
          <w:szCs w:val="20"/>
          <w:color w:val="auto"/>
        </w:rPr>
      </w:pPr>
    </w:p>
    <w:p>
      <w:pPr>
        <w:ind w:right="80" w:firstLine="7"/>
        <w:spacing w:after="0" w:line="250" w:lineRule="auto"/>
        <w:tabs>
          <w:tab w:leader="none" w:pos="26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outstanding Class A Voting Units, Class B Voting Units and Class C Voting Units, each consenting or voting (as the case may be) as separate classes, and (iii) the Minority Investors holding a majority of the outstanding Minority Investor Units, consenting or voting (as the case may be) together as a single class (collectively, the “</w:t>
      </w:r>
      <w:r>
        <w:rPr>
          <w:rFonts w:ascii="Times New Roman" w:cs="Times New Roman" w:eastAsia="Times New Roman" w:hAnsi="Times New Roman"/>
          <w:sz w:val="18"/>
          <w:szCs w:val="18"/>
          <w:u w:val="single" w:color="auto"/>
          <w:color w:val="auto"/>
        </w:rPr>
        <w:t>Requisite Consent</w:t>
      </w:r>
      <w:r>
        <w:rPr>
          <w:rFonts w:ascii="Times New Roman" w:cs="Times New Roman" w:eastAsia="Times New Roman" w:hAnsi="Times New Roman"/>
          <w:sz w:val="18"/>
          <w:szCs w:val="18"/>
          <w:color w:val="auto"/>
        </w:rPr>
        <w:t xml:space="preserve">”), hereby approve the following actions and consent to the adoption of, and do hereby adopt, the recitals and resolutions set forth on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This written consent may be executed in counterparts, each of which shall constitute an original and all of which together shall constitute one instrument. This written consent shall be effective upon execution of the Members holding not less than the minimum number of Units required to constitute the Requisite Consent. Additional parties hereto nonetheless may be added after the effectiveness hereof. A copy of this written consent that is signed and delivered by facsimile, telecopy, email or other electronic transmission shall constitute an original, executed written consent.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64" w:right="499" w:bottom="1440" w:gutter="0" w:footer="0" w:header="0"/>
        </w:sectPr>
      </w:pPr>
    </w:p>
    <w:bookmarkStart w:id="377" w:name="page378"/>
    <w:bookmarkEnd w:id="377"/>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MEMBER: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ectPr>
          <w:pgSz w:w="11900" w:h="16838" w:orient="portrait"/>
          <w:cols w:equalWidth="0" w:num="1">
            <w:col w:w="9600"/>
          </w:cols>
          <w:pgMar w:left="1440" w:top="264" w:right="859" w:bottom="1440" w:gutter="0" w:footer="0" w:header="0"/>
        </w:sectPr>
      </w:pPr>
    </w:p>
    <w:bookmarkStart w:id="378" w:name="page379"/>
    <w:bookmarkEnd w:id="378"/>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256540</wp:posOffset>
            </wp:positionV>
            <wp:extent cx="27686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Print Member Name</w:t>
      </w:r>
    </w:p>
    <w:p>
      <w:pPr>
        <w:spacing w:after="0" w:line="1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-8890</wp:posOffset>
            </wp:positionV>
            <wp:extent cx="217868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-8890</wp:posOffset>
            </wp:positionV>
            <wp:extent cx="20656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-8890</wp:posOffset>
            </wp:positionV>
            <wp:extent cx="14433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-8890</wp:posOffset>
            </wp:positionV>
            <wp:extent cx="21507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074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ANNEX I</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 BY WRITTEN CONSENT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MEMBERS IN LIEU OF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PPROVAL OF</w:t>
      </w:r>
      <w:r>
        <w:rPr>
          <w:rFonts w:ascii="Times New Roman" w:cs="Times New Roman" w:eastAsia="Times New Roman" w:hAnsi="Times New Roman"/>
          <w:sz w:val="18"/>
          <w:szCs w:val="18"/>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ERGER</w:t>
      </w:r>
      <w:r>
        <w:rPr>
          <w:rFonts w:ascii="Times New Roman" w:cs="Times New Roman" w:eastAsia="Times New Roman" w:hAnsi="Times New Roman"/>
          <w:sz w:val="18"/>
          <w:szCs w:val="18"/>
          <w:b w:val="1"/>
          <w:bCs w:val="1"/>
          <w:u w:val="single" w:color="auto"/>
          <w:color w:val="auto"/>
        </w:rPr>
        <w:t>, M</w:t>
      </w:r>
      <w:r>
        <w:rPr>
          <w:rFonts w:ascii="Times New Roman" w:cs="Times New Roman" w:eastAsia="Times New Roman" w:hAnsi="Times New Roman"/>
          <w:sz w:val="14"/>
          <w:szCs w:val="14"/>
          <w:b w:val="1"/>
          <w:bCs w:val="1"/>
          <w:u w:val="single" w:color="auto"/>
          <w:color w:val="auto"/>
        </w:rPr>
        <w:t>ERGER</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 AND</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ELATED</w:t>
      </w:r>
      <w:r>
        <w:rPr>
          <w:rFonts w:ascii="Times New Roman" w:cs="Times New Roman" w:eastAsia="Times New Roman" w:hAnsi="Times New Roman"/>
          <w:sz w:val="18"/>
          <w:szCs w:val="18"/>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ATTERS</w:t>
      </w:r>
    </w:p>
    <w:p>
      <w:pPr>
        <w:spacing w:after="0" w:line="114" w:lineRule="exact"/>
        <w:rPr>
          <w:sz w:val="20"/>
          <w:szCs w:val="20"/>
          <w:color w:val="auto"/>
        </w:rPr>
      </w:pPr>
    </w:p>
    <w:p>
      <w:pPr>
        <w:ind w:right="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Board of Managers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approved, and the Company has entered into, that certain Agreement and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Merger, by and among VPC Impact Acquisition Holdings, a publicly listed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Pylon Merger Company LLC, a Delaware limited liability company and wholly 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the Company, a copy of which is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(together with its exhibits, schedules and appendices,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would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being the surviving limited liability company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prior to the Merger, VIH would domesticate as a Delaware corporation to be named Bakkt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Inc.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consummation of the transactions contemplated by the Merger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Bakkt Pubco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would implement a structure (the “</w:t>
      </w:r>
      <w:r>
        <w:rPr>
          <w:rFonts w:ascii="Times New Roman" w:cs="Times New Roman" w:eastAsia="Times New Roman" w:hAnsi="Times New Roman"/>
          <w:sz w:val="18"/>
          <w:szCs w:val="18"/>
          <w:u w:val="single" w:color="auto"/>
          <w:color w:val="auto"/>
        </w:rPr>
        <w:t>Up-C Structure</w:t>
      </w:r>
      <w:r>
        <w:rPr>
          <w:rFonts w:ascii="Times New Roman" w:cs="Times New Roman" w:eastAsia="Times New Roman" w:hAnsi="Times New Roman"/>
          <w:sz w:val="18"/>
          <w:szCs w:val="18"/>
          <w:color w:val="auto"/>
        </w:rPr>
        <w:t xml:space="preserve">”) in which the business of the Company, as the Surviving Company, would continue to be conducted as a limited liability company with Bakkt Pubco being admitted and designated as the “managing member” of the Company for purposes of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and the Company’s existing capital structure consisting of different existing classes of outstanding units would be replaced with a new class of units, the Surviving Company Common Units (as defined below);</w:t>
      </w:r>
    </w:p>
    <w:p>
      <w:pPr>
        <w:spacing w:after="0" w:line="180" w:lineRule="exact"/>
        <w:rPr>
          <w:sz w:val="20"/>
          <w:szCs w:val="20"/>
          <w:color w:val="auto"/>
        </w:rPr>
      </w:pPr>
    </w:p>
    <w:p>
      <w:pPr>
        <w:ind w:right="20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w:t>
      </w:r>
      <w:r>
        <w:rPr>
          <w:rFonts w:ascii="Times New Roman" w:cs="Times New Roman" w:eastAsia="Times New Roman" w:hAnsi="Times New Roman"/>
          <w:sz w:val="18"/>
          <w:szCs w:val="18"/>
          <w:color w:val="auto"/>
        </w:rPr>
        <w:t>S, subject to the obtainment of the consent of the members constituting the Requisite Consent and the satisfaction or waiver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to Closing set forth in the Merger Agreement, the Merger would become effective at such time as a certificate of merger is filed with the Office of the Secretary of State of the State of Delaware in accordance with the applicable provisions of the DLLCA and the Merger Agreement (such time,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36"/>
        <w:spacing w:after="0" w:line="27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the Merger Agreement, at the Effective Time, all issued and outstanding units of limited liability company interests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including the Class A Voting Units, the Class B Voting Units, the Class C Voting Units and the Incentive Units, but excluding the Participation Units (collectively, the “</w:t>
      </w:r>
      <w:r>
        <w:rPr>
          <w:rFonts w:ascii="Times New Roman" w:cs="Times New Roman" w:eastAsia="Times New Roman" w:hAnsi="Times New Roman"/>
          <w:sz w:val="17"/>
          <w:szCs w:val="17"/>
          <w:u w:val="single" w:color="auto"/>
          <w:color w:val="auto"/>
        </w:rPr>
        <w:t>Bakkt Interests</w:t>
      </w:r>
      <w:r>
        <w:rPr>
          <w:rFonts w:ascii="Times New Roman" w:cs="Times New Roman" w:eastAsia="Times New Roman" w:hAnsi="Times New Roman"/>
          <w:sz w:val="17"/>
          <w:szCs w:val="17"/>
          <w:color w:val="auto"/>
        </w:rPr>
        <w:t>”) held by a member of the Company (other than Bakkt Interests held by the Company or any of its subsidiaries) would be converted into the right to receive from the Surviving Company and from Bakkt Pubco, respectively, a number of Common Units of the Surviving Company (the “</w:t>
      </w:r>
      <w:r>
        <w:rPr>
          <w:rFonts w:ascii="Times New Roman" w:cs="Times New Roman" w:eastAsia="Times New Roman" w:hAnsi="Times New Roman"/>
          <w:sz w:val="17"/>
          <w:szCs w:val="17"/>
          <w:u w:val="single" w:color="auto"/>
          <w:color w:val="auto"/>
        </w:rPr>
        <w:t>Surviving Company Common Units</w:t>
      </w:r>
      <w:r>
        <w:rPr>
          <w:rFonts w:ascii="Times New Roman" w:cs="Times New Roman" w:eastAsia="Times New Roman" w:hAnsi="Times New Roman"/>
          <w:sz w:val="17"/>
          <w:szCs w:val="17"/>
          <w:color w:val="auto"/>
        </w:rPr>
        <w:t>”) and a number of shares of Class V common stock of Bakkt Pubco (“</w:t>
      </w:r>
      <w:r>
        <w:rPr>
          <w:rFonts w:ascii="Times New Roman" w:cs="Times New Roman" w:eastAsia="Times New Roman" w:hAnsi="Times New Roman"/>
          <w:sz w:val="17"/>
          <w:szCs w:val="17"/>
          <w:u w:val="single" w:color="auto"/>
          <w:color w:val="auto"/>
        </w:rPr>
        <w:t>Bakkt Pubco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Class V Shares</w:t>
      </w:r>
      <w:r>
        <w:rPr>
          <w:rFonts w:ascii="Times New Roman" w:cs="Times New Roman" w:eastAsia="Times New Roman" w:hAnsi="Times New Roman"/>
          <w:sz w:val="17"/>
          <w:szCs w:val="17"/>
          <w:color w:val="auto"/>
        </w:rPr>
        <w:t>”), in each case, determined in accordance with the terms of the Merger Agreement and the Existing LLC Agreement (as defined below);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0920"/>
          </w:cols>
          <w:pgMar w:left="480" w:top="264" w:right="499" w:bottom="1440" w:gutter="0" w:footer="0" w:header="0"/>
        </w:sectPr>
      </w:pPr>
    </w:p>
    <w:bookmarkStart w:id="380" w:name="page381"/>
    <w:bookmarkEnd w:id="380"/>
    <w:p>
      <w:pPr>
        <w:ind w:right="5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WHEREAS</w:t>
      </w:r>
      <w:r>
        <w:rPr>
          <w:rFonts w:ascii="Times New Roman" w:cs="Times New Roman" w:eastAsia="Times New Roman" w:hAnsi="Times New Roman"/>
          <w:sz w:val="18"/>
          <w:szCs w:val="18"/>
          <w:color w:val="auto"/>
        </w:rPr>
        <w:t>, the Incentive Units and Participation Units would be subject to the treatment, including vesting terms, set forth in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6"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Domestication, the Class A ordinary shares of VIH (“</w:t>
      </w:r>
      <w:r>
        <w:rPr>
          <w:rFonts w:ascii="Times New Roman" w:cs="Times New Roman" w:eastAsia="Times New Roman" w:hAnsi="Times New Roman"/>
          <w:sz w:val="18"/>
          <w:szCs w:val="18"/>
          <w:u w:val="single" w:color="auto"/>
          <w:color w:val="auto"/>
        </w:rPr>
        <w:t>VIH Class A Shares</w:t>
      </w:r>
      <w:r>
        <w:rPr>
          <w:rFonts w:ascii="Times New Roman" w:cs="Times New Roman" w:eastAsia="Times New Roman" w:hAnsi="Times New Roman"/>
          <w:sz w:val="18"/>
          <w:szCs w:val="18"/>
          <w:color w:val="auto"/>
        </w:rPr>
        <w:t>”) would be converted into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of Bakkt Pubco (“</w:t>
      </w:r>
      <w:r>
        <w:rPr>
          <w:rFonts w:ascii="Times New Roman" w:cs="Times New Roman" w:eastAsia="Times New Roman" w:hAnsi="Times New Roman"/>
          <w:sz w:val="18"/>
          <w:szCs w:val="18"/>
          <w:u w:val="single" w:color="auto"/>
          <w:color w:val="auto"/>
        </w:rPr>
        <w:t>Bakkt Pubco Class A Shares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and delivery of the Merger Agreement by the parties thereto, VIH would enter into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with certain accredited investors, substantially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pursuant to which such investors would subscribe for VIH Class A Shares, and such VIH Class A Shares would be purchased concurrently with, and be automatically converted to Bakkt Pubco Class A Shares in connection with, the Domestication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Intercontinental Exchange Holdings, Inc. (“</w:t>
      </w:r>
      <w:r>
        <w:rPr>
          <w:rFonts w:ascii="Times New Roman" w:cs="Times New Roman" w:eastAsia="Times New Roman" w:hAnsi="Times New Roman"/>
          <w:sz w:val="18"/>
          <w:szCs w:val="18"/>
          <w:u w:val="single" w:color="auto"/>
          <w:color w:val="auto"/>
        </w:rPr>
        <w:t>ICE Holdings</w:t>
      </w:r>
      <w:r>
        <w:rPr>
          <w:rFonts w:ascii="Times New Roman" w:cs="Times New Roman" w:eastAsia="Times New Roman" w:hAnsi="Times New Roman"/>
          <w:sz w:val="18"/>
          <w:szCs w:val="18"/>
          <w:color w:val="auto"/>
        </w:rPr>
        <w:t>”) is a wholly owned subsidiary of Intercontinental Exchange,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presently owns approximately 90% of the issued and outstanding voting units of the Company, and two of the members of the Company’s Board are members of the Board of Directors of ICE – Sharon Bowen and Thomas Noonan – and Jeffrey Sprecher serves as both a member of the Company’s Board and as an officer and director of ICE;</w:t>
      </w:r>
    </w:p>
    <w:p>
      <w:pPr>
        <w:spacing w:after="0" w:line="176" w:lineRule="exact"/>
        <w:rPr>
          <w:sz w:val="20"/>
          <w:szCs w:val="20"/>
          <w:color w:val="auto"/>
        </w:rPr>
      </w:pPr>
    </w:p>
    <w:p>
      <w:pPr>
        <w:ind w:right="6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Goldfinch Co-Invest I GP, LP and Goldfinch Co-Invest I IP LP (collectively, “</w:t>
      </w:r>
      <w:r>
        <w:rPr>
          <w:rFonts w:ascii="Times New Roman" w:cs="Times New Roman" w:eastAsia="Times New Roman" w:hAnsi="Times New Roman"/>
          <w:sz w:val="17"/>
          <w:szCs w:val="17"/>
          <w:u w:val="single" w:color="auto"/>
          <w:color w:val="auto"/>
        </w:rPr>
        <w:t>Goldfinch</w:t>
      </w:r>
      <w:r>
        <w:rPr>
          <w:rFonts w:ascii="Times New Roman" w:cs="Times New Roman" w:eastAsia="Times New Roman" w:hAnsi="Times New Roman"/>
          <w:sz w:val="17"/>
          <w:szCs w:val="17"/>
          <w:color w:val="auto"/>
        </w:rPr>
        <w:t>”) presently owns Class B Voting Units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C Voting Units of the Company, and Sean Collins, a managing director and affiliate of Goldfinch, serves as a member of the Company’s Board;</w:t>
      </w:r>
    </w:p>
    <w:p>
      <w:pPr>
        <w:spacing w:after="0" w:line="132"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ICE Holdings (or an affiliate thereof) and Goldfinch would subscribe for up to an aggregate of $55,000,000 of the VIH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offered in the PIPE Financing (the “</w:t>
      </w:r>
      <w:r>
        <w:rPr>
          <w:rFonts w:ascii="Times New Roman" w:cs="Times New Roman" w:eastAsia="Times New Roman" w:hAnsi="Times New Roman"/>
          <w:sz w:val="18"/>
          <w:szCs w:val="18"/>
          <w:u w:val="single" w:color="auto"/>
          <w:color w:val="auto"/>
        </w:rPr>
        <w:t>Investment Subscription</w:t>
      </w:r>
      <w:r>
        <w:rPr>
          <w:rFonts w:ascii="Times New Roman" w:cs="Times New Roman" w:eastAsia="Times New Roman" w:hAnsi="Times New Roman"/>
          <w:sz w:val="18"/>
          <w:szCs w:val="18"/>
          <w:color w:val="auto"/>
        </w:rPr>
        <w:t>”), in each case, pursuant to the terms of a Subscription Agreement (collectively,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Company’s members, other than ICE Holdings and Goldfinch, will be offered the opportunity to participate in the PIPE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by purchasing its pro rata share of the Investment Subscription, which amount will be deducted from the portion of the Investment Subscription to be subscribed by ICE Holdings;</w:t>
      </w:r>
    </w:p>
    <w:p>
      <w:pPr>
        <w:spacing w:after="0" w:line="170"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Subscription, the Domestication, the Merger and the Up-C Structure, immediately following the Closing,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Company would hold Surviving Company Common Units in the Company and Bakkt Pubco Class V Shares and, in the case of each such member participating in the PIPE Financing, Bakkt Pubco Class A Shares;</w:t>
      </w:r>
    </w:p>
    <w:p>
      <w:pPr>
        <w:spacing w:after="0" w:line="170"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Bakkt Pubco, the Company and its members would enter into an Exchange Agreement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form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to provide a mechanism for the exchange of one or more “</w:t>
      </w:r>
      <w:r>
        <w:rPr>
          <w:rFonts w:ascii="Times New Roman" w:cs="Times New Roman" w:eastAsia="Times New Roman" w:hAnsi="Times New Roman"/>
          <w:sz w:val="18"/>
          <w:szCs w:val="18"/>
          <w:u w:val="single" w:color="auto"/>
          <w:color w:val="auto"/>
        </w:rPr>
        <w:t>Paired Interests</w:t>
      </w:r>
      <w:r>
        <w:rPr>
          <w:rFonts w:ascii="Times New Roman" w:cs="Times New Roman" w:eastAsia="Times New Roman" w:hAnsi="Times New Roman"/>
          <w:sz w:val="18"/>
          <w:szCs w:val="18"/>
          <w:color w:val="auto"/>
        </w:rPr>
        <w:t>” (defined as one Surviving Company Common Unit and one Bakkt Pubco Class V Share) for Bakkt Pubco Class A Shares or the Cash Amount (as defined in the Exchange Agreement), in each case, on the terms and subject to the conditions set forth in the Exchange Agreement;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920"/>
          </w:cols>
          <w:pgMar w:left="480" w:top="264" w:right="499" w:bottom="1440" w:gutter="0" w:footer="0" w:header="0"/>
        </w:sectPr>
      </w:pPr>
    </w:p>
    <w:bookmarkStart w:id="381" w:name="page382"/>
    <w:bookmarkEnd w:id="381"/>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w:t>
      </w:r>
      <w:r>
        <w:rPr>
          <w:rFonts w:ascii="Times New Roman" w:cs="Times New Roman" w:eastAsia="Times New Roman" w:hAnsi="Times New Roman"/>
          <w:sz w:val="18"/>
          <w:szCs w:val="18"/>
          <w:color w:val="auto"/>
        </w:rPr>
        <w:t>, in connection with the Closing, Bakkt Pubco, the members of the Company, and VIH Impact Acquisition Holdings Sponsor,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w:t>
      </w:r>
      <w:r>
        <w:rPr>
          <w:rFonts w:ascii="Times New Roman" w:cs="Times New Roman" w:eastAsia="Times New Roman" w:hAnsi="Times New Roman"/>
          <w:sz w:val="18"/>
          <w:szCs w:val="18"/>
          <w:u w:val="single" w:color="auto"/>
          <w:color w:val="auto"/>
        </w:rPr>
        <w:t>VIH Sponsor</w:t>
      </w:r>
      <w:r>
        <w:rPr>
          <w:rFonts w:ascii="Times New Roman" w:cs="Times New Roman" w:eastAsia="Times New Roman" w:hAnsi="Times New Roman"/>
          <w:sz w:val="18"/>
          <w:szCs w:val="18"/>
          <w:color w:val="auto"/>
        </w:rPr>
        <w:t xml:space="preserve">”), would enter into a Registration Rights Agreement substantially in the form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provide certain registration rights in connection with Bakkt Pubco Class A Shares that may 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of Bakkt Pubco;</w:t>
      </w:r>
    </w:p>
    <w:p>
      <w:pPr>
        <w:spacing w:after="0" w:line="176"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by virtue of the Exchange Agreement and the Registration Rights Agreement, the members of the Company would, after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six-month lock-up period following the Closing, have the means to exchange their Surviving Company Common Units and Bakkt Pubco Class V Shares for publicly traded Bakkt Pubco Class A Shares;</w:t>
      </w:r>
    </w:p>
    <w:p>
      <w:pPr>
        <w:spacing w:after="0" w:line="17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material inducement to VIH’s and Merger Sub’s willingness to enter into the Merger Agreement, VIH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certain members of the Company execute and deliver to VIH and the Company, promptly following the signing of the Merger Agreement, a Support Agreement substantially in the form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such members of the Company would agree to, among other things, (a) vote or cause to be voted the Bakkt Interests held by each of them in favor of the Merger and against any competing transaction, (b) certain restrictions on the transfer of such Bakkt Interests prior to the Closing, and (c) certain restrictions on public announcements relating to the Merger and the other transactions contemplated by the Merger Agreement;</w:t>
      </w:r>
    </w:p>
    <w:p>
      <w:pPr>
        <w:spacing w:after="0" w:line="178"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Bakkt Pubco, VIH Sponsor and the members of the Company would enter into a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substantially in the form attached hereto as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setting forth certain understandings among the parties thereto with respect to certain governance matters and certain lock-up periods applicable to transfers of the equity securities in the Company and Bakkt Pubco held by the parties thereto;</w:t>
      </w:r>
    </w:p>
    <w:p>
      <w:pPr>
        <w:spacing w:after="0" w:line="176"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to support the deconsolidation of the Company from ICE’s financial statements, Bakkt Pubco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ICE Holdings would enter into a Voting Agreement substantially in the form attached hereto as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requiring ICE Holdings to vote, on any matter submitted to a vote or consent of the stockholders of Bakkt Pubco after the Closing for so long as ICE Holdings owns a majority of the outstanding shares of Bakkt Pubco, any shares of common stock of Bakkt Pubco owned by ICE Holdings in excess of 30% of the outstanding shares of Bakkt Pubco, in the same percentages, for and against the relevant matter, as the shares voted by all stockholders other than ICE Holdings (rather than in its discretion);</w:t>
      </w:r>
    </w:p>
    <w:p>
      <w:pPr>
        <w:spacing w:after="0" w:line="178" w:lineRule="exact"/>
        <w:rPr>
          <w:sz w:val="20"/>
          <w:szCs w:val="20"/>
          <w:color w:val="auto"/>
        </w:rPr>
      </w:pPr>
    </w:p>
    <w:p>
      <w:pPr>
        <w:ind w:right="3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Bakkt Pubco and the members of the Company would enter into a Tax Receivable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in the form attached hereto as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pursuant to which the parties thereto would agree to certain arrangements with respect to the effect of basis adjustments and imputed interest on the liability for taxes of Bakkt Pubco;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900"/>
          </w:cols>
          <w:pgMar w:left="480" w:top="264" w:right="519" w:bottom="1440" w:gutter="0" w:footer="0" w:header="0"/>
        </w:sectPr>
      </w:pPr>
    </w:p>
    <w:bookmarkStart w:id="382" w:name="page383"/>
    <w:bookmarkEnd w:id="382"/>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w:t>
      </w:r>
      <w:r>
        <w:rPr>
          <w:rFonts w:ascii="Times New Roman" w:cs="Times New Roman" w:eastAsia="Times New Roman" w:hAnsi="Times New Roman"/>
          <w:sz w:val="18"/>
          <w:szCs w:val="18"/>
          <w:color w:val="auto"/>
        </w:rPr>
        <w:t>, in order to permit the transactions contemplated by the Merger Agreement, including the Up-C Structure, the Existing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would be amended and restated in its entirety by a Third Amended and Restated Limited Liability Company Agreement substantially in the form attached hereto as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Surviving Company LLC Agreement</w:t>
      </w:r>
      <w:r>
        <w:rPr>
          <w:rFonts w:ascii="Times New Roman" w:cs="Times New Roman" w:eastAsia="Times New Roman" w:hAnsi="Times New Roman"/>
          <w:sz w:val="18"/>
          <w:szCs w:val="18"/>
          <w:color w:val="auto"/>
        </w:rPr>
        <w:t>”), effective at the Closing;</w:t>
      </w:r>
    </w:p>
    <w:p>
      <w:pPr>
        <w:spacing w:after="0" w:line="170" w:lineRule="exact"/>
        <w:rPr>
          <w:sz w:val="20"/>
          <w:szCs w:val="20"/>
          <w:color w:val="auto"/>
        </w:rPr>
      </w:pPr>
    </w:p>
    <w:p>
      <w:pPr>
        <w:ind w:right="300" w:firstLine="436"/>
        <w:spacing w:after="0" w:line="276"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having considered factors it deemed relevant, has unanimously (i) determined that the Merger Agreement, 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other transactions contemplated by the Merger Agreement are fair to, advisable and in the best interests of the Company and its members,</w:t>
      </w:r>
    </w:p>
    <w:p>
      <w:pPr>
        <w:spacing w:after="0" w:line="1" w:lineRule="exact"/>
        <w:rPr>
          <w:sz w:val="20"/>
          <w:szCs w:val="20"/>
          <w:color w:val="auto"/>
        </w:rPr>
      </w:pPr>
    </w:p>
    <w:p>
      <w:pPr>
        <w:ind w:right="120" w:firstLine="7"/>
        <w:spacing w:after="0" w:line="252" w:lineRule="auto"/>
        <w:tabs>
          <w:tab w:leader="none" w:pos="262"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Merger Agreement and the other transactions contemplated thereby and declared the Merger Agreement advisable; (iii) recommended that the members vote in favor of the approval and adoption of the Merger Agreement and Merger, and (iv) approved the Surviving Company LLC Agreement and the transactions contemplated thereby, including the Up-C Structure; and</w:t>
      </w:r>
    </w:p>
    <w:p>
      <w:pPr>
        <w:spacing w:after="0" w:line="181"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above-signed members, including the members constituting the Requisite Consent, desire to (i) approve and adopt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Merger Agreement, (ii) approve and adopt the establishment of the Up-C Structure and the Surviving Company Agreement, and (iii) the allocation and calculation of the Merger Consideration (as defined in the Merger Agreement) in the manner prescribed by the Merger Agreement and set forth on the Final Merger Consideration Spreadsheet (as defined in the Merger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221"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Merger Agreement, together with the exhibits thereto and any other documents or agreements to be executed or delivered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connection therewith, and the terms and conditions set forth in the Merger Agreement and the transactions contemplated thereby, including the Merger, be, and hereby are, adopted and approved in all respects by the above-signed members, which includes the members constituting the Requisite Consent,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approval shall be of no further force or effect following any termination of the Merger Agreement in accordance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further</w:t>
      </w:r>
    </w:p>
    <w:p>
      <w:pPr>
        <w:spacing w:after="0" w:line="180" w:lineRule="exact"/>
        <w:rPr>
          <w:sz w:val="20"/>
          <w:szCs w:val="20"/>
          <w:color w:val="auto"/>
        </w:rPr>
      </w:pPr>
    </w:p>
    <w:p>
      <w:pPr>
        <w:jc w:val="both"/>
        <w:ind w:right="2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Surviving Company LLC Agreement, and the terms and conditions set forth in the Surviving Company LLC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transactions contemplated thereby, including the Up-C Structure, be, and hereby are, adopted and approved in all respects by the above-signed members, which includes the members constituting the Requisite Consent; and further</w:t>
      </w:r>
    </w:p>
    <w:p>
      <w:pPr>
        <w:spacing w:after="0" w:line="170" w:lineRule="exact"/>
        <w:rPr>
          <w:sz w:val="20"/>
          <w:szCs w:val="20"/>
          <w:color w:val="auto"/>
        </w:rPr>
      </w:pPr>
    </w:p>
    <w:p>
      <w:pPr>
        <w:ind w:right="1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allocation of the Merger Consideration, to consist of 208,200,000 shares of Bakkt Pubco Class A Shares, to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Bakkt Interests pursuant to and in the manner prescribed by the Merger Agreement, as shall be calculated and set forth on the Final Merger Consideration Spreadsheet, is hereby adopted and approved in all respects by the above-signed members, which includes the members constituting the Requisite Consent (provided that, for the avoidance of doubt, and notwithstanding the method of allocating the Merger Consideration, the Merger shall not be deemed to constitute a Liquidity Event within the meaning of the Existing LLC Agreement); and further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920"/>
          </w:cols>
          <w:pgMar w:left="480" w:top="264" w:right="499" w:bottom="1440" w:gutter="0" w:footer="0" w:header="0"/>
        </w:sectPr>
      </w:pPr>
    </w:p>
    <w:bookmarkStart w:id="383" w:name="page384"/>
    <w:bookmarkEnd w:id="383"/>
    <w:p>
      <w:pPr>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RESOLVED</w:t>
      </w:r>
      <w:r>
        <w:rPr>
          <w:rFonts w:ascii="Times New Roman" w:cs="Times New Roman" w:eastAsia="Times New Roman" w:hAnsi="Times New Roman"/>
          <w:sz w:val="18"/>
          <w:szCs w:val="18"/>
          <w:color w:val="auto"/>
        </w:rPr>
        <w:t>, the above-signed Members, including the members constituting the Requisite Consent, acknowledge and agree that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Consideration Spreadsheet (as defined in the Merger Agreement) to be prepared by the Company, in consultation with the Company’s senior management and advisors, shall be determinative of the amount of Merger Consideration (as defined in the Merger Agreement) to be received by each member, absent manifest mathematical error.</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0740"/>
          </w:cols>
          <w:pgMar w:left="480" w:top="264" w:right="679"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MERGER AGREEMENT</w:t>
      </w:r>
    </w:p>
    <w:p>
      <w:pPr>
        <w:sectPr>
          <w:pgSz w:w="11900" w:h="16838" w:orient="portrait"/>
          <w:cols w:equalWidth="0" w:num="1">
            <w:col w:w="9019"/>
          </w:cols>
          <w:pgMar w:left="1440" w:top="264" w:right="1440" w:bottom="1440" w:gutter="0" w:footer="0" w:header="0"/>
        </w:sectPr>
      </w:pPr>
    </w:p>
    <w:bookmarkStart w:id="385" w:name="page386"/>
    <w:bookmarkEnd w:id="38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SUBSCRIPTION AGREEMENT</w:t>
      </w:r>
    </w:p>
    <w:p>
      <w:pPr>
        <w:sectPr>
          <w:pgSz w:w="11900" w:h="16838" w:orient="portrait"/>
          <w:cols w:equalWidth="0" w:num="1">
            <w:col w:w="9019"/>
          </w:cols>
          <w:pgMar w:left="1440" w:top="264" w:right="1440" w:bottom="1440" w:gutter="0" w:footer="0" w:header="0"/>
        </w:sectPr>
      </w:pPr>
    </w:p>
    <w:bookmarkStart w:id="386" w:name="page387"/>
    <w:bookmarkEnd w:id="38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EXCHANGE AGREEMENT</w:t>
      </w:r>
    </w:p>
    <w:p>
      <w:pPr>
        <w:sectPr>
          <w:pgSz w:w="11900" w:h="16838" w:orient="portrait"/>
          <w:cols w:equalWidth="0" w:num="1">
            <w:col w:w="9019"/>
          </w:cols>
          <w:pgMar w:left="1440" w:top="264" w:right="1440" w:bottom="1440" w:gutter="0" w:footer="0" w:header="0"/>
        </w:sectPr>
      </w:pPr>
    </w:p>
    <w:bookmarkStart w:id="387" w:name="page388"/>
    <w:bookmarkEnd w:id="38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ectPr>
          <w:pgSz w:w="11900" w:h="16838" w:orient="portrait"/>
          <w:cols w:equalWidth="0" w:num="1">
            <w:col w:w="9019"/>
          </w:cols>
          <w:pgMar w:left="1440" w:top="264" w:right="1440"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EXHIBIT 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SUPPORT AGREEMENT</w:t>
      </w:r>
    </w:p>
    <w:p>
      <w:pPr>
        <w:sectPr>
          <w:pgSz w:w="11900" w:h="16838" w:orient="portrait"/>
          <w:cols w:equalWidth="0" w:num="1">
            <w:col w:w="9019"/>
          </w:cols>
          <w:pgMar w:left="1440" w:top="263" w:right="1440"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STOCKHOLDERS AGREEMENT</w:t>
      </w:r>
    </w:p>
    <w:p>
      <w:pPr>
        <w:sectPr>
          <w:pgSz w:w="11900" w:h="16838" w:orient="portrait"/>
          <w:cols w:equalWidth="0" w:num="1">
            <w:col w:w="9019"/>
          </w:cols>
          <w:pgMar w:left="1440" w:top="264" w:right="1440" w:bottom="1440" w:gutter="0" w:footer="0" w:header="0"/>
        </w:sectPr>
      </w:pPr>
    </w:p>
    <w:bookmarkStart w:id="390" w:name="page391"/>
    <w:bookmarkEnd w:id="3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VOTING AGREEMENT</w:t>
      </w:r>
    </w:p>
    <w:p>
      <w:pPr>
        <w:sectPr>
          <w:pgSz w:w="11900" w:h="16838" w:orient="portrait"/>
          <w:cols w:equalWidth="0" w:num="1">
            <w:col w:w="9019"/>
          </w:cols>
          <w:pgMar w:left="1440" w:top="264" w:right="1440" w:bottom="1440" w:gutter="0" w:footer="0" w:header="0"/>
        </w:sectPr>
      </w:pPr>
    </w:p>
    <w:bookmarkStart w:id="391" w:name="page392"/>
    <w:bookmarkEnd w:id="3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TAX RECEIVABLE AGREEMENT</w:t>
      </w:r>
    </w:p>
    <w:p>
      <w:pPr>
        <w:sectPr>
          <w:pgSz w:w="11900" w:h="16838" w:orient="portrait"/>
          <w:cols w:equalWidth="0" w:num="1">
            <w:col w:w="9019"/>
          </w:cols>
          <w:pgMar w:left="1440" w:top="264" w:right="1440" w:bottom="1440" w:gutter="0" w:footer="0" w:header="0"/>
        </w:sectPr>
      </w:pPr>
    </w:p>
    <w:bookmarkStart w:id="392" w:name="page393"/>
    <w:bookmarkEnd w:id="39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SURVIVING COMPANY AGREEMENT</w:t>
      </w:r>
    </w:p>
    <w:p>
      <w:pPr>
        <w:sectPr>
          <w:pgSz w:w="11900" w:h="16838" w:orient="portrait"/>
          <w:cols w:equalWidth="0" w:num="1">
            <w:col w:w="9019"/>
          </w:cols>
          <w:pgMar w:left="1440" w:top="264" w:right="1440" w:bottom="1440" w:gutter="0" w:footer="0" w:header="0"/>
        </w:sectPr>
      </w:pPr>
    </w:p>
    <w:bookmarkStart w:id="393" w:name="page394"/>
    <w:bookmarkEnd w:id="3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B</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JOINDER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4" w:right="1440" w:bottom="1440" w:gutter="0" w:footer="0" w:header="0"/>
        </w:sectPr>
      </w:pPr>
    </w:p>
    <w:bookmarkStart w:id="394" w:name="page395"/>
    <w:bookmarkEnd w:id="3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JOINDER AGREEMENT</w:t>
      </w:r>
    </w:p>
    <w:p>
      <w:pPr>
        <w:spacing w:after="0" w:line="225"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Support Agreement, dated as of January 11, 2021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by and among VPC Impact Acquisition Holdings, a Cayman Islands exempted company (together with its successors, including the resulting Delaware corporation after the consummation of the Domestication), Bakkt Holdings, LLC (together with its successors, including the surviving limited liability company in the Merger,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and the members of Bakkt Opco party thereto, as the same may be amended, supplemented or otherwise modified from time to time. Capitalized terms used herein and not otherwise defined shall have the meaning ascribed to them in the Support Agreement.</w:t>
      </w:r>
    </w:p>
    <w:p>
      <w:pPr>
        <w:spacing w:after="0" w:line="18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a “Restricted Party” under, the Support Agreement as of the date hereof and shall have all of the rights and obligations of a Restricted Party as if it had executed the Support Agreement. The Joining Party hereby ratifies, as of the date hereof, and agrees to be bound by, all of the terms, provisions and conditions contained in the Support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Joinder Agreement as of the date written below.</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304800</wp:posOffset>
            </wp:positionV>
            <wp:extent cx="27686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287655</wp:posOffset>
            </wp:positionV>
            <wp:extent cx="27686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576580</wp:posOffset>
            </wp:positionV>
            <wp:extent cx="27686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865505</wp:posOffset>
            </wp:positionV>
            <wp:extent cx="27686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ectPr>
          <w:pgSz w:w="11900" w:h="16838" w:orient="portrait"/>
          <w:cols w:equalWidth="0" w:num="1">
            <w:col w:w="10920"/>
          </w:cols>
          <w:pgMar w:left="480" w:top="264" w:right="49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INSIDER LETTER</w:t>
      </w:r>
    </w:p>
    <w:p>
      <w:pPr>
        <w:spacing w:after="0" w:line="225"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This Amendment, dated as of January 11, 2021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that certain letter agreement, dated September 22, 2020, by and among VPC Impact Acquisition Holdings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VPC Impact Acquisition Holdings,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the undersigned individuals, each of whom is a member of the Company’s board of directors and/or management team (each, an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Original Sponsor Letter</w:t>
      </w:r>
      <w:r>
        <w:rPr>
          <w:rFonts w:ascii="Times New Roman" w:cs="Times New Roman" w:eastAsia="Times New Roman" w:hAnsi="Times New Roman"/>
          <w:sz w:val="18"/>
          <w:szCs w:val="18"/>
          <w:color w:val="auto"/>
        </w:rPr>
        <w:t>”) and Bakkt Holdings, LLC, a Delaware limited liability company (together with any successor thereto upon the consummation of the Merger (as defined below),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and together with the Insiders, the Sponsor and the Company,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otherwise defined herein have the meanings set forth in the Original Sponsor Letter.</w:t>
      </w:r>
    </w:p>
    <w:p>
      <w:pPr>
        <w:spacing w:after="0" w:line="184" w:lineRule="exact"/>
        <w:rPr>
          <w:sz w:val="20"/>
          <w:szCs w:val="20"/>
          <w:color w:val="auto"/>
        </w:rPr>
      </w:pPr>
    </w:p>
    <w:p>
      <w:pPr>
        <w:ind w:right="140" w:firstLine="436"/>
        <w:spacing w:after="0" w:line="258" w:lineRule="auto"/>
        <w:rPr>
          <w:sz w:val="20"/>
          <w:szCs w:val="20"/>
          <w:color w:val="auto"/>
        </w:rPr>
      </w:pPr>
      <w:r>
        <w:rPr>
          <w:rFonts w:ascii="Times New Roman" w:cs="Times New Roman" w:eastAsia="Times New Roman" w:hAnsi="Times New Roman"/>
          <w:sz w:val="18"/>
          <w:szCs w:val="18"/>
          <w:color w:val="auto"/>
        </w:rPr>
        <w:t>WHEREAS, this Amendment and Agreement is being delivered in connection with that certain Agreement and Plan of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date hereof, by and among the Company, Bakkt Opco and Pylon Merger Company LLC, a Delaware limited liability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among other matters, Merger Sub will merge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continuing as the surviving limited liability company and a subsidiary of the Company;</w:t>
      </w:r>
    </w:p>
    <w:p>
      <w:pPr>
        <w:spacing w:after="0" w:line="180"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WHEREAS, pursuant to Section 13 of the Original Sponsor Letter, the Original Sponsor Letter may be amended by an instrument in writing and signed by the Parties; and</w:t>
      </w:r>
    </w:p>
    <w:p>
      <w:pPr>
        <w:spacing w:after="0" w:line="162"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WHEREAS, in order to induce the Company and Bakkt Opco to enter into the Merger Agreement, the Parties wish to amend the Original Sponsor Letter on the terms set forth herein.</w:t>
      </w:r>
    </w:p>
    <w:p>
      <w:pPr>
        <w:spacing w:after="0" w:line="162"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recitals, which shall constitute a part of this Amendment, and the mutual promises contained in this Amendment, and intending to be legally bound thereby, the Parties agree as follows:</w:t>
      </w:r>
    </w:p>
    <w:p>
      <w:pPr>
        <w:spacing w:after="0" w:line="69" w:lineRule="exact"/>
        <w:rPr>
          <w:sz w:val="20"/>
          <w:szCs w:val="20"/>
          <w:color w:val="auto"/>
        </w:rPr>
      </w:pPr>
    </w:p>
    <w:p>
      <w:pPr>
        <w:ind w:left="440" w:hanging="433"/>
        <w:spacing w:after="0"/>
        <w:tabs>
          <w:tab w:leader="none" w:pos="4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Amendments to the Original Sponsor Letter</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Original Sponsor Letter is hereby amended in its entirety as follows:</w:t>
      </w:r>
    </w:p>
    <w:p>
      <w:pPr>
        <w:spacing w:after="0" w:line="113" w:lineRule="exact"/>
        <w:rPr>
          <w:rFonts w:ascii="Times New Roman" w:cs="Times New Roman" w:eastAsia="Times New Roman" w:hAnsi="Times New Roman"/>
          <w:sz w:val="18"/>
          <w:szCs w:val="18"/>
          <w:color w:val="auto"/>
        </w:rPr>
      </w:pPr>
    </w:p>
    <w:p>
      <w:pPr>
        <w:ind w:left="980"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Sponsor and each Insider agrees that if the Company seeks shareholder approval of a proposed Business Combination, then in connection with such proposed Business Combination, it, he or she shall not redeem any Ordinary Shares owned by it, him or her in connection with such shareholder approval. If the Company seeks to consummate a proposed Business Combination by engaging in a tender offer, the Sponsor and each Insider agrees that it, he or she will not sell or tender any Ordinary Shares owned by it, him or her in connection therewith.”</w:t>
      </w:r>
    </w:p>
    <w:p>
      <w:pPr>
        <w:spacing w:after="0" w:line="90" w:lineRule="exact"/>
        <w:rPr>
          <w:rFonts w:ascii="Times New Roman" w:cs="Times New Roman" w:eastAsia="Times New Roman" w:hAnsi="Times New Roman"/>
          <w:sz w:val="18"/>
          <w:szCs w:val="18"/>
          <w:color w:val="auto"/>
        </w:rPr>
      </w:pPr>
    </w:p>
    <w:p>
      <w:pPr>
        <w:ind w:left="980" w:right="560" w:hanging="545"/>
        <w:spacing w:after="0" w:line="278" w:lineRule="auto"/>
        <w:tabs>
          <w:tab w:leader="none" w:pos="98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Sponsor Letter is hereby amended by adding the following Sections 21 through 24 immediately following the existing Section 20:</w:t>
      </w:r>
    </w:p>
    <w:p>
      <w:pPr>
        <w:spacing w:after="0" w:line="55" w:lineRule="exact"/>
        <w:rPr>
          <w:rFonts w:ascii="Times New Roman" w:cs="Times New Roman" w:eastAsia="Times New Roman" w:hAnsi="Times New Roman"/>
          <w:sz w:val="18"/>
          <w:szCs w:val="18"/>
          <w:color w:val="auto"/>
        </w:rPr>
      </w:pPr>
    </w:p>
    <w:p>
      <w:pPr>
        <w:ind w:left="98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Waiver of Anti-Dilution Rights</w:t>
      </w:r>
      <w:r>
        <w:rPr>
          <w:rFonts w:ascii="Times New Roman" w:cs="Times New Roman" w:eastAsia="Times New Roman" w:hAnsi="Times New Roman"/>
          <w:sz w:val="18"/>
          <w:szCs w:val="18"/>
          <w:color w:val="auto"/>
        </w:rPr>
        <w:t>. Section 17.2 of the Amended and Restated Memorandum and Articles of Association of the Company, dated as of September 22, 2020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provides that Class B Shares of the Company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shall automatically convert into Class A Shares of the Company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on a one-for-one basis (the “</w:t>
      </w:r>
      <w:r>
        <w:rPr>
          <w:rFonts w:ascii="Times New Roman" w:cs="Times New Roman" w:eastAsia="Times New Roman" w:hAnsi="Times New Roman"/>
          <w:sz w:val="18"/>
          <w:szCs w:val="18"/>
          <w:u w:val="single" w:color="auto"/>
          <w:color w:val="auto"/>
        </w:rPr>
        <w:t>Initial Conversion Ratio</w:t>
      </w:r>
      <w:r>
        <w:rPr>
          <w:rFonts w:ascii="Times New Roman" w:cs="Times New Roman" w:eastAsia="Times New Roman" w:hAnsi="Times New Roman"/>
          <w:sz w:val="18"/>
          <w:szCs w:val="18"/>
          <w:color w:val="auto"/>
        </w:rPr>
        <w:t>”) concurrently with or immediately following the consummation of a Business Combination (as defined in the Charter) and Section 17.3 of the Charter provides that the Initial Conversion Ratio in the case that additional Class A Shares or any other equity-linked securities, are issued or deemed issued in excess of the amounts issued in the Company’s initial public offering of securities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related to or in connection with the closing of a Business Combination,</w:t>
      </w:r>
    </w:p>
    <w:p>
      <w:pPr>
        <w:sectPr>
          <w:pgSz w:w="11900" w:h="16838" w:orient="portrait"/>
          <w:cols w:equalWidth="0" w:num="1">
            <w:col w:w="10920"/>
          </w:cols>
          <w:pgMar w:left="480" w:top="117" w:right="499" w:bottom="1440" w:gutter="0" w:footer="0" w:header="0"/>
        </w:sectPr>
      </w:pPr>
    </w:p>
    <w:bookmarkStart w:id="396" w:name="page397"/>
    <w:bookmarkEnd w:id="396"/>
    <w:p>
      <w:pPr>
        <w:ind w:lef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all Class B Shares in issue shall automatically convert into Class A Shares at the time of the closing of a Business Combination, the ratio for which the Class B Shares shall convert into Class A Shares will be adjusted so that the number of Class A Shares issuable upon conversion of all Class B Shares will equal, in the aggregate, 25% of the sum of: (a) the total number of all Class A Shares in issue upon completion of the IPO (including any Class A Shares issued pursuant to the Over-Allotment Option (as defined in the Charter) and excluding any Class A Shares underlying the private placement warrants issued to the Sponsor); plus (b) all Class A Shares and equity-linked securities issued or deemed issued in connection with a Business Combination, excluding any shares or equity-linked securities issued, or to be issued, to any seller in a Business Combination, any private placement-equivalent warrants issued to the Sponsor or an affiliate of the Sponsor or to officers and directors upon the conversion of working capital loans made to the Company; minus (c) the number of public shares redeemed in connection with a Business Combination, provided that such conversion of Class B Shares into Class A Shares shall never be less than the Initial Conversion Ratio. As of and conditioned upon the Closing (as such term is defined in the Merger Agreement), the Sponsor and each Insider hereby irrevocably relinquishes and waives any and all rights the Sponsor and each Insider has or will have under Section 17.3 of the Charter to receive shares of Class A Common Stock in excess of the number issuable at the Initial Conversion Ratio upon conversion of the existing Class B Common Stock held by him, her or it, as applicable, in connection with the Closing (as defined in the Merger Agreement), and, as a result, the shares of Class B Common Stock shall convert into shares of Class A Common Stock (or such equivalent security) at Closing on a one-for-one basis, such that, as a result of such conversion, all outstanding shares of Class B Common Stock shall collectively convert into 5,184,300 shares of Class A Common Stock.</w:t>
      </w:r>
    </w:p>
    <w:p>
      <w:pPr>
        <w:spacing w:after="0" w:line="81" w:lineRule="exact"/>
        <w:rPr>
          <w:sz w:val="20"/>
          <w:szCs w:val="20"/>
          <w:color w:val="auto"/>
        </w:rPr>
      </w:pPr>
    </w:p>
    <w:p>
      <w:pPr>
        <w:ind w:left="20" w:right="500"/>
        <w:spacing w:after="0" w:line="278" w:lineRule="auto"/>
        <w:rPr>
          <w:sz w:val="20"/>
          <w:szCs w:val="20"/>
          <w:color w:val="auto"/>
        </w:rPr>
      </w:pPr>
      <w:r>
        <w:rPr>
          <w:rFonts w:ascii="Times New Roman" w:cs="Times New Roman" w:eastAsia="Times New Roman" w:hAnsi="Times New Roman"/>
          <w:sz w:val="18"/>
          <w:szCs w:val="18"/>
          <w:color w:val="auto"/>
        </w:rPr>
        <w:t xml:space="preserve">For the avoidance of doubt, the term “Business Combination”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include the transactions contemplated by the Merger Agreement.</w:t>
      </w:r>
    </w:p>
    <w:p>
      <w:pPr>
        <w:spacing w:after="0" w:line="55" w:lineRule="exact"/>
        <w:rPr>
          <w:sz w:val="20"/>
          <w:szCs w:val="20"/>
          <w:color w:val="auto"/>
        </w:rPr>
      </w:pPr>
    </w:p>
    <w:p>
      <w:pPr>
        <w:ind w:left="260" w:hanging="230"/>
        <w:spacing w:after="0"/>
        <w:tabs>
          <w:tab w:leader="none" w:pos="2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100" w:firstLine="10"/>
        <w:spacing w:after="0" w:line="254" w:lineRule="auto"/>
        <w:tabs>
          <w:tab w:leader="none" w:pos="26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Sponsor and each Insider (each, a “</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solely in their capacity as holders of Class B Shares and not in any other capacity (including, without limitation, in the capacity as directors) and, in respect of each Insider, solely to the extent such Insider directly holds Class B Shares, irrevocably and unconditionally agrees, during the period beginning on January 11, 2021, and ending on the Expiration Date (as defined below)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shareholders of the Company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to cause to be present in person or represented by proxy and to vote or cause to be voted the Class B Shares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of such Restricted Party that are entitled to vote, in each case as follows:</w:t>
      </w:r>
    </w:p>
    <w:p>
      <w:pPr>
        <w:spacing w:after="0" w:line="76" w:lineRule="exact"/>
        <w:rPr>
          <w:rFonts w:ascii="Times New Roman" w:cs="Times New Roman" w:eastAsia="Times New Roman" w:hAnsi="Times New Roman"/>
          <w:sz w:val="18"/>
          <w:szCs w:val="18"/>
          <w:color w:val="auto"/>
        </w:rPr>
      </w:pPr>
    </w:p>
    <w:p>
      <w:pPr>
        <w:ind w:left="680" w:hanging="214"/>
        <w:spacing w:after="0"/>
        <w:tabs>
          <w:tab w:leader="none" w:pos="68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each of the Voting Matters (as defined in the Merger Agreement);</w:t>
      </w:r>
    </w:p>
    <w:p>
      <w:pPr>
        <w:spacing w:after="0" w:line="113" w:lineRule="exact"/>
        <w:rPr>
          <w:rFonts w:ascii="Times New Roman" w:cs="Times New Roman" w:eastAsia="Times New Roman" w:hAnsi="Times New Roman"/>
          <w:sz w:val="18"/>
          <w:szCs w:val="18"/>
          <w:color w:val="auto"/>
        </w:rPr>
      </w:pPr>
    </w:p>
    <w:p>
      <w:pPr>
        <w:ind w:left="460" w:right="20" w:firstLine="6"/>
        <w:spacing w:after="0" w:line="263" w:lineRule="auto"/>
        <w:tabs>
          <w:tab w:leader="none" w:pos="722"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a Meeting at which there is a proposal for shareholders of the Company to approve and adopt the Voting Matters to a later date if there are not sufficient votes to approve and adopt the Voting Matters, or if there are not sufficient shares present in person or represented by proxy at such Meeting to constitute a quorum;</w:t>
      </w:r>
    </w:p>
    <w:p>
      <w:pPr>
        <w:spacing w:after="0" w:line="68" w:lineRule="exact"/>
        <w:rPr>
          <w:rFonts w:ascii="Times New Roman" w:cs="Times New Roman" w:eastAsia="Times New Roman" w:hAnsi="Times New Roman"/>
          <w:sz w:val="18"/>
          <w:szCs w:val="18"/>
          <w:color w:val="auto"/>
        </w:rPr>
      </w:pPr>
    </w:p>
    <w:p>
      <w:pPr>
        <w:ind w:left="460" w:right="500" w:firstLine="6"/>
        <w:spacing w:after="0" w:line="278" w:lineRule="auto"/>
        <w:tabs>
          <w:tab w:leader="none" w:pos="772"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providing for an Alternative Transaction (as defined in the Merger Agreement) or the adoption of an agreement to enter into an Alternative Transaction; and</w:t>
      </w:r>
    </w:p>
    <w:p>
      <w:pPr>
        <w:spacing w:after="0" w:line="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940"/>
          </w:cols>
          <w:pgMar w:left="1440" w:top="268" w:right="519" w:bottom="1440" w:gutter="0" w:footer="0" w:header="0"/>
        </w:sectPr>
      </w:pPr>
    </w:p>
    <w:bookmarkStart w:id="397" w:name="page398"/>
    <w:bookmarkEnd w:id="397"/>
    <w:p>
      <w:pPr>
        <w:ind w:left="460" w:right="120" w:firstLine="6"/>
        <w:spacing w:after="0" w:line="258" w:lineRule="auto"/>
        <w:tabs>
          <w:tab w:leader="none" w:pos="762"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for voting in favor of the Voting Matters, against any proposal for any amendment or modification of the Company’s current Organizational Documents (as defined in the Merger Agreement) that would change the voting rights of any Class A Shares or Class B Shares or the number of votes required to approve any proposal, including the vote required to approve and adopt any of the Voting Matters.</w:t>
      </w:r>
    </w:p>
    <w:p>
      <w:pPr>
        <w:spacing w:after="0" w:line="72" w:lineRule="exact"/>
        <w:rPr>
          <w:rFonts w:ascii="Times New Roman" w:cs="Times New Roman" w:eastAsia="Times New Roman" w:hAnsi="Times New Roman"/>
          <w:sz w:val="18"/>
          <w:szCs w:val="18"/>
          <w:color w:val="auto"/>
        </w:rPr>
      </w:pPr>
    </w:p>
    <w:p>
      <w:pPr>
        <w:ind w:left="20" w:firstLine="10"/>
        <w:spacing w:after="0" w:line="255" w:lineRule="auto"/>
        <w:tabs>
          <w:tab w:leader="none" w:pos="272"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required to be cast or consent or dissent in writing required to be expressed pursuant to this Section 22 shall be cast or expressed in accordance with the applicable procedures relating thereto so as to ensure that it is duly counted for purposes of determining that a quorum is present (if applicable) and for purposes of recording the results of that vote. For the avoidance of doubt, nothing contained herein requires any Restricted Party (or entitles any proxy of such Restricted Party) to convert, exercise or exchange any warrants or convertible securities in order to obtain any underlying Class B Shares.</w:t>
      </w:r>
    </w:p>
    <w:p>
      <w:pPr>
        <w:spacing w:after="0" w:line="77" w:lineRule="exact"/>
        <w:rPr>
          <w:rFonts w:ascii="Times New Roman" w:cs="Times New Roman" w:eastAsia="Times New Roman" w:hAnsi="Times New Roman"/>
          <w:sz w:val="18"/>
          <w:szCs w:val="18"/>
          <w:color w:val="auto"/>
        </w:rPr>
      </w:pPr>
    </w:p>
    <w:p>
      <w:pPr>
        <w:ind w:left="20" w:right="240" w:firstLine="10"/>
        <w:spacing w:after="0" w:line="308" w:lineRule="auto"/>
        <w:tabs>
          <w:tab w:leader="none" w:pos="262"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Restricted Party agrees not to enter into any commitment, agreement, understanding or similar arrangement with any Person to vote or give voting instructions or express consent or dissent in writing in any manner inconsistent with the terms of this Section 22.</w:t>
      </w:r>
    </w:p>
    <w:p>
      <w:pPr>
        <w:spacing w:after="0" w:line="33" w:lineRule="exact"/>
        <w:rPr>
          <w:rFonts w:ascii="Times New Roman" w:cs="Times New Roman" w:eastAsia="Times New Roman" w:hAnsi="Times New Roman"/>
          <w:sz w:val="17"/>
          <w:szCs w:val="17"/>
          <w:color w:val="auto"/>
        </w:rPr>
      </w:pPr>
    </w:p>
    <w:p>
      <w:pPr>
        <w:ind w:left="280" w:hanging="250"/>
        <w:spacing w:after="0"/>
        <w:tabs>
          <w:tab w:leader="none" w:pos="2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earliest to occur of the following shall be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 the Effective Time (as defined in the Merger Agreement) and</w:t>
      </w:r>
    </w:p>
    <w:p>
      <w:pPr>
        <w:spacing w:after="0" w:line="25" w:lineRule="exact"/>
        <w:rPr>
          <w:rFonts w:ascii="Times New Roman" w:cs="Times New Roman" w:eastAsia="Times New Roman" w:hAnsi="Times New Roman"/>
          <w:sz w:val="18"/>
          <w:szCs w:val="18"/>
          <w:color w:val="auto"/>
        </w:rPr>
      </w:pPr>
    </w:p>
    <w:p>
      <w:pPr>
        <w:ind w:left="280" w:hanging="250"/>
        <w:spacing w:after="0"/>
        <w:tabs>
          <w:tab w:leader="none" w:pos="2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Merger Agreement pursuant to Article VIII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thereof.</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Public Announcements; Filings; Disclosures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10"/>
        <w:spacing w:after="0" w:line="251" w:lineRule="auto"/>
        <w:tabs>
          <w:tab w:leader="none" w:pos="26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not issue any press release or make any other public announcement or public statement (a “</w:t>
      </w:r>
      <w:r>
        <w:rPr>
          <w:rFonts w:ascii="Times New Roman" w:cs="Times New Roman" w:eastAsia="Times New Roman" w:hAnsi="Times New Roman"/>
          <w:sz w:val="18"/>
          <w:szCs w:val="18"/>
          <w:u w:val="single" w:color="auto"/>
          <w:color w:val="auto"/>
        </w:rPr>
        <w:t>Public Communication</w:t>
      </w:r>
      <w:r>
        <w:rPr>
          <w:rFonts w:ascii="Times New Roman" w:cs="Times New Roman" w:eastAsia="Times New Roman" w:hAnsi="Times New Roman"/>
          <w:sz w:val="18"/>
          <w:szCs w:val="18"/>
          <w:color w:val="auto"/>
        </w:rPr>
        <w:t xml:space="preserve">”) with respect to this Agreement, the Merger Agreement, the other Transaction Documents (as defined in the Merger Agreement) or the transactions contemplated by this Agreement, the Merger Agreement or the other Transaction Documents, without the prior written consent of the Company and Bakkt Opco, except (i) as required by applicable law or court process, in which case Sponsor shall use its reasonable efforts to provide the Company and Bakkt Opco and their respective legal counsel with a reasonable opportunity to review and comment on such Public Communication in advance of its issuance and shall consider in good faith any such comments or (ii) with respect to a Public Communication that is consistent with prior disclosures by the Company and Bakkt Opco;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any disclosure required to be made by Sponsor to a Governmental Authority (as defined in the Merger Agreement) so long as such disclosure is consistent with the terms of this Agreement and the Merger Agreement and the disclosures made by Bakkt Opco and the Company pursuant to the terms of the Merger Agreement.</w:t>
      </w:r>
    </w:p>
    <w:p>
      <w:pPr>
        <w:spacing w:after="0" w:line="82" w:lineRule="exact"/>
        <w:rPr>
          <w:rFonts w:ascii="Times New Roman" w:cs="Times New Roman" w:eastAsia="Times New Roman" w:hAnsi="Times New Roman"/>
          <w:sz w:val="18"/>
          <w:szCs w:val="18"/>
          <w:color w:val="auto"/>
        </w:rPr>
      </w:pPr>
    </w:p>
    <w:p>
      <w:pPr>
        <w:ind w:left="20" w:right="20" w:firstLine="10"/>
        <w:spacing w:after="0" w:line="251" w:lineRule="auto"/>
        <w:tabs>
          <w:tab w:leader="none" w:pos="27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hereby (i) consents to and authorizes Bakkt Opco and the Company to publish and disclose in any disclosure required by the Commission and in the proxy statement prepared by the Company and filed with the Commission relating to the Meeting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Sponsor’s identity and ownership of Subject Shares and Sponsor’s obligations under this Agreement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(ii) consents to the filing of this Agreement to the extent required by applicable law to be filed with the Commission or any Governmental Authority relating to the Merger, and (iii) agrees to reasonably cooperate with the Company in connection with such filings, including providing Sponsor Information reasonably requested by the Company. The Company shall use its reasonable best efforts to provide Sponsor with a reasonable opportunity to review and comment on any Sponsor Information of Sponsor included in such disclosure in advance of its filing. As promptly as practicable, Sponsor shall notify the Company of any required corrections with respect to any Sponsor Information supplied by Sponsor, if and to the extent Sponsor becomes aware that any Sponsor Information shall have become false or misleading in any material respect.</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960"/>
          </w:cols>
          <w:pgMar w:left="1440" w:top="268" w:right="499" w:bottom="1440" w:gutter="0" w:footer="0" w:header="0"/>
        </w:sectPr>
      </w:pPr>
    </w:p>
    <w:bookmarkStart w:id="398" w:name="page399"/>
    <w:bookmarkEnd w:id="398"/>
    <w:p>
      <w:pPr>
        <w:ind w:left="440"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Sponsor acknowledges that Sponsor has read Section 5.11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xml:space="preserve">) of the Merger Agreement. In addition, Sponsor, solely in Sponsor’s capacity as a shareholder of the Company, agrees not to, directly or indirectly, take any action that would violate Section 5.11 of the Merger Agreement if Sponsor were deemed a “Representative” of the Company for purposes of Section 5.11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shall not serve to limit or restrict any actions taken by Sponsor in any capacity other than as a shareholder of the Company, to the extent such actions are in compliance with or required under Section 5.11 of the Merger Agreement.</w:t>
      </w:r>
    </w:p>
    <w:p>
      <w:pPr>
        <w:spacing w:after="0" w:line="88" w:lineRule="exact"/>
        <w:rPr>
          <w:sz w:val="20"/>
          <w:szCs w:val="20"/>
          <w:color w:val="auto"/>
        </w:rPr>
      </w:pPr>
    </w:p>
    <w:p>
      <w:pPr>
        <w:ind w:left="440" w:hanging="433"/>
        <w:spacing w:after="0" w:line="252" w:lineRule="auto"/>
        <w:tabs>
          <w:tab w:leader="none" w:pos="4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The provisions of the Original Sponsor Letter, as amended by this Amendment, remain in full force and effect. From and after the date hereof, references to “this Letter Agreement” in the Original Sponsor Letter shall be deemed references to the Original Sponsor Letter, as amended by this Amendment. Notwithstanding anything herein to the contrary, and for the avoidance of doubt, (x) upon the Expiration Date, Bakkt Opco shall automatically be removed as a party to this Amendment without any action on the part of any Party and (y) in the event the Merger Agreement is terminated pursuant to the terms thereof for any reason, this Amendment shall automatically terminate and cease to be of further force and effect. Each of the Parties agrees that, prior to the termination of the Merger Agreement, Bakkt Opco shall have the right to specifically enforce any of the obligations of the Restricted Parties to the Company under Sections 1, 7, 11, 21, 22, 23 and 24 of the Original Sponsor Letter, as amended by this Amendment.</w:t>
      </w:r>
    </w:p>
    <w:p>
      <w:pPr>
        <w:spacing w:after="0" w:line="93" w:lineRule="exact"/>
        <w:rPr>
          <w:rFonts w:ascii="Times New Roman" w:cs="Times New Roman" w:eastAsia="Times New Roman" w:hAnsi="Times New Roman"/>
          <w:sz w:val="18"/>
          <w:szCs w:val="18"/>
          <w:color w:val="auto"/>
        </w:rPr>
      </w:pPr>
    </w:p>
    <w:p>
      <w:pPr>
        <w:ind w:left="440" w:right="320" w:hanging="433"/>
        <w:spacing w:after="0" w:line="263" w:lineRule="auto"/>
        <w:tabs>
          <w:tab w:leader="none" w:pos="4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and the Original Sponsor Letter, as amended pursuant to this Amendment, the Merger Agreement and the Transaction Documents (as defined in the Merger Agreement) constitute the entire agreement and supersede all prior agreements and understandings, both written and oral, among the Parties with respect to the subject matter hereof.</w:t>
      </w:r>
    </w:p>
    <w:p>
      <w:pPr>
        <w:spacing w:after="0" w:line="81" w:lineRule="exact"/>
        <w:rPr>
          <w:rFonts w:ascii="Times New Roman" w:cs="Times New Roman" w:eastAsia="Times New Roman" w:hAnsi="Times New Roman"/>
          <w:sz w:val="18"/>
          <w:szCs w:val="18"/>
          <w:color w:val="auto"/>
        </w:rPr>
      </w:pPr>
    </w:p>
    <w:p>
      <w:pPr>
        <w:ind w:left="440" w:right="160" w:hanging="433"/>
        <w:spacing w:after="0" w:line="263" w:lineRule="auto"/>
        <w:tabs>
          <w:tab w:leader="none" w:pos="4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first sentence of the second paragraph of Section 2, the last sentence of Section 13 and Sections 14, 15, 16, 17, 18, 19 and 20 of the Original Sponsor Letter are hereby incorporated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set forth at length herein. Descriptive headings are for convenience only and shall not control or affect the meaning or construction of any provision of this Amendment.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each of the undersigned has caused this Amendment to be duly executed as of the day and year first above written.</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VPC IMPACT ACQUISITION HOLDINGS SPONSOR,</w:t>
      </w:r>
    </w:p>
    <w:p>
      <w:pPr>
        <w:spacing w:after="0" w:line="4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2" w:lineRule="exact"/>
        <w:rPr>
          <w:sz w:val="20"/>
          <w:szCs w:val="20"/>
          <w:color w:val="auto"/>
        </w:rPr>
      </w:pPr>
    </w:p>
    <w:tbl>
      <w:tblPr>
        <w:tblLayout w:type="fixed"/>
        <w:tblInd w:w="612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Victory Park Management, LLC</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R. Zemnick</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Scott R. Zemnick</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87"/>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Martin</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Martin</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Gordon Watson</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Watson</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Olibia Stamatoglou</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Olibia Stamatoglou</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Adrienne Harris</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Adrienne Harris</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Kai Schmitz</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Kai Schmitz</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Kurt Summers</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Kurt Summers</w:t>
            </w:r>
          </w:p>
        </w:tc>
      </w:tr>
    </w:tbl>
    <w:p>
      <w:pPr>
        <w:spacing w:after="0" w:line="18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Insider Letter</w:t>
      </w:r>
      <w:r>
        <w:rPr>
          <w:rFonts w:ascii="Times New Roman" w:cs="Times New Roman" w:eastAsia="Times New Roman" w:hAnsi="Times New Roman"/>
          <w:sz w:val="18"/>
          <w:szCs w:val="18"/>
          <w:color w:val="auto"/>
        </w:rPr>
        <w:t>]</w:t>
      </w:r>
    </w:p>
    <w:p>
      <w:pPr>
        <w:sectPr>
          <w:pgSz w:w="11900" w:h="16838" w:orient="portrait"/>
          <w:cols w:equalWidth="0" w:num="1">
            <w:col w:w="10480"/>
          </w:cols>
          <w:pgMar w:left="920" w:top="268" w:right="49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Gordon Watson</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Gordon Watson</w:t>
            </w: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387"/>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BAKKT OPCO</w:t>
            </w:r>
            <w:r>
              <w:rPr>
                <w:rFonts w:ascii="Times New Roman" w:cs="Times New Roman" w:eastAsia="Times New Roman" w:hAnsi="Times New Roman"/>
                <w:sz w:val="18"/>
                <w:szCs w:val="18"/>
                <w:color w:val="auto"/>
              </w:rPr>
              <w:t>:</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49"/>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BAKKT HOLDINGS, LLC</w:t>
            </w: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Clifton</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David Clifton</w:t>
            </w: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3"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Insider Letter</w:t>
      </w:r>
      <w:r>
        <w:rPr>
          <w:rFonts w:ascii="Times New Roman" w:cs="Times New Roman" w:eastAsia="Times New Roman" w:hAnsi="Times New Roman"/>
          <w:sz w:val="18"/>
          <w:szCs w:val="18"/>
          <w:color w:val="auto"/>
        </w:rPr>
        <w:t>]</w:t>
      </w:r>
    </w:p>
    <w:p>
      <w:pPr>
        <w:sectPr>
          <w:pgSz w:w="11900" w:h="16838" w:orient="portrait"/>
          <w:cols w:equalWidth="0" w:num="1">
            <w:col w:w="9979"/>
          </w:cols>
          <w:pgMar w:left="480" w:top="264" w:right="1440"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the Digital Asset Marketplace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Launched by Intercontinental Exchange in 2018,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Become a Publicly Traded Company via Merger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VPC Impact Acquisition Holdings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Gavin Michael, former head of technology of Citi’s Global Consumer Bank, joins Bakkt as CEO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Bakkt investors will roll their equity into the combined company, with Intercontinental Exchange contributing an additional $50 million in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Combined company valued at an enterprise value of approximately $2.1 billion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accelerates Bakkt’s growth and the rollout of its consumer application</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ATLANTA and CHICAGO — January 11, 2021 — </w:t>
      </w:r>
      <w:r>
        <w:rPr>
          <w:rFonts w:ascii="Times New Roman" w:cs="Times New Roman" w:eastAsia="Times New Roman" w:hAnsi="Times New Roman"/>
          <w:sz w:val="18"/>
          <w:szCs w:val="18"/>
          <w:color w:val="auto"/>
        </w:rPr>
        <w:t>Bakkt Holdings, LLC (“Bakkt”), the transformative digital asset marketplace launched in 2018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Intercontinental Exchange, Inc. (“ICE”) and a marquee group of investors and strategic partners, and VPC Impact Acquisition Holdings (NASDAQ: VIH) (“VIH”), a special purpose acquisition company sponsored by Victory Park Capital (“VPC”), today announced that they have entered into a definitive agreement for a business combination that will result in Bakkt becoming a publicly traded company with an enterprise value of approximately $2.1 billion. The combined company will be renamed Bakkt Holdings, Inc. and will be listed on the New York Stock Exchange.</w:t>
      </w:r>
    </w:p>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Since its founding nearly three years ago, Bakkt has been at the forefront of new innovations enabling institutions and consumers to buy, sell, store and spend digital assets. Bakkt’s differentiated and disruptive platform, soon to be made widely available through the new Bakkt App, will enable incremental consumer spending, reduce traditional payment costs and bolster loyalty programs, adding value for all key stakeholders within the payments and digital assets ecosystem. In building its platform, Bakkt leveraged ICE’s ability to create secure and regulated market infrastructure to make Bakkt a trusted platform for digital assets.</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Leading Bakkt as CEO will be Gavin Michael, whose appointment takes effect today. Michael, who served most recently as head of technology for Citi’s Global Consumer Bank and led the strategic planning, management and day-to-day operations of Citi’s global technology organization, succeeds David Clifton, Bakkt’s interim CEO, who will join the combined company’s Board of Directors at the closing of the business combination. Earlier in his career, Michael headed the digital team for Chase and served as Chief Technology Innovation Officer at Accenture, among other roles with leading financial services and technology firms.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average consumer holds a wealth of digital assets but rarely tracks their value and lacks the tools to manage and utilize them,” said Michael. “I’m excited to join the management team of a company, at this important time in its expansion, whose vision is to bring trust and transparency to digital assets through innovation and technology and, through that process, unlock trillions of dollars currently held in customer and loyalty accounts and allow consumers to put them to work.”</w:t>
      </w:r>
    </w:p>
    <w:p>
      <w:pPr>
        <w:spacing w:after="0" w:line="18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Jeffrey C. Sprecher, Founder, Chairman and CEO of Intercontinental Exchange, commented: “For the past 20 years, I’ve been privileged to work with great people to bring one great company to the public markets and watch it grow from there, and today I’m equally proud to see another great idea born within ICE, and shepherded by another great team, enter into a transaction that will allow it to become publicly traded, I’m thrilled we were able to partner with the fintech experts at VPC on this pathbreaking deal and look forward to watching Gavin and his colleagues bring Bakkt to the next level.”</w:t>
      </w:r>
    </w:p>
    <w:p>
      <w:pPr>
        <w:sectPr>
          <w:pgSz w:w="11900" w:h="16838" w:orient="portrait"/>
          <w:cols w:equalWidth="0" w:num="1">
            <w:col w:w="10920"/>
          </w:cols>
          <w:pgMar w:left="480" w:top="117" w:right="499" w:bottom="1440" w:gutter="0" w:footer="0" w:header="0"/>
        </w:sectPr>
      </w:pPr>
    </w:p>
    <w:bookmarkStart w:id="402" w:name="page403"/>
    <w:bookmarkEnd w:id="402"/>
    <w:p>
      <w:pPr>
        <w:ind w:right="2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Victory Park Capital, a global investment firm headquartered in Chicago, has a long track record of executing debt and equity financing transactions with some of the largest global fintech companies. VPC Impact Acquisition Holdings completed its initial public offering in September 2020.</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VPC Impact Acquisition Holdings, our aim was to identify a high-growth fintech company with competitive differentiation and significant white space, and we are pleased to have found a great match in Bakkt,” said John Martin, CEO of VPC Impact Acquisition Holdings. “The company has a strong position in one of the most well-funded and fastest growing areas of technological expansion, as evidenced by its diversified revenue generation model and pathway to near-term profitability. We thank Jeff, David and the ICE team for their vision and look forward to working with Gavin and the Bakkt team to grow its market-leading position in digital assets.”</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Bakkt currently supports more than 30 loyalty program sponsors and over 200 gift card merchants, and Starbucks has integrated Bakkt Cash as a payment method for customers to reload their Starbucks Card in the Starbucks app. The Bakkt App is currently available on an invite-only basis, with over 400,000 consumers currently signed up for early access. Bakkt is planning for the widespread rollout of the app in March 2021. Before it is widely available, users from approved jurisdictions who would like early access to the Bakkt App may download it in the </w:t>
      </w:r>
      <w:r>
        <w:rPr>
          <w:rFonts w:ascii="Times New Roman" w:cs="Times New Roman" w:eastAsia="Times New Roman" w:hAnsi="Times New Roman"/>
          <w:sz w:val="17"/>
          <w:szCs w:val="17"/>
          <w:u w:val="single" w:color="auto"/>
          <w:color w:val="auto"/>
        </w:rPr>
        <w:t>App Store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Google Play Store</w:t>
      </w:r>
      <w:r>
        <w:rPr>
          <w:rFonts w:ascii="Times New Roman" w:cs="Times New Roman" w:eastAsia="Times New Roman" w:hAnsi="Times New Roman"/>
          <w:sz w:val="17"/>
          <w:szCs w:val="17"/>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Highlights</w:t>
      </w:r>
    </w:p>
    <w:p>
      <w:pPr>
        <w:spacing w:after="0" w:line="131" w:lineRule="exact"/>
        <w:rPr>
          <w:sz w:val="20"/>
          <w:szCs w:val="20"/>
          <w:color w:val="auto"/>
        </w:rPr>
      </w:pPr>
    </w:p>
    <w:p>
      <w:pPr>
        <w:ind w:left="980" w:hanging="438"/>
        <w:spacing w:after="0"/>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a massive market by empowering monetization and adoption of digital assets;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advantages fueling competitive differentiation: digital asset-native, unrivaled cost structure, and regulatory compliance;</w:t>
      </w:r>
    </w:p>
    <w:p>
      <w:pPr>
        <w:spacing w:after="0" w:line="127" w:lineRule="exact"/>
        <w:rPr>
          <w:rFonts w:ascii="Times New Roman" w:cs="Times New Roman" w:eastAsia="Times New Roman" w:hAnsi="Times New Roman"/>
          <w:sz w:val="18"/>
          <w:szCs w:val="18"/>
          <w:color w:val="auto"/>
        </w:rPr>
      </w:pPr>
    </w:p>
    <w:p>
      <w:pPr>
        <w:ind w:left="980" w:right="320" w:hanging="438"/>
        <w:spacing w:after="0" w:line="278" w:lineRule="auto"/>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Transformative consumer marketplace with internet economics via a combination of commerce enablement, payments and markets to create an integrated platform;</w:t>
      </w:r>
    </w:p>
    <w:p>
      <w:pPr>
        <w:spacing w:after="0" w:line="68" w:lineRule="exact"/>
        <w:rPr>
          <w:rFonts w:ascii="Times New Roman" w:cs="Times New Roman" w:eastAsia="Times New Roman" w:hAnsi="Times New Roman"/>
          <w:sz w:val="18"/>
          <w:szCs w:val="18"/>
          <w:color w:val="auto"/>
        </w:rPr>
      </w:pPr>
    </w:p>
    <w:p>
      <w:pPr>
        <w:ind w:left="980" w:right="80" w:hanging="438"/>
        <w:spacing w:after="0" w:line="278" w:lineRule="auto"/>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economic model with scale, growth, profitability, diversified revenue streams, and path to positive cash flow, with no additional capital required post-financing;</w:t>
      </w:r>
    </w:p>
    <w:p>
      <w:pPr>
        <w:spacing w:after="0" w:line="68" w:lineRule="exact"/>
        <w:rPr>
          <w:rFonts w:ascii="Times New Roman" w:cs="Times New Roman" w:eastAsia="Times New Roman" w:hAnsi="Times New Roman"/>
          <w:sz w:val="18"/>
          <w:szCs w:val="18"/>
          <w:color w:val="auto"/>
        </w:rPr>
      </w:pPr>
    </w:p>
    <w:p>
      <w:pPr>
        <w:ind w:left="980" w:right="220" w:hanging="438"/>
        <w:spacing w:after="0" w:line="278" w:lineRule="auto"/>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proven management team and backed by ICE, adding market credibility and proven success, coupled with regulatory and industry expertise.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Transaction Terms</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business combination values the combined company at an enterprise value of approximately $2.1 billion and is expected to result in over $500 million of cash on the combined company’s balance sheet, reflecting a contribution of up to $207 million of cash held in VPC Impact Acquisition Holdings’ trust account, and a $325 million concurrent private placement (PIPE) of Class A common stock of the combined company, priced at $10.00 per share, including a $50 million contribution from ICE.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the transaction, Bakkt’s existing equity holders and management will roll 100% of their equity into the combined company. Assuming no shareholders of VIH exercise their redemption rights, current Bakkt equity holders will own approximately 78%, VIH public shareholders will own approximately 8%, VPC will own approximately 2%, and PIPE investors (a group that will include ICE) will own approximately 12% of the combined company (through an Up-C structure described below) at closing.</w:t>
      </w:r>
    </w:p>
    <w:p>
      <w:pPr>
        <w:sectPr>
          <w:pgSz w:w="11900" w:h="16838" w:orient="portrait"/>
          <w:cols w:equalWidth="0" w:num="1">
            <w:col w:w="10820"/>
          </w:cols>
          <w:pgMar w:left="480" w:top="268" w:right="599" w:bottom="1440" w:gutter="0" w:footer="0" w:header="0"/>
        </w:sectPr>
      </w:pPr>
    </w:p>
    <w:bookmarkStart w:id="403" w:name="page404"/>
    <w:bookmarkEnd w:id="403"/>
    <w:p>
      <w:pPr>
        <w:ind w:right="1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connection with the business combination, VIH will change its jurisdiction of incorporation from the Cayman Islands to the State of Delaware. The business combination has been structured as an “Up-C” where former Bakkt equity owners will retain their equity interests in Bakkt and will receive non-economic voting shares of the combined company at closing. The combined company will also enter into a customary tax receivable arrangement with the current equity holders of Bakkt, which will provide for the sharing of certain tax benefits as realized by the combined company.</w:t>
      </w:r>
    </w:p>
    <w:p>
      <w:pPr>
        <w:spacing w:after="0" w:line="167"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7"/>
          <w:szCs w:val="17"/>
          <w:color w:val="auto"/>
        </w:rPr>
        <w:t>The proposed business combination has been unanimously approved by the Boards of Directors of Bakkt and VIH, is subject to approval by VIH’s shareholders, regulatory approvals and other customary closing conditions. The business combination is expected to close in the second quarter of 2021.</w:t>
      </w:r>
    </w:p>
    <w:p>
      <w:pPr>
        <w:spacing w:after="0" w:line="14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A more detailed description of the business combination terms and a copy of the Agreement and Plan of Merger will be included in a current report on Form 8-K to be filed by VIH with the United States Securities and Exchange Commission (the “SEC”). VIH will file a registration statement (which will contain a proxy statement/prospectus) with the SEC in connection with the business combination.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18"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PJ Solomon is serving as financial advisor and Shearman &amp; Sterling is serving as legal advisor to Bakkt. Jefferies and Citigroup are serving as financial and capital markets advisors to VPC Impact Acquisition Holdings and co-placement agents on the PIPE. Jefferies is the lead capital markets advisor to VPC Impact Acquisition Holdings. White &amp; Case LLP is serving as legal advisor to VPC Impact Acquisition Holdings.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Presentation</w:t>
      </w:r>
    </w:p>
    <w:p>
      <w:pPr>
        <w:spacing w:after="0" w:line="118"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 xml:space="preserve">The management teams of Bakkt and VPC Impact Acquisition Holdings will host an investor call on January 11, 2021 at 10:00 am ET to discuss the proposed business combination and review an investor presentation. The webcast can be accessed by visiting: </w:t>
      </w:r>
      <w:r>
        <w:rPr>
          <w:rFonts w:ascii="Times New Roman" w:cs="Times New Roman" w:eastAsia="Times New Roman" w:hAnsi="Times New Roman"/>
          <w:sz w:val="18"/>
          <w:szCs w:val="18"/>
          <w:u w:val="single" w:color="auto"/>
          <w:color w:val="auto"/>
        </w:rPr>
        <w:t>https://event.on24.com/wcc/r/2959229/E600241C03A604B52F811C86F9053E76</w:t>
      </w:r>
      <w:r>
        <w:rPr>
          <w:rFonts w:ascii="Times New Roman" w:cs="Times New Roman" w:eastAsia="Times New Roman" w:hAnsi="Times New Roman"/>
          <w:sz w:val="18"/>
          <w:szCs w:val="18"/>
          <w:color w:val="auto"/>
        </w:rPr>
        <w:t>. A replay will be available.</w:t>
      </w:r>
    </w:p>
    <w:p>
      <w:pPr>
        <w:spacing w:after="0" w:line="17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 xml:space="preserve">For materials and information, visit </w:t>
      </w:r>
      <w:r>
        <w:rPr>
          <w:rFonts w:ascii="Times New Roman" w:cs="Times New Roman" w:eastAsia="Times New Roman" w:hAnsi="Times New Roman"/>
          <w:sz w:val="18"/>
          <w:szCs w:val="18"/>
          <w:u w:val="single" w:color="auto"/>
          <w:color w:val="auto"/>
        </w:rPr>
        <w:t>https://www.bakkt.com/newsroom</w:t>
      </w:r>
      <w:r>
        <w:rPr>
          <w:rFonts w:ascii="Times New Roman" w:cs="Times New Roman" w:eastAsia="Times New Roman" w:hAnsi="Times New Roman"/>
          <w:sz w:val="18"/>
          <w:szCs w:val="18"/>
          <w:color w:val="auto"/>
        </w:rPr>
        <w:t xml:space="preserve"> for Bakkt and </w:t>
      </w:r>
      <w:r>
        <w:rPr>
          <w:rFonts w:ascii="Times New Roman" w:cs="Times New Roman" w:eastAsia="Times New Roman" w:hAnsi="Times New Roman"/>
          <w:sz w:val="18"/>
          <w:szCs w:val="18"/>
          <w:u w:val="single" w:color="auto"/>
          <w:color w:val="auto"/>
        </w:rPr>
        <w:t>https://www.victoryparkcapital.com/impact-acquisition-holdings/</w:t>
      </w:r>
      <w:r>
        <w:rPr>
          <w:rFonts w:ascii="Times New Roman" w:cs="Times New Roman" w:eastAsia="Times New Roman" w:hAnsi="Times New Roman"/>
          <w:sz w:val="18"/>
          <w:szCs w:val="18"/>
          <w:color w:val="auto"/>
        </w:rPr>
        <w:t xml:space="preserve"> for VPC Impact Acquisition Holdings.</w:t>
      </w:r>
    </w:p>
    <w:p>
      <w:pPr>
        <w:spacing w:after="0" w:line="16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 xml:space="preserve">VPC Impact Acquisition Holdings will also file the presentation with the SEC as an exhibit to a Current Report on Form 8-K, which can be viewed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Bakkt is a provider of institutional and retail solutions for digital assets. Bakkt provides a mobile application enabling consumers to unlock the value of digital assets, including cryptocurrency, loyalty points, in-game assets, and gift cards, while giving merchants and loyalty program sponsors deeper customer engagement and delivering cost savings to merchants. Bakkt was founded in 2018 by Intercontinental Exchange, Inc. and is headquartered in Atlanta, Georgia.</w:t>
      </w:r>
    </w:p>
    <w:p>
      <w:pPr>
        <w:sectPr>
          <w:pgSz w:w="11900" w:h="16838" w:orient="portrait"/>
          <w:cols w:equalWidth="0" w:num="1">
            <w:col w:w="10880"/>
          </w:cols>
          <w:pgMar w:left="480" w:top="268" w:right="5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About VPC Impact Acquisition Holdings</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1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In connection with the proposed transaction (the “Proposed Transaction”), VPC Impact Acquisition Holdings (“VIH”) intends to file a registration statement on Form S-4 that will include a proxy statement/prospectus of VIH. This press release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79"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Times New Roman" w:cs="Times New Roman" w:eastAsia="Times New Roman" w:hAnsi="Times New Roman"/>
          <w:sz w:val="18"/>
          <w:szCs w:val="18"/>
          <w:u w:val="single" w:color="auto"/>
          <w:color w:val="auto"/>
        </w:rPr>
        <w:t>vihinfo@victoryparkcapital.com</w:t>
      </w:r>
      <w:r>
        <w:rPr>
          <w:rFonts w:ascii="Times New Roman" w:cs="Times New Roman" w:eastAsia="Times New Roman" w:hAnsi="Times New Roman"/>
          <w:sz w:val="18"/>
          <w:szCs w:val="18"/>
          <w:color w:val="auto"/>
        </w:rPr>
        <w:t xml:space="preserve"> or by directing a request to VIH’s secretary at c/o Victory Park Capital Advisors, LLC, 150 North Riverside Plaza, Suite 5200, Chicago, IL 60606.</w:t>
      </w:r>
    </w:p>
    <w:p>
      <w:pPr>
        <w:sectPr>
          <w:pgSz w:w="11900" w:h="16838" w:orient="portrait"/>
          <w:cols w:equalWidth="0" w:num="1">
            <w:col w:w="10920"/>
          </w:cols>
          <w:pgMar w:left="480" w:top="264" w:right="4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Offer or Solicitation</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However, VIH, Bakkt,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w:t>
      </w:r>
    </w:p>
    <w:p>
      <w:pPr>
        <w:sectPr>
          <w:pgSz w:w="11900" w:h="16838" w:orient="portrait"/>
          <w:cols w:equalWidth="0" w:num="1">
            <w:col w:w="10900"/>
          </w:cols>
          <w:pgMar w:left="480" w:top="264" w:right="51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markets that Bakkt targets; (ix) risk that Bakkt may not be able to execute its growth strategies, including identifying and executing acquisitions;</w:t>
      </w:r>
    </w:p>
    <w:p>
      <w:pPr>
        <w:spacing w:after="0" w:line="26" w:lineRule="exact"/>
        <w:rPr>
          <w:sz w:val="20"/>
          <w:szCs w:val="20"/>
          <w:color w:val="auto"/>
        </w:rPr>
      </w:pPr>
    </w:p>
    <w:p>
      <w:pPr>
        <w:ind w:right="240" w:firstLine="7"/>
        <w:spacing w:after="0" w:line="249" w:lineRule="auto"/>
        <w:tabs>
          <w:tab w:leader="none" w:pos="25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 Ford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Rachel.Ford@Bakkt.com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770-686-7419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Sahin, Edelman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Julia.Sahin@edelman.com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646.301.2968</w:t>
      </w:r>
    </w:p>
    <w:p>
      <w:pPr>
        <w:sectPr>
          <w:pgSz w:w="11900" w:h="16838" w:orient="portrait"/>
          <w:cols w:equalWidth="0" w:num="1">
            <w:col w:w="10880"/>
          </w:cols>
          <w:pgMar w:left="480" w:top="268" w:right="539" w:bottom="1440" w:gutter="0" w:footer="0" w:header="0"/>
        </w:sectPr>
      </w:pPr>
    </w:p>
    <w:bookmarkStart w:id="407" w:name="page408"/>
    <w:bookmarkEnd w:id="407"/>
    <w:p>
      <w:pPr>
        <w:ind w:left="92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236855</wp:posOffset>
            </wp:positionV>
            <wp:extent cx="7094855" cy="40170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14" w:right="499" w:bottom="1440" w:gutter="0" w:footer="0" w:header="0"/>
        </w:sectPr>
      </w:pPr>
    </w:p>
    <w:bookmarkStart w:id="408" w:name="page409"/>
    <w:bookmarkEnd w:id="4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9" w:name="page410"/>
    <w:bookmarkEnd w:id="4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0" w:name="page411"/>
    <w:bookmarkEnd w:id="4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1" w:name="page412"/>
    <w:bookmarkEnd w:id="4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2" w:name="page413"/>
    <w:bookmarkEnd w:id="4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3" w:name="page414"/>
    <w:bookmarkEnd w:id="4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1" w:name="page442"/>
    <w:bookmarkEnd w:id="44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Bakkt Holdings—VPC Impact Acquisition Holdings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January 11, 2020</w:t>
      </w:r>
    </w:p>
    <w:p>
      <w:pPr>
        <w:spacing w:after="0" w:line="198"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Welcome to the Bakkt Holdings and VPC Impact Acquisition Holdings transaction conference call. I would like to note that this call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contain forward-looking statements, including VIH’s and Bakkt’s expectations of future financial and business performance and conditions, the industry outlook, and the timing and completion of the transaction. Forward-looking statements are inherently subject to risks, uncertainties, and assumptions, and they are not guarantees of performance. You are encouraged to read the press release issued today, the accompanying presentation that is available in VIH’s filings with the SEC, for a discussion of the risks that can affect the business combination and the business of Bakkt after completion of the proposed transaction.</w:t>
      </w:r>
    </w:p>
    <w:p>
      <w:pPr>
        <w:spacing w:after="0" w:line="182" w:lineRule="exact"/>
        <w:rPr>
          <w:sz w:val="20"/>
          <w:szCs w:val="20"/>
          <w:color w:val="auto"/>
        </w:rPr>
      </w:pPr>
    </w:p>
    <w:p>
      <w:pPr>
        <w:ind w:right="200" w:firstLine="436"/>
        <w:spacing w:after="0" w:line="258" w:lineRule="auto"/>
        <w:rPr>
          <w:sz w:val="20"/>
          <w:szCs w:val="20"/>
          <w:color w:val="auto"/>
        </w:rPr>
      </w:pPr>
      <w:r>
        <w:rPr>
          <w:rFonts w:ascii="Times New Roman" w:cs="Times New Roman" w:eastAsia="Times New Roman" w:hAnsi="Times New Roman"/>
          <w:sz w:val="18"/>
          <w:szCs w:val="18"/>
          <w:color w:val="auto"/>
        </w:rPr>
        <w:t>In addition, this call includes discussion of financial metrics that are not calculated in accordance with generally accepted accounting principles. For a discussion of these non-GAAP measures and a reconciliation to their most comparable financial measures that are calculated in accordance with GAAP, please refer to the investor presentation that is filed as an exhibit to VIH’s current report on Form 8-K that is filed in connection with this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will not be taking any questions on today’s call. With that, I will now turn it over to Gordon Watson. Please go ahead.</w:t>
      </w:r>
    </w:p>
    <w:p>
      <w:pPr>
        <w:spacing w:after="0" w:line="217" w:lineRule="exact"/>
        <w:rPr>
          <w:sz w:val="20"/>
          <w:szCs w:val="20"/>
          <w:color w:val="auto"/>
        </w:rPr>
      </w:pPr>
    </w:p>
    <w:p>
      <w:pPr>
        <w:ind w:right="2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Gordon Watson: </w:t>
      </w:r>
      <w:r>
        <w:rPr>
          <w:rFonts w:ascii="Times New Roman" w:cs="Times New Roman" w:eastAsia="Times New Roman" w:hAnsi="Times New Roman"/>
          <w:sz w:val="18"/>
          <w:szCs w:val="18"/>
          <w:color w:val="auto"/>
        </w:rPr>
        <w:t>Hi there, and thank you for joining us. I’m Gordon Watson. I’m one of the partners at Victory Park Capital and I’m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VIH, our fintech focused SPAC. We are very excited to be here today to introduce Bakkt, which we believe is a transformational platform with a tremendous growth opportunity focused on the digital asset space.</w:t>
      </w:r>
    </w:p>
    <w:p>
      <w:pPr>
        <w:spacing w:after="0" w:line="174"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8"/>
          <w:szCs w:val="18"/>
          <w:color w:val="auto"/>
        </w:rPr>
        <w:t>Here with me today are Gavin Michael who is the CEO of Bakkt, Nicolas Cabrera who is the Chief Product Officer, and David Clifton who is the VP of M&amp;A and Integration at ICE, which is the current parent company of Bakkt. And David has been acting as the interim CEO of Bakkt for a portion of 2020.</w:t>
      </w:r>
    </w:p>
    <w:p>
      <w:pPr>
        <w:spacing w:after="0" w:line="175" w:lineRule="exact"/>
        <w:rPr>
          <w:sz w:val="20"/>
          <w:szCs w:val="20"/>
          <w:color w:val="auto"/>
        </w:rPr>
      </w:pPr>
    </w:p>
    <w:p>
      <w:pPr>
        <w:jc w:val="both"/>
        <w:ind w:right="480" w:firstLine="436"/>
        <w:spacing w:after="0" w:line="308" w:lineRule="auto"/>
        <w:rPr>
          <w:sz w:val="20"/>
          <w:szCs w:val="20"/>
          <w:color w:val="auto"/>
        </w:rPr>
      </w:pPr>
      <w:r>
        <w:rPr>
          <w:rFonts w:ascii="Times New Roman" w:cs="Times New Roman" w:eastAsia="Times New Roman" w:hAnsi="Times New Roman"/>
          <w:sz w:val="17"/>
          <w:szCs w:val="17"/>
          <w:color w:val="auto"/>
        </w:rPr>
        <w:t>Okay, if you could turn to slide four. This is an overview of Victory Park Capital. We were founded in 2007, and we’re a privately held SEC registered global alternative investment firm. We’ve invested over $6 billion in 115 transactions since inception, with a focus on fintech investing.</w:t>
      </w:r>
    </w:p>
    <w:p>
      <w:pPr>
        <w:spacing w:after="0" w:line="140" w:lineRule="exact"/>
        <w:rPr>
          <w:sz w:val="20"/>
          <w:szCs w:val="20"/>
          <w:color w:val="auto"/>
        </w:rPr>
      </w:pPr>
    </w:p>
    <w:p>
      <w:pPr>
        <w:ind w:right="40" w:firstLine="436"/>
        <w:spacing w:after="0" w:line="263" w:lineRule="auto"/>
        <w:rPr>
          <w:sz w:val="20"/>
          <w:szCs w:val="20"/>
          <w:color w:val="auto"/>
        </w:rPr>
      </w:pPr>
      <w:r>
        <w:rPr>
          <w:rFonts w:ascii="Times New Roman" w:cs="Times New Roman" w:eastAsia="Times New Roman" w:hAnsi="Times New Roman"/>
          <w:sz w:val="18"/>
          <w:szCs w:val="18"/>
          <w:color w:val="auto"/>
        </w:rPr>
        <w:t>When we set out to raise this SPAC, we highlighted a few qualities we were looking for in a potential investment, and we believe Bakkt checks all those boxes as a standalone business. And then when you combine its heritage inside ICE, we felt confident that other investors would agree with us, which has been played out through the successful pipe process we just completed.</w:t>
      </w:r>
    </w:p>
    <w:p>
      <w:pPr>
        <w:spacing w:after="0" w:line="175" w:lineRule="exact"/>
        <w:rPr>
          <w:sz w:val="20"/>
          <w:szCs w:val="20"/>
          <w:color w:val="auto"/>
        </w:rPr>
      </w:pPr>
    </w:p>
    <w:p>
      <w:pPr>
        <w:ind w:right="80" w:firstLine="436"/>
        <w:spacing w:after="0" w:line="263" w:lineRule="auto"/>
        <w:rPr>
          <w:sz w:val="20"/>
          <w:szCs w:val="20"/>
          <w:color w:val="auto"/>
        </w:rPr>
      </w:pPr>
      <w:r>
        <w:rPr>
          <w:rFonts w:ascii="Times New Roman" w:cs="Times New Roman" w:eastAsia="Times New Roman" w:hAnsi="Times New Roman"/>
          <w:sz w:val="18"/>
          <w:szCs w:val="18"/>
          <w:color w:val="auto"/>
        </w:rPr>
        <w:t>If you look at the right side here, Bakkt checks all these boxes. It’s a differentiated, high-growth fintech business with barriers to entry. It has very strong unit economics, and it’s certainly at a capital inflection point. And then when you add Gavin who’s one of the most respected financial technology investors in the world, we feel that we really have a unique offering here.</w:t>
      </w:r>
    </w:p>
    <w:p>
      <w:pPr>
        <w:spacing w:after="0" w:line="1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If you could flip to slide five. Again, the pipe size is $325 million. This is anchored by a $50 million commitment from ICE. It implies the</w:t>
      </w:r>
    </w:p>
    <w:p>
      <w:pPr>
        <w:spacing w:after="0" w:line="2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$2.1 billion post-merger enterprise value and there’s 100% equity rollover as part of the transaction. Pro forma ICE will own a 65% economic interest, but will have a minority voting rights in the new entity.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7" w:right="499" w:bottom="1440" w:gutter="0" w:footer="0" w:header="0"/>
        </w:sectPr>
      </w:pPr>
    </w:p>
    <w:bookmarkStart w:id="442" w:name="page443"/>
    <w:bookmarkEnd w:id="442"/>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will have over $570 million of cash at closing to accelerate the growth of the business, including the rollout of the consumer app, which you’re going to hear a lot about during this presentation, that’s currently on invite-only basis with 100,000 active users and a pipeline of 350,000 users waiting to be turned on. This is expected in March of this year in conjunction with the closing of this transaction.</w:t>
      </w:r>
    </w:p>
    <w:p>
      <w:pPr>
        <w:spacing w:after="0" w:line="175"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Importantly, this is a fully-funded business plan. There’s no additional equity capital requirements anticipated between closing and positive cash flow, which is expected in 2023. You’ll see at the end of this, this business has some very powerful economic characteristics, so we think that it will kick off a lot of cash in the coming years.</w:t>
      </w:r>
    </w:p>
    <w:p>
      <w:pPr>
        <w:spacing w:after="0" w:line="175" w:lineRule="exact"/>
        <w:rPr>
          <w:sz w:val="20"/>
          <w:szCs w:val="20"/>
          <w:color w:val="auto"/>
        </w:rPr>
      </w:pPr>
    </w:p>
    <w:p>
      <w:pPr>
        <w:ind w:right="480" w:firstLine="436"/>
        <w:spacing w:after="0" w:line="278" w:lineRule="auto"/>
        <w:rPr>
          <w:sz w:val="20"/>
          <w:szCs w:val="20"/>
          <w:color w:val="auto"/>
        </w:rPr>
      </w:pPr>
      <w:r>
        <w:rPr>
          <w:rFonts w:ascii="Times New Roman" w:cs="Times New Roman" w:eastAsia="Times New Roman" w:hAnsi="Times New Roman"/>
          <w:sz w:val="18"/>
          <w:szCs w:val="18"/>
          <w:color w:val="auto"/>
        </w:rPr>
        <w:t>Just to conclude from Victory Parks’ standpoint, we are very excited about this transaction. We think it’s set up to do very well in the public markets. And with that, I’ll turn it over to David Clifton from ICE to give a little bit more background on how we got here.</w:t>
      </w:r>
    </w:p>
    <w:p>
      <w:pPr>
        <w:spacing w:after="0" w:line="158"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David Clifton: </w:t>
      </w:r>
      <w:r>
        <w:rPr>
          <w:rFonts w:ascii="Times New Roman" w:cs="Times New Roman" w:eastAsia="Times New Roman" w:hAnsi="Times New Roman"/>
          <w:sz w:val="18"/>
          <w:szCs w:val="18"/>
          <w:color w:val="auto"/>
        </w:rPr>
        <w:t>Great. Thanks, Gordon. I’m David Clifton, VP for M&amp;A and Integration at ICE. And as Gordon noted, for the better part of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Bakkt’s CEO.</w:t>
      </w:r>
    </w:p>
    <w:p>
      <w:pPr>
        <w:spacing w:after="0" w:line="160"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Just a quick overview of ICE for those of you who don’t know us. We are a leading global market infrastructure provider who operates exchanges, clearinghouses and listing venues, and also operates a large data and analytics business, along with a large mortgage technology business.</w:t>
      </w:r>
    </w:p>
    <w:p>
      <w:pPr>
        <w:spacing w:after="0" w:line="162"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ICE has combined world-class technology with its leading data services and operating expertise to add transparency, which enables customer efficiency gains that advances networks and value proposition. ICE has a history of reimagining ecosystems. Some examples of that are on the lower right-hand portion of slide six.</w:t>
      </w:r>
    </w:p>
    <w:p>
      <w:pPr>
        <w:spacing w:after="0" w:line="175"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If we could turn to slide seven, you’ll see Bakkt is another example of reimagining an ecosystem. Bakkt is currently owned 81% by ICE, but it maintains marquis strategic and venture capital stakeholders, including BCG, Microsoft, Starbucks, and PayU. In helping design and build the infrastructure at Bakkt, ICE brought to bear its core expertise in technology, compliance, regulation, and cybersecurity.</w:t>
      </w:r>
    </w:p>
    <w:p>
      <w:pPr>
        <w:spacing w:after="0" w:line="175" w:lineRule="exact"/>
        <w:rPr>
          <w:sz w:val="20"/>
          <w:szCs w:val="20"/>
          <w:color w:val="auto"/>
        </w:rPr>
      </w:pPr>
    </w:p>
    <w:p>
      <w:pPr>
        <w:ind w:right="100" w:firstLine="436"/>
        <w:spacing w:after="0" w:line="308" w:lineRule="auto"/>
        <w:rPr>
          <w:sz w:val="20"/>
          <w:szCs w:val="20"/>
          <w:color w:val="auto"/>
        </w:rPr>
      </w:pPr>
      <w:r>
        <w:rPr>
          <w:rFonts w:ascii="Times New Roman" w:cs="Times New Roman" w:eastAsia="Times New Roman" w:hAnsi="Times New Roman"/>
          <w:sz w:val="17"/>
          <w:szCs w:val="17"/>
          <w:color w:val="auto"/>
        </w:rPr>
        <w:t>ICE is very excited about the future of Bakkt, and it’s why we are rolling 100% of our equity stake and have anchored the pipe with an additional $50 million commitment. With this additional cash, Bakkt is poised to accelerate its customer acquisition, grow its revenue, and achieve profitability.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that, let me turn it over to Gavin so he can talk to you about the vision for Bakkt and where it’s headed.</w:t>
      </w:r>
    </w:p>
    <w:p>
      <w:pPr>
        <w:spacing w:after="0" w:line="217"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Gavin Michael: </w:t>
      </w:r>
      <w:r>
        <w:rPr>
          <w:rFonts w:ascii="Times New Roman" w:cs="Times New Roman" w:eastAsia="Times New Roman" w:hAnsi="Times New Roman"/>
          <w:sz w:val="18"/>
          <w:szCs w:val="18"/>
          <w:color w:val="auto"/>
        </w:rPr>
        <w:t>Thanks, David. I’m Gavin Michael. I’m the CEO of Bakkt. You know, our vision for Bakkt is very simple. It’s to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growth and improve customers’ lives by really liberating their digital and loyalty assets. We have a strong purpose to drive this new era in financial services innovation, focused on reimagining and unlocking the value of digital and loyalty assets.</w:t>
      </w:r>
    </w:p>
    <w:p>
      <w:pPr>
        <w:spacing w:after="0" w:line="174" w:lineRule="exact"/>
        <w:rPr>
          <w:sz w:val="20"/>
          <w:szCs w:val="20"/>
          <w:color w:val="auto"/>
        </w:rPr>
      </w:pPr>
    </w:p>
    <w:p>
      <w:pPr>
        <w:ind w:right="100" w:firstLine="436"/>
        <w:spacing w:after="0" w:line="258" w:lineRule="auto"/>
        <w:rPr>
          <w:sz w:val="20"/>
          <w:szCs w:val="20"/>
          <w:color w:val="auto"/>
        </w:rPr>
      </w:pPr>
      <w:r>
        <w:rPr>
          <w:rFonts w:ascii="Times New Roman" w:cs="Times New Roman" w:eastAsia="Times New Roman" w:hAnsi="Times New Roman"/>
          <w:sz w:val="18"/>
          <w:szCs w:val="18"/>
          <w:color w:val="auto"/>
        </w:rPr>
        <w:t>Bakkt uniquely brings together customer loyalty and commerce platforms to accelerate the shift to digital assets in payments. These digital assets are driving a new, increasingly dynamic economy. We see the emergence of new customer segments such as gamers, crypto enthusiasts, and miles junkies. And at the same time as these new segments are emerging, Gen Z and millennials are increasingly turning away from traditional payment methods like credit cards and cash.</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443" w:name="page444"/>
    <w:bookmarkEnd w:id="443"/>
    <w:p>
      <w:pPr>
        <w:ind w:right="50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It’s these shifts that we are leveraging for the benefit of both customer and merchants, truly unlocking a massive market by empowering the monetization of digital assets.</w:t>
      </w:r>
    </w:p>
    <w:p>
      <w:pPr>
        <w:spacing w:after="0" w:line="162"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Our core focus is using technology to enable customers to make their lives simpler, their interactions straightforward, empower them to use their digital assets for everyday spending, and really see an increase in the value of loyalty from their favorite merchants.</w:t>
      </w:r>
    </w:p>
    <w:p>
      <w:pPr>
        <w:spacing w:after="0" w:line="162"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As David said, we are working with merchants as well to engage their customers through payments, differentiating themselves in the eyes of their customers and really helping them to grow their businesses, by reaching new customers and new customer segments, creating a sense of community amongst their customers.</w:t>
      </w:r>
    </w:p>
    <w:p>
      <w:pPr>
        <w:spacing w:after="0" w:line="175"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We are creating a connected marketplace of payments powering rewards, and rewards powering loyalty and redemption, all navigated easily and quickly and with profound transparency. It’s this transformative consumer marketplace that is at the heart of Bakkt. We are built on a platform that is engineered to natively support digital assets across a wide range of classes. It’s scalable and importantly, it’s built with strong regulatory and compliance controls.</w:t>
      </w:r>
    </w:p>
    <w:p>
      <w:pPr>
        <w:spacing w:after="0" w:line="180"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This trifecta of advantages fuels not just competitive differentiation, but builds a competitive moat around the offering. As our customers transact, the network grows. We see revenue through merchant discount rates, through transaction fees, through subscription fees, and through spread.</w:t>
      </w:r>
    </w:p>
    <w:p>
      <w:pPr>
        <w:spacing w:after="0" w:line="162"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In addition to the revenue, we’re gaining real-time insights into customers’ preferences and buying habits. We know where they are browsing online at any moment, allowing us to provide a targeted hyper-personalized reward or offer to really help convert browsing into sales. We are building this virtuous cycle that’s underpinned by strong economics.</w:t>
      </w:r>
    </w:p>
    <w:p>
      <w:pPr>
        <w:spacing w:after="0" w:line="175" w:lineRule="exact"/>
        <w:rPr>
          <w:sz w:val="20"/>
          <w:szCs w:val="20"/>
          <w:color w:val="auto"/>
        </w:rPr>
      </w:pPr>
    </w:p>
    <w:p>
      <w:pPr>
        <w:ind w:right="660" w:firstLine="436"/>
        <w:spacing w:after="0" w:line="278" w:lineRule="auto"/>
        <w:rPr>
          <w:sz w:val="20"/>
          <w:szCs w:val="20"/>
          <w:color w:val="auto"/>
        </w:rPr>
      </w:pPr>
      <w:r>
        <w:rPr>
          <w:rFonts w:ascii="Times New Roman" w:cs="Times New Roman" w:eastAsia="Times New Roman" w:hAnsi="Times New Roman"/>
          <w:sz w:val="18"/>
          <w:szCs w:val="18"/>
          <w:color w:val="auto"/>
        </w:rPr>
        <w:t>And finally, digital technology leads to financial inclusion. It increases efficiency, it reduces complexity, and it lowers costs, empowering individuals and offering a real opportunity to democratize payments.</w:t>
      </w:r>
    </w:p>
    <w:p>
      <w:pPr>
        <w:spacing w:after="0" w:line="162" w:lineRule="exact"/>
        <w:rPr>
          <w:sz w:val="20"/>
          <w:szCs w:val="20"/>
          <w:color w:val="auto"/>
        </w:rPr>
      </w:pPr>
    </w:p>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t>Our collective experience operating in this industry enables us to understand the magnitude of the challenge ahead of us. We understand the complexities of the industry and importantly, the complexities and histories that shape each individual company we work with. We have real clarity on our ambition and how we’ll realize it. We have an experienced management team that’s proven and backed by ICE.</w:t>
      </w:r>
    </w:p>
    <w:p>
      <w:pPr>
        <w:spacing w:after="0" w:line="175"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The next slide really talks about the digital assets that are driving this new dynamic economy. Digital assets across a broad range of classes: digital currency, loyalty points and miles, gift cards, in-game assets, cryptocurrency, and stocks and derivatives, driving a new and emerging economy.</w:t>
      </w:r>
    </w:p>
    <w:p>
      <w:pPr>
        <w:spacing w:after="0" w:line="162"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The next slide speaks to the large and growing market. We are working in a massive SAM valued at $1.6 trillion that we see growing at 26% CAGR over the next five years. It’s large and untapped with an unbounded TAM. We have the ability to grow Bakkt through international expansion, increase asset class digitization, more participation on the platform, and the ability to trade equity and fractional shares.</w:t>
      </w:r>
    </w:p>
    <w:p>
      <w:pPr>
        <w:spacing w:after="0" w:line="175"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And then finally, the value that’s unlocked by Bakkt is by driving digital assets into everyday use, using digital assets as new types of currency, creating a marketplace with strong embedded ecosystems, unlocking the captive and consumer spending power, and doing this with a strong eye on regulation, both AML and KYC.</w:t>
      </w:r>
    </w:p>
    <w:p>
      <w:pPr>
        <w:spacing w:after="0" w:line="175"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If we move to the next section on page 13, you see the history of Bakkt. You see that we’ve had a strong ambition to be a digital asset marketplace with broad application. Founded in 2018 to bring trust and transparency to digital assets, we are now delivering against our mission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444" w:name="page445"/>
    <w:bookmarkEnd w:id="444"/>
    <w:p>
      <w:pPr>
        <w:jc w:val="both"/>
        <w:ind w:right="20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help customers and merchants maximize the value of these digital assets. Several acquisitions have been made through the company’s history, with one of the most significant being completed in February of last year, the acquisition of Bridge2 Solutions, a company that provides us with access to merchants and loyalty partners, as well as being a trusted delivery partner to many of the large institutions with established loyalty programs.</w:t>
      </w:r>
    </w:p>
    <w:p>
      <w:pPr>
        <w:spacing w:after="0" w:line="160"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The value proposition for Bakkt is simple: empowerment of customers, improving customer engagement, and reducing the merchant and loyalty sponsors’ rewards liabilities.</w:t>
      </w:r>
    </w:p>
    <w:p>
      <w:pPr>
        <w:spacing w:after="0" w:line="162" w:lineRule="exact"/>
        <w:rPr>
          <w:sz w:val="20"/>
          <w:szCs w:val="20"/>
          <w:color w:val="auto"/>
        </w:rPr>
      </w:pPr>
    </w:p>
    <w:p>
      <w:pPr>
        <w:ind w:right="380" w:firstLine="436"/>
        <w:spacing w:after="0" w:line="278" w:lineRule="auto"/>
        <w:rPr>
          <w:sz w:val="20"/>
          <w:szCs w:val="20"/>
          <w:color w:val="auto"/>
        </w:rPr>
      </w:pPr>
      <w:r>
        <w:rPr>
          <w:rFonts w:ascii="Times New Roman" w:cs="Times New Roman" w:eastAsia="Times New Roman" w:hAnsi="Times New Roman"/>
          <w:sz w:val="18"/>
          <w:szCs w:val="18"/>
          <w:color w:val="auto"/>
        </w:rPr>
        <w:t>With that, I’d like to turn over to our Chief Product Officer, Nicolas, to take us through more about the product, the roadmap, and some early feedback that we’ve been getting from customers. Nic, over to you.</w:t>
      </w:r>
    </w:p>
    <w:p>
      <w:pPr>
        <w:spacing w:after="0" w:line="158" w:lineRule="exact"/>
        <w:rPr>
          <w:sz w:val="20"/>
          <w:szCs w:val="20"/>
          <w:color w:val="auto"/>
        </w:rPr>
      </w:pPr>
    </w:p>
    <w:p>
      <w:pPr>
        <w:ind w:right="2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Nicolas Cabrera: </w:t>
      </w:r>
      <w:r>
        <w:rPr>
          <w:rFonts w:ascii="Times New Roman" w:cs="Times New Roman" w:eastAsia="Times New Roman" w:hAnsi="Times New Roman"/>
          <w:sz w:val="18"/>
          <w:szCs w:val="18"/>
          <w:color w:val="auto"/>
        </w:rPr>
        <w:t>Thanks, Gavin. Hi, everyone. My name is Nicolas Cabrera, and I’m the Chief Product Officer at Bakkt. I joined Bakkt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years ago, helping defining the unique value prop Bakkt is bringing to market for our consumers and partners, and developing a unique set of capabilities and app experience that we are now launching invite only in the U.S. market.</w:t>
      </w:r>
    </w:p>
    <w:p>
      <w:pPr>
        <w:spacing w:after="0" w:line="174"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My background is in consumer payments and commerce, previously worked at eBay and PayPal, both in Australia and in the U.S., before cofounding a couple of businesses in the U.S. before joining Bakkt.</w:t>
      </w:r>
    </w:p>
    <w:p>
      <w:pPr>
        <w:spacing w:after="0" w:line="162" w:lineRule="exact"/>
        <w:rPr>
          <w:sz w:val="20"/>
          <w:szCs w:val="20"/>
          <w:color w:val="auto"/>
        </w:rPr>
      </w:pPr>
    </w:p>
    <w:p>
      <w:pPr>
        <w:ind w:right="40" w:firstLine="436"/>
        <w:spacing w:after="0" w:line="285" w:lineRule="auto"/>
        <w:rPr>
          <w:sz w:val="20"/>
          <w:szCs w:val="20"/>
          <w:color w:val="auto"/>
        </w:rPr>
      </w:pPr>
      <w:r>
        <w:rPr>
          <w:rFonts w:ascii="Times New Roman" w:cs="Times New Roman" w:eastAsia="Times New Roman" w:hAnsi="Times New Roman"/>
          <w:sz w:val="17"/>
          <w:szCs w:val="17"/>
          <w:color w:val="auto"/>
        </w:rPr>
        <w:t>So Gavin walked you through our exciting vision in unlocking the captive value of digital assets for both consumers and some of our partners. And in the last two years at Bakkt, we’ve been busy building a unique set of capabilities that is really sitting in the intersection of payments, exchanges, and loyalty redemption. And that’s the integration of those three set of capabilities into one platform that really set us apart in the marketplace.</w:t>
      </w:r>
    </w:p>
    <w:p>
      <w:pPr>
        <w:spacing w:after="0" w:line="160" w:lineRule="exact"/>
        <w:rPr>
          <w:sz w:val="20"/>
          <w:szCs w:val="20"/>
          <w:color w:val="auto"/>
        </w:rPr>
      </w:pPr>
    </w:p>
    <w:p>
      <w:pPr>
        <w:ind w:right="260" w:firstLine="436"/>
        <w:spacing w:after="0" w:line="263" w:lineRule="auto"/>
        <w:rPr>
          <w:sz w:val="20"/>
          <w:szCs w:val="20"/>
          <w:color w:val="auto"/>
        </w:rPr>
      </w:pPr>
      <w:r>
        <w:rPr>
          <w:rFonts w:ascii="Times New Roman" w:cs="Times New Roman" w:eastAsia="Times New Roman" w:hAnsi="Times New Roman"/>
          <w:sz w:val="18"/>
          <w:szCs w:val="18"/>
          <w:color w:val="auto"/>
        </w:rPr>
        <w:t>And before we started developing these unique set of capabilities, we’ve done comprehensive research all over the country, and interviewing consumers to really understand how they currently engage with their digital assets and understand some of the frictions or the issue, the problem that consumers have today experiencing their digital assets.</w:t>
      </w:r>
    </w:p>
    <w:p>
      <w:pPr>
        <w:spacing w:after="0" w:line="175"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And what we heard loud and clear are two main frictions. One is the fragmentation of digital assets today. People realize their own value in the form of points, in miles, in cashbacks, maybe gift cards; maybe they traded some crypto assets. But to do so, they need to engage in multiple programs, multiple apps, with different logins, different credentials. And because of that, we heard loud and clear from consumers that they felt that they leave value on the table.</w:t>
      </w:r>
    </w:p>
    <w:p>
      <w:pPr>
        <w:spacing w:after="0" w:line="180"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So what we bring to market at the core is one app, one wallet when our consumers—the Bakkt consumers—can aggregate all of their currency, all of their digital assets in one place.</w:t>
      </w:r>
    </w:p>
    <w:p>
      <w:pPr>
        <w:spacing w:after="0" w:line="16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So you can visualize your entire portfolio of points of cash backs, or rewards loyalty. All the time of your in game assets and others, all of those visualize in one aggregated portfolio. This is what you see on the left here on this slide. And then from there when consumers can see the value that they own across all of those assets we empower our Bakkt users to convert or trade the value of any of those assets and convert those into what they’re in markets for today.</w:t>
      </w:r>
    </w:p>
    <w:p>
      <w:pPr>
        <w:spacing w:after="0" w:line="180" w:lineRule="exact"/>
        <w:rPr>
          <w:sz w:val="20"/>
          <w:szCs w:val="20"/>
          <w:color w:val="auto"/>
        </w:rPr>
      </w:pPr>
    </w:p>
    <w:p>
      <w:pPr>
        <w:jc w:val="both"/>
        <w:ind w:right="20" w:firstLine="436"/>
        <w:spacing w:after="0" w:line="263" w:lineRule="auto"/>
        <w:rPr>
          <w:sz w:val="20"/>
          <w:szCs w:val="20"/>
          <w:color w:val="auto"/>
        </w:rPr>
      </w:pPr>
      <w:r>
        <w:rPr>
          <w:rFonts w:ascii="Times New Roman" w:cs="Times New Roman" w:eastAsia="Times New Roman" w:hAnsi="Times New Roman"/>
          <w:sz w:val="18"/>
          <w:szCs w:val="18"/>
          <w:color w:val="auto"/>
        </w:rPr>
        <w:t>For example, if I’m in the market to book my next family trip I’m interested in miles. So I might be okay to start converting some of the points or the value of my gift card to get access to more miles that I can then use to redeem on this platform for seats in plane for my next family trip. So this idea that any of those assets that we should put on the app are fungible and can be converted to extract the value that makes sense for our consumers.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8" w:right="539" w:bottom="1440" w:gutter="0" w:footer="0" w:header="0"/>
        </w:sectPr>
      </w:pPr>
    </w:p>
    <w:bookmarkStart w:id="445" w:name="page446"/>
    <w:bookmarkEnd w:id="445"/>
    <w:p>
      <w:pPr>
        <w:jc w:val="both"/>
        <w:ind w:right="140"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we also make any of those digital assets available as a way to pay online through our online checkout solution, in stores, through the Bakkt virtual cards that we’ve connected to through the Bakkt wallet or also through direct payment integration that we have done with some of our partners, for example, with Starbucks already live into the Starbucks apps today. So this is the unique set of capabilities that Bakkt bring to markets for both our consumers and our partners. And this is really a unique set of capabilities that set us apart in the digital asset ecosystem.</w:t>
      </w:r>
    </w:p>
    <w:p>
      <w:pPr>
        <w:spacing w:after="0" w:line="180"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A lot of our peers in this space provide either an ability to P2P some of those assets—so I can send cash to another user or I can maybe send some crypto assets. Or maybe I can trade, buy and sell within the silo of those assets. For example, on Robinhood or Coinbase I can buy and sell crypto or I can buy and sell some fractional shares. But what we do within our Bakkt apps is a lot of those capabilities. You can P2P any of the assets that you linked within your Bakkt wallet. You can also buy and sell any of those assets. But you can convert the value of one asset to cash or the value of one asset into the other asset. So really empowering our consumers to extract an increase in spending power by unleashing the value of those assets.</w:t>
      </w:r>
    </w:p>
    <w:p>
      <w:pPr>
        <w:spacing w:after="0" w:line="184"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And we’re doing that having been born as part of ICE with a very strict, secure, and regulatory approach across all of those asset classes. And I’m gonna come back on that a bit later on.</w:t>
      </w:r>
    </w:p>
    <w:p>
      <w:pPr>
        <w:spacing w:after="0" w:line="162" w:lineRule="exact"/>
        <w:rPr>
          <w:sz w:val="20"/>
          <w:szCs w:val="20"/>
          <w:color w:val="auto"/>
        </w:rPr>
      </w:pPr>
    </w:p>
    <w:p>
      <w:pPr>
        <w:ind w:right="140" w:firstLine="436"/>
        <w:spacing w:after="0" w:line="254" w:lineRule="auto"/>
        <w:rPr>
          <w:sz w:val="20"/>
          <w:szCs w:val="20"/>
          <w:color w:val="auto"/>
        </w:rPr>
      </w:pPr>
      <w:r>
        <w:rPr>
          <w:rFonts w:ascii="Times New Roman" w:cs="Times New Roman" w:eastAsia="Times New Roman" w:hAnsi="Times New Roman"/>
          <w:sz w:val="18"/>
          <w:szCs w:val="18"/>
          <w:color w:val="auto"/>
        </w:rPr>
        <w:t>On the next slide you will see the existing capabilities that we have already lied in markets as invite only on our apps. And then some of the additional asset classes like in game assets, shares, and fractional shares that we’re bringing to market starting in 2021. As I mentioned, having been born out of ICE have a regulatory approach and a high labor standard on security and risk management. And from day one since we’ve been purposely built for accommodating any digital asset class we’ve been thinking how we handle KYC, AML, or PEP Check across all asset classes. So we’re not a legacy system, a legacy payment technology that try to go and support new asset classes. From day one our platform support all of the regulatory requirements to accumulate any of these assets in a very secure environment.</w:t>
      </w:r>
    </w:p>
    <w:p>
      <w:pPr>
        <w:spacing w:after="0" w:line="184"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And this is what you see on the detail view of our technology stack. All of our infrastructure around settlement, around banking, around the way we treat tax returns, the way we handle custody of some of those assets in our platform capabilities have been integrated and designed to support four main experiences for our consumers and our partners. This is what you see on top of the technology stack. And those four capabilities are one—we talked about this—the real time exchange and conversion across assets. We are the unique and only platform that allows this real time conversion in the U.S. today.</w:t>
      </w:r>
    </w:p>
    <w:p>
      <w:pPr>
        <w:spacing w:after="0" w:line="184"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We also talk about using any of those assets as a funding source for any sort of actions. So the ability to spend and pay any of those assets with our partners in store or online. We also make any of those assets available as P2P. And the way we treat P2P is we allow the receiver of P2P to decide how they want to receive the value that another Bakkt customer will send them. For example, if I decide to send $50 Starbucks gift card to another Bakkt customer the receiver of that trade will be able to decide how they want to receive this $50 value. If they happen not to be a Starbucks customer they can receive this $50 in the form of another gift card from another merchant or even $50 in the form of points or miles or maybe crypto. So that’s a way that we expand the pie of digital assets.</w:t>
      </w:r>
    </w:p>
    <w:p>
      <w:pPr>
        <w:spacing w:after="0" w:line="184"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And we obviously have best in class training capabilities today across crypto assets. And as I mentioned I’ve thought about road mapping 2021 to support shares and in game assets. We talked about the unique value proposition that we bring to consumers around the aggregation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446" w:name="page447"/>
    <w:bookmarkEnd w:id="446"/>
    <w:p>
      <w:pPr>
        <w:ind w:right="1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opportunity to create those liquidity events across digital assets. But we also worked hard on the other side of the marketplace to reclaim the control and the attribution with our partners. They’re bringing a lot of the currencies to our platform and you see the number of partners we already support. More than 250 merchants or loyalty sponsors that we have live already in our environment with different level of capabilities.</w:t>
      </w:r>
    </w:p>
    <w:p>
      <w:pPr>
        <w:spacing w:after="0" w:line="175" w:lineRule="exact"/>
        <w:rPr>
          <w:sz w:val="20"/>
          <w:szCs w:val="20"/>
          <w:color w:val="auto"/>
        </w:rPr>
      </w:pPr>
    </w:p>
    <w:p>
      <w:pPr>
        <w:ind w:right="120" w:firstLine="436"/>
        <w:spacing w:after="0" w:line="254" w:lineRule="auto"/>
        <w:rPr>
          <w:sz w:val="20"/>
          <w:szCs w:val="20"/>
          <w:color w:val="auto"/>
        </w:rPr>
      </w:pPr>
      <w:r>
        <w:rPr>
          <w:rFonts w:ascii="Times New Roman" w:cs="Times New Roman" w:eastAsia="Times New Roman" w:hAnsi="Times New Roman"/>
          <w:sz w:val="18"/>
          <w:szCs w:val="18"/>
          <w:color w:val="auto"/>
        </w:rPr>
        <w:t>And you see here the number of partners across large financial institutions, travel and entertainment—all everyday consumer brands that we are finalizing the integration with to expand the customer experience that we bring to market. The value prop for our partners is very strong. The ability to add additional redemption options across their own currency, the ability to provide more value to their own currencies—now I can use my points or my miles as an everyday purchase as Starbucks, for example. And we make sure that as part of the expanse the control and the attribution remain with the partner. So they like the ability that they can set the price, the conversion rate either as a platform label or down to each individual user based on user profiles on the platform.</w:t>
      </w:r>
    </w:p>
    <w:p>
      <w:pPr>
        <w:spacing w:after="0" w:line="184" w:lineRule="exact"/>
        <w:rPr>
          <w:sz w:val="20"/>
          <w:szCs w:val="20"/>
          <w:color w:val="auto"/>
        </w:rPr>
      </w:pPr>
    </w:p>
    <w:p>
      <w:pPr>
        <w:jc w:val="both"/>
        <w:ind w:right="180" w:firstLine="436"/>
        <w:spacing w:after="0" w:line="263" w:lineRule="auto"/>
        <w:rPr>
          <w:sz w:val="20"/>
          <w:szCs w:val="20"/>
          <w:color w:val="auto"/>
        </w:rPr>
      </w:pPr>
      <w:r>
        <w:rPr>
          <w:rFonts w:ascii="Times New Roman" w:cs="Times New Roman" w:eastAsia="Times New Roman" w:hAnsi="Times New Roman"/>
          <w:sz w:val="18"/>
          <w:szCs w:val="18"/>
          <w:color w:val="auto"/>
        </w:rPr>
        <w:t>That control and those attributions is very critical as part of our marketplace. Hopefully that give you a good sense of our unique capabilities on the platform and the way we handle consumers and partner experiences. We have these inflection points of scaling and adding more users and partners later in Q1 when we remove the white list on our apps and make this available to everyone in the U.S..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Now I’d like to bring it back to Gavin that can walk you through how we monetize each of those experiences on the platform. Back to you, Gavin.</w:t>
      </w:r>
    </w:p>
    <w:p>
      <w:pPr>
        <w:spacing w:after="0" w:line="228"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Gavin Michaels: </w:t>
      </w:r>
      <w:r>
        <w:rPr>
          <w:rFonts w:ascii="Times New Roman" w:cs="Times New Roman" w:eastAsia="Times New Roman" w:hAnsi="Times New Roman"/>
          <w:sz w:val="18"/>
          <w:szCs w:val="18"/>
          <w:color w:val="auto"/>
        </w:rPr>
        <w:t>If we turn to page 21 you can see the modellable sources of revenue that Bakkt can generate across the transactions that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our environment. As Nic described, there are four key activities that our customers undertake: payments, trading, conversion, and our very unique approach to P2P. We have four ways to earn revenue while things are executing: merchant discount rates, spread, transaction fees, and subscription fees. You see on the lower half of this slide examples of the transactions and how the revenue opportunities get applied.</w:t>
      </w:r>
    </w:p>
    <w:p>
      <w:pPr>
        <w:spacing w:after="0" w:line="180"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Let’s take one for example which is the conversion of fiat currency into Bitcoin. Here you see that we earn 200 bits of spread on the Bitcoin tract. You can see that that’s an example of the application of a spread revenue into a conversion. If we move to the next slide we’ve spoken about the need for a powerful flywheel effect backed as a single integrated wallet sitting at the center of a rich ecosystem with strong value propositions to customers, to merchants, and to loyalty sponsors. We believe this is a very unique positioning of anyone in the marketplace to be able to satisfy such a rich set of stakeholders.</w:t>
      </w:r>
    </w:p>
    <w:p>
      <w:pPr>
        <w:spacing w:after="0" w:line="184"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The next slide, page 23, opportunities for growth. Whether they be with user, increased participation, or international expansion, the introduction of new productions onto the platform, or the monetization of the data that’s generated during the transactions being executed.</w:t>
      </w:r>
    </w:p>
    <w:p>
      <w:pPr>
        <w:spacing w:after="0" w:line="162"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Page 24 outlines the leadership team at Bakkt. You can see a diverse set of backgrounds with experience generated both in financial services and out of financial services. We believe the unique combination of this talent provides a significant competitive differentiation for Bakkt.</w:t>
      </w:r>
    </w:p>
    <w:p>
      <w:pPr>
        <w:spacing w:after="0" w:line="162" w:lineRule="exact"/>
        <w:rPr>
          <w:sz w:val="20"/>
          <w:szCs w:val="20"/>
          <w:color w:val="auto"/>
        </w:rPr>
      </w:pPr>
    </w:p>
    <w:p>
      <w:pPr>
        <w:jc w:val="center"/>
        <w:ind w:left="500" w:right="420"/>
        <w:spacing w:after="0" w:line="448" w:lineRule="auto"/>
        <w:rPr>
          <w:sz w:val="20"/>
          <w:szCs w:val="20"/>
          <w:color w:val="auto"/>
        </w:rPr>
      </w:pPr>
      <w:r>
        <w:rPr>
          <w:rFonts w:ascii="Times New Roman" w:cs="Times New Roman" w:eastAsia="Times New Roman" w:hAnsi="Times New Roman"/>
          <w:sz w:val="18"/>
          <w:szCs w:val="18"/>
          <w:color w:val="auto"/>
        </w:rPr>
        <w:t>With that I’d like to hang over to David to take us through some of the financial metrics associated with Bakkt right now. David, over to you. 6</w:t>
      </w:r>
    </w:p>
    <w:p>
      <w:pPr>
        <w:sectPr>
          <w:pgSz w:w="11900" w:h="16838" w:orient="portrait"/>
          <w:cols w:equalWidth="0" w:num="1">
            <w:col w:w="10920"/>
          </w:cols>
          <w:pgMar w:left="480" w:top="268" w:right="499" w:bottom="1440" w:gutter="0" w:footer="0" w:header="0"/>
        </w:sectPr>
      </w:pPr>
    </w:p>
    <w:bookmarkStart w:id="447" w:name="page448"/>
    <w:bookmarkEnd w:id="447"/>
    <w:p>
      <w:pPr>
        <w:ind w:right="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David Clifton</w:t>
      </w:r>
      <w:r>
        <w:rPr>
          <w:rFonts w:ascii="Times New Roman" w:cs="Times New Roman" w:eastAsia="Times New Roman" w:hAnsi="Times New Roman"/>
          <w:sz w:val="18"/>
          <w:szCs w:val="18"/>
          <w:color w:val="auto"/>
        </w:rPr>
        <w:t>: Thanks, Gavin. If you turn to slide 26 you’ll see the compelling projected financial profile of Bakkt. And there are two metrics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slide that I’d like to call out. First is the active users. Over 30 million by the end of 2025. And next is the total revenue less transaction based expenses CADR of 75% from 2021 to 2025. To me, these are both very exciting metrics.</w:t>
      </w:r>
    </w:p>
    <w:p>
      <w:pPr>
        <w:spacing w:after="0" w:line="174" w:lineRule="exact"/>
        <w:rPr>
          <w:sz w:val="20"/>
          <w:szCs w:val="20"/>
          <w:color w:val="auto"/>
        </w:rPr>
      </w:pPr>
    </w:p>
    <w:p>
      <w:pPr>
        <w:jc w:val="both"/>
        <w:ind w:right="380" w:firstLine="436"/>
        <w:spacing w:after="0" w:line="263" w:lineRule="auto"/>
        <w:rPr>
          <w:sz w:val="20"/>
          <w:szCs w:val="20"/>
          <w:color w:val="auto"/>
        </w:rPr>
      </w:pPr>
      <w:r>
        <w:rPr>
          <w:rFonts w:ascii="Times New Roman" w:cs="Times New Roman" w:eastAsia="Times New Roman" w:hAnsi="Times New Roman"/>
          <w:sz w:val="18"/>
          <w:szCs w:val="18"/>
          <w:color w:val="auto"/>
        </w:rPr>
        <w:t>If you could please turn to the next slide you’ll see that user growth number reflected and compared next to Robinhood and Cash App which demonstrates that this is a very achievable number, particularly when you take into account the advantages that Bakkt has in terms of the breadth of assets, its partnerships, and the adoption rate of digital assets.</w:t>
      </w:r>
    </w:p>
    <w:p>
      <w:pPr>
        <w:spacing w:after="0" w:line="175" w:lineRule="exact"/>
        <w:rPr>
          <w:sz w:val="20"/>
          <w:szCs w:val="20"/>
          <w:color w:val="auto"/>
        </w:rPr>
      </w:pPr>
    </w:p>
    <w:p>
      <w:pPr>
        <w:jc w:val="both"/>
        <w:ind w:right="220" w:firstLine="436"/>
        <w:spacing w:after="0" w:line="263" w:lineRule="auto"/>
        <w:rPr>
          <w:sz w:val="20"/>
          <w:szCs w:val="20"/>
          <w:color w:val="auto"/>
        </w:rPr>
      </w:pPr>
      <w:r>
        <w:rPr>
          <w:rFonts w:ascii="Times New Roman" w:cs="Times New Roman" w:eastAsia="Times New Roman" w:hAnsi="Times New Roman"/>
          <w:sz w:val="18"/>
          <w:szCs w:val="18"/>
          <w:color w:val="auto"/>
        </w:rPr>
        <w:t>Turning to slide 28 you’ll see an overview of the five year P&amp;L. Just a couple of things to point out here, again, you’ll see in the far right hand column—the CADR I previously mentioned which is very attractive—and it’s important to note the total revenue less transaction based expenses line item which reflects net revenue versus the growth revenue that’s shown on the total revenue line item.</w:t>
      </w:r>
    </w:p>
    <w:p>
      <w:pPr>
        <w:spacing w:after="0" w:line="175" w:lineRule="exact"/>
        <w:rPr>
          <w:sz w:val="20"/>
          <w:szCs w:val="20"/>
          <w:color w:val="auto"/>
        </w:rPr>
      </w:pPr>
    </w:p>
    <w:p>
      <w:pPr>
        <w:ind w:right="280" w:firstLine="436"/>
        <w:spacing w:after="0" w:line="278" w:lineRule="auto"/>
        <w:rPr>
          <w:sz w:val="20"/>
          <w:szCs w:val="20"/>
          <w:color w:val="auto"/>
        </w:rPr>
      </w:pPr>
      <w:r>
        <w:rPr>
          <w:rFonts w:ascii="Times New Roman" w:cs="Times New Roman" w:eastAsia="Times New Roman" w:hAnsi="Times New Roman"/>
          <w:sz w:val="18"/>
          <w:szCs w:val="18"/>
          <w:color w:val="auto"/>
        </w:rPr>
        <w:t>Turning to the next slide, again you’ll see another compelling metric which is our TAC. Starting in 2020 at $15 per user and declining to seven dollars per user in 2025, this metric is very favorable when compared to industry cohorts.</w:t>
      </w:r>
    </w:p>
    <w:p>
      <w:pPr>
        <w:spacing w:after="0" w:line="162" w:lineRule="exact"/>
        <w:rPr>
          <w:sz w:val="20"/>
          <w:szCs w:val="20"/>
          <w:color w:val="auto"/>
        </w:rPr>
      </w:pPr>
    </w:p>
    <w:p>
      <w:pPr>
        <w:ind w:right="580" w:firstLine="436"/>
        <w:spacing w:after="0" w:line="263" w:lineRule="auto"/>
        <w:rPr>
          <w:sz w:val="20"/>
          <w:szCs w:val="20"/>
          <w:color w:val="auto"/>
        </w:rPr>
      </w:pPr>
      <w:r>
        <w:rPr>
          <w:rFonts w:ascii="Times New Roman" w:cs="Times New Roman" w:eastAsia="Times New Roman" w:hAnsi="Times New Roman"/>
          <w:sz w:val="18"/>
          <w:szCs w:val="18"/>
          <w:color w:val="auto"/>
        </w:rPr>
        <w:t>Lastly, turning to slide 30 you’ll see the investment plan. As we previously noted, the cash raised in this transaction will be used almost exclusively for customer acquisition, and that’s reflected here. The vast majority of the money will be used on marketing and personnel. And the personnel line item really reflects engineering and development resources.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that, I’d like to turn it over to Gordon to talk a little bit about the transaction.</w:t>
      </w:r>
    </w:p>
    <w:p>
      <w:pPr>
        <w:spacing w:after="0" w:line="217"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Gordon Watson: </w:t>
      </w:r>
      <w:r>
        <w:rPr>
          <w:rFonts w:ascii="Times New Roman" w:cs="Times New Roman" w:eastAsia="Times New Roman" w:hAnsi="Times New Roman"/>
          <w:sz w:val="18"/>
          <w:szCs w:val="18"/>
          <w:color w:val="auto"/>
        </w:rPr>
        <w:t>Thanks David. If you turn to slide 32 there’s an overview of the transaction here. You’ll see there’s $207 million held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alongside a $325 million fully committed PIPE. Again, that was upsized due to a very strong reception as we marketed it. On the right side you can see the pro-forma enterprise value here to total revenue less transaction based expenses. We feel this company is set up to perform very well in the public markets based on its comparables(PH) and the very strong growth profile we have over the next coming years.</w:t>
      </w:r>
    </w:p>
    <w:p>
      <w:pPr>
        <w:spacing w:after="0" w:line="180"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If you turn to the next slide—if you look at this company over the coming years it’s gonna have 75.2% CADR of revenue growth which is very strong compared to the peers on the right. We’ll have a 55% EBITDA margin. Again, we think these are both highly achievable targets based on the user growth we’re projecting in the consumer app.</w:t>
      </w:r>
    </w:p>
    <w:p>
      <w:pPr>
        <w:spacing w:after="0" w:line="175"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And then just finally if you look at the enterprise value of the comparables we feel that the multiple we’re bringing this to public at is very reasonable when compared to peers. And if we’re able to execute on our financial plan in the coming years that the transaction should perform very well for our SPAC shareholders.</w:t>
      </w:r>
    </w:p>
    <w:p>
      <w:pPr>
        <w:spacing w:after="0" w:line="175" w:lineRule="exact"/>
        <w:rPr>
          <w:sz w:val="20"/>
          <w:szCs w:val="20"/>
          <w:color w:val="auto"/>
        </w:rPr>
      </w:pPr>
    </w:p>
    <w:p>
      <w:pPr>
        <w:ind w:right="200" w:firstLine="436"/>
        <w:spacing w:after="0" w:line="263" w:lineRule="auto"/>
        <w:rPr>
          <w:sz w:val="20"/>
          <w:szCs w:val="20"/>
          <w:color w:val="auto"/>
        </w:rPr>
      </w:pPr>
      <w:r>
        <w:rPr>
          <w:rFonts w:ascii="Times New Roman" w:cs="Times New Roman" w:eastAsia="Times New Roman" w:hAnsi="Times New Roman"/>
          <w:sz w:val="18"/>
          <w:szCs w:val="18"/>
          <w:color w:val="auto"/>
        </w:rPr>
        <w:t>With that I’d like to point out that there is a demo video on our website which I encourage you all to view to see the consumer facing app which we feel is a game changing product and hopefully you’ll agree once you see the demo. With that I’m gonna thank everyone for coming. We’re very excited about the transaction here with Bakkt and we look forward to the future growth of the business. Thank you.</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Thank concludes today’s conference call. Thank you. You may now disconnect.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4" w:right="519" w:bottom="1440" w:gutter="0" w:footer="0" w:header="0"/>
        </w:sectPr>
      </w:pPr>
    </w:p>
    <w:bookmarkStart w:id="448" w:name="page449"/>
    <w:bookmarkEnd w:id="448"/>
    <w:p>
      <w:pPr>
        <w:ind w:left="904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179070</wp:posOffset>
            </wp:positionV>
            <wp:extent cx="7094855" cy="40170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449" w:name="page450"/>
    <w:bookmarkEnd w:id="4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0" w:name="page451"/>
    <w:bookmarkEnd w:id="4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1" w:name="page452"/>
    <w:bookmarkEnd w:id="451"/>
    <w:p>
      <w:pPr>
        <w:ind w:left="9040"/>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178435</wp:posOffset>
            </wp:positionV>
            <wp:extent cx="7094855" cy="40170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452" w:name="page453"/>
    <w:bookmarkEnd w:id="4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7" w:name="page458"/>
    <w:bookmarkEnd w:id="4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2" w:name="page463"/>
    <w:bookmarkEnd w:id="4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3" w:name="page464"/>
    <w:bookmarkEnd w:id="4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906F60"/>
    <w:multiLevelType w:val="hybridMultilevel"/>
    <w:lvl w:ilvl="0">
      <w:lvlJc w:val="left"/>
      <w:lvlText w:val="☒"/>
      <w:numFmt w:val="bullet"/>
      <w:start w:val="1"/>
    </w:lvl>
  </w:abstractNum>
  <w:abstractNum w:abstractNumId="1">
    <w:nsid w:val="10DB9DAA"/>
    <w:multiLevelType w:val="hybridMultilevel"/>
    <w:lvl w:ilvl="0">
      <w:lvlJc w:val="left"/>
      <w:lvlText w:val="☐"/>
      <w:numFmt w:val="bullet"/>
      <w:start w:val="1"/>
    </w:lvl>
  </w:abstractNum>
  <w:abstractNum w:abstractNumId="2">
    <w:nsid w:val="697D2D2"/>
    <w:multiLevelType w:val="hybridMultilevel"/>
    <w:lvl w:ilvl="0">
      <w:lvlJc w:val="left"/>
      <w:lvlText w:val="(%1)"/>
      <w:numFmt w:val="lowerRoman"/>
      <w:start w:val="1"/>
    </w:lvl>
  </w:abstractNum>
  <w:abstractNum w:abstractNumId="3">
    <w:nsid w:val="6D68AB2"/>
    <w:multiLevelType w:val="hybridMultilevel"/>
    <w:lvl w:ilvl="0">
      <w:lvlJc w:val="left"/>
      <w:lvlText w:val="(%1)"/>
      <w:numFmt w:val="lowerLetter"/>
      <w:start w:val="1"/>
    </w:lvl>
  </w:abstractNum>
  <w:abstractNum w:abstractNumId="4">
    <w:nsid w:val="3A966CD0"/>
    <w:multiLevelType w:val="hybridMultilevel"/>
    <w:lvl w:ilvl="0">
      <w:lvlJc w:val="left"/>
      <w:lvlText w:val="*"/>
      <w:numFmt w:val="bullet"/>
      <w:start w:val="1"/>
    </w:lvl>
  </w:abstractNum>
  <w:abstractNum w:abstractNumId="5">
    <w:nsid w:val="63F37E85"/>
    <w:multiLevelType w:val="hybridMultilevel"/>
    <w:lvl w:ilvl="0">
      <w:lvlJc w:val="left"/>
      <w:lvlText w:val="(%1)"/>
      <w:numFmt w:val="lowerLetter"/>
      <w:start w:val="2"/>
    </w:lvl>
  </w:abstractNum>
  <w:abstractNum w:abstractNumId="6">
    <w:nsid w:val="5895F5FA"/>
    <w:multiLevelType w:val="hybridMultilevel"/>
    <w:lvl w:ilvl="0">
      <w:lvlJc w:val="left"/>
      <w:lvlText w:val="(%1)"/>
      <w:numFmt w:val="lowerRoman"/>
      <w:start w:val="1"/>
    </w:lvl>
  </w:abstractNum>
  <w:abstractNum w:abstractNumId="7">
    <w:nsid w:val="38A5D054"/>
    <w:multiLevelType w:val="hybridMultilevel"/>
    <w:lvl w:ilvl="0">
      <w:lvlJc w:val="left"/>
      <w:lvlText w:val="(%1)"/>
      <w:numFmt w:val="lowerLetter"/>
      <w:start w:val="1"/>
    </w:lvl>
    <w:lvl w:ilvl="1">
      <w:lvlJc w:val="left"/>
      <w:lvlText w:val="(%2)"/>
      <w:numFmt w:val="lowerRoman"/>
      <w:start w:val="1"/>
    </w:lvl>
  </w:abstractNum>
  <w:abstractNum w:abstractNumId="8">
    <w:nsid w:val="F3F09D8"/>
    <w:multiLevelType w:val="hybridMultilevel"/>
    <w:lvl w:ilvl="0">
      <w:lvlJc w:val="left"/>
      <w:lvlText w:val="(%1)"/>
      <w:numFmt w:val="lowerRoman"/>
      <w:start w:val="3"/>
    </w:lvl>
  </w:abstractNum>
  <w:abstractNum w:abstractNumId="9">
    <w:nsid w:val="4B793735"/>
    <w:multiLevelType w:val="hybridMultilevel"/>
    <w:lvl w:ilvl="0">
      <w:lvlJc w:val="left"/>
      <w:lvlText w:val="(%1)"/>
      <w:numFmt w:val="lowerLetter"/>
      <w:start w:val="1"/>
    </w:lvl>
  </w:abstractNum>
  <w:abstractNum w:abstractNumId="10">
    <w:nsid w:val="4A10B4E8"/>
    <w:multiLevelType w:val="hybridMultilevel"/>
    <w:lvl w:ilvl="0">
      <w:lvlJc w:val="left"/>
      <w:lvlText w:val="(%1)"/>
      <w:numFmt w:val="lowerLetter"/>
      <w:start w:val="4"/>
    </w:lvl>
  </w:abstractNum>
  <w:abstractNum w:abstractNumId="11">
    <w:nsid w:val="43D3BCD4"/>
    <w:multiLevelType w:val="hybridMultilevel"/>
    <w:lvl w:ilvl="0">
      <w:lvlJc w:val="left"/>
      <w:lvlText w:val="(%1)"/>
      <w:numFmt w:val="lowerLetter"/>
      <w:start w:val="1"/>
    </w:lvl>
  </w:abstractNum>
  <w:abstractNum w:abstractNumId="12">
    <w:nsid w:val="4C2A7166"/>
    <w:multiLevelType w:val="hybridMultilevel"/>
    <w:lvl w:ilvl="0">
      <w:lvlJc w:val="left"/>
      <w:lvlText w:val="(%1)"/>
      <w:numFmt w:val="lowerLetter"/>
      <w:start w:val="4"/>
    </w:lvl>
  </w:abstractNum>
  <w:abstractNum w:abstractNumId="13">
    <w:nsid w:val="2E534A82"/>
    <w:multiLevelType w:val="hybridMultilevel"/>
    <w:lvl w:ilvl="0">
      <w:lvlJc w:val="left"/>
      <w:lvlText w:val="(%1)"/>
      <w:numFmt w:val="lowerLetter"/>
      <w:start w:val="1"/>
    </w:lvl>
    <w:lvl w:ilvl="1">
      <w:lvlJc w:val="left"/>
      <w:lvlText w:val="(%2)"/>
      <w:numFmt w:val="lowerRoman"/>
      <w:start w:val="1"/>
    </w:lvl>
  </w:abstractNum>
  <w:abstractNum w:abstractNumId="14">
    <w:nsid w:val="26F2D364"/>
    <w:multiLevelType w:val="hybridMultilevel"/>
    <w:lvl w:ilvl="0">
      <w:lvlJc w:val="left"/>
      <w:lvlText w:val="(%1)"/>
      <w:numFmt w:val="lowerLetter"/>
      <w:start w:val="3"/>
    </w:lvl>
  </w:abstractNum>
  <w:abstractNum w:abstractNumId="15">
    <w:nsid w:val="71C1AF98"/>
    <w:multiLevelType w:val="hybridMultilevel"/>
    <w:lvl w:ilvl="0">
      <w:lvlJc w:val="left"/>
      <w:lvlText w:val="(%1)"/>
      <w:numFmt w:val="lowerLetter"/>
      <w:start w:val="1"/>
    </w:lvl>
  </w:abstractNum>
  <w:abstractNum w:abstractNumId="16">
    <w:nsid w:val="3D00B9D9"/>
    <w:multiLevelType w:val="hybridMultilevel"/>
    <w:lvl w:ilvl="0">
      <w:lvlJc w:val="left"/>
      <w:lvlText w:val="%1"/>
      <w:numFmt w:val="lowerLetter"/>
      <w:start w:val="1"/>
    </w:lvl>
    <w:lvl w:ilvl="1">
      <w:lvlJc w:val="left"/>
      <w:lvlText w:val="(%2)"/>
      <w:numFmt w:val="lowerLetter"/>
      <w:start w:val="3"/>
    </w:lvl>
  </w:abstractNum>
  <w:abstractNum w:abstractNumId="17">
    <w:nsid w:val="15BCABA8"/>
    <w:multiLevelType w:val="hybridMultilevel"/>
    <w:lvl w:ilvl="0">
      <w:lvlJc w:val="left"/>
      <w:lvlText w:val="(%1)"/>
      <w:numFmt w:val="lowerLetter"/>
      <w:start w:val="9"/>
    </w:lvl>
    <w:lvl w:ilvl="1">
      <w:lvlJc w:val="left"/>
      <w:lvlText w:val="%2"/>
      <w:numFmt w:val="lowerLetter"/>
      <w:start w:val="1"/>
    </w:lvl>
  </w:abstractNum>
  <w:abstractNum w:abstractNumId="18">
    <w:nsid w:val="4E0B9A87"/>
    <w:multiLevelType w:val="hybridMultilevel"/>
    <w:lvl w:ilvl="0">
      <w:lvlJc w:val="left"/>
      <w:lvlText w:val="(%1)"/>
      <w:numFmt w:val="lowerLetter"/>
      <w:start w:val="1"/>
    </w:lvl>
  </w:abstractNum>
  <w:abstractNum w:abstractNumId="19">
    <w:nsid w:val="434BAE75"/>
    <w:multiLevelType w:val="hybridMultilevel"/>
    <w:lvl w:ilvl="0">
      <w:lvlJc w:val="left"/>
      <w:lvlText w:val="(%1)"/>
      <w:numFmt w:val="lowerLetter"/>
      <w:start w:val="1"/>
    </w:lvl>
  </w:abstractNum>
  <w:abstractNum w:abstractNumId="20">
    <w:nsid w:val="4F38F265"/>
    <w:multiLevelType w:val="hybridMultilevel"/>
    <w:lvl w:ilvl="0">
      <w:lvlJc w:val="left"/>
      <w:lvlText w:val="(%1)"/>
      <w:numFmt w:val="lowerLetter"/>
      <w:start w:val="3"/>
    </w:lvl>
  </w:abstractNum>
  <w:abstractNum w:abstractNumId="21">
    <w:nsid w:val="4C502870"/>
    <w:multiLevelType w:val="hybridMultilevel"/>
    <w:lvl w:ilvl="0">
      <w:lvlJc w:val="left"/>
      <w:lvlText w:val="(%1)"/>
      <w:numFmt w:val="lowerLetter"/>
      <w:start w:val="1"/>
    </w:lvl>
  </w:abstractNum>
  <w:abstractNum w:abstractNumId="22">
    <w:nsid w:val="1DE8725A"/>
    <w:multiLevelType w:val="hybridMultilevel"/>
    <w:lvl w:ilvl="0">
      <w:lvlJc w:val="left"/>
      <w:lvlText w:val="%1"/>
      <w:numFmt w:val="lowerLetter"/>
      <w:start w:val="1"/>
    </w:lvl>
    <w:lvl w:ilvl="1">
      <w:lvlJc w:val="left"/>
      <w:lvlText w:val="(%2)"/>
      <w:numFmt w:val="lowerLetter"/>
      <w:start w:val="1"/>
    </w:lvl>
  </w:abstractNum>
  <w:abstractNum w:abstractNumId="23">
    <w:nsid w:val="6A37288A"/>
    <w:multiLevelType w:val="hybridMultilevel"/>
    <w:lvl w:ilvl="0">
      <w:lvlJc w:val="left"/>
      <w:lvlText w:val="(%1)"/>
      <w:numFmt w:val="lowerLetter"/>
      <w:start w:val="24"/>
    </w:lvl>
    <w:lvl w:ilvl="1">
      <w:lvlJc w:val="left"/>
      <w:lvlText w:val="(%2)"/>
      <w:numFmt w:val="lowerLetter"/>
      <w:start w:val="2"/>
    </w:lvl>
  </w:abstractNum>
  <w:abstractNum w:abstractNumId="24">
    <w:nsid w:val="8F8B73F"/>
    <w:multiLevelType w:val="hybridMultilevel"/>
    <w:lvl w:ilvl="0">
      <w:lvlJc w:val="left"/>
      <w:lvlText w:val="(%1)"/>
      <w:numFmt w:val="lowerLetter"/>
      <w:start w:val="3"/>
    </w:lvl>
  </w:abstractNum>
  <w:abstractNum w:abstractNumId="25">
    <w:nsid w:val="CA6B462"/>
    <w:multiLevelType w:val="hybridMultilevel"/>
    <w:lvl w:ilvl="0">
      <w:lvlJc w:val="left"/>
      <w:lvlText w:val="(%1)"/>
      <w:numFmt w:val="lowerLetter"/>
      <w:start w:val="1"/>
    </w:lvl>
  </w:abstractNum>
  <w:abstractNum w:abstractNumId="26">
    <w:nsid w:val="763CB680"/>
    <w:multiLevelType w:val="hybridMultilevel"/>
    <w:lvl w:ilvl="0">
      <w:lvlJc w:val="left"/>
      <w:lvlText w:val="%1"/>
      <w:numFmt w:val="lowerRoman"/>
      <w:start w:val="1"/>
    </w:lvl>
    <w:lvl w:ilvl="1">
      <w:lvlJc w:val="left"/>
      <w:lvlText w:val="(%2)"/>
      <w:numFmt w:val="lowerLetter"/>
      <w:start w:val="3"/>
    </w:lvl>
  </w:abstractNum>
  <w:abstractNum w:abstractNumId="27">
    <w:nsid w:val="15B71329"/>
    <w:multiLevelType w:val="hybridMultilevel"/>
    <w:lvl w:ilvl="0">
      <w:lvlJc w:val="left"/>
      <w:lvlText w:val="(%1)"/>
      <w:numFmt w:val="lowerRoman"/>
      <w:start w:val="4"/>
    </w:lvl>
    <w:lvl w:ilvl="1">
      <w:lvlJc w:val="left"/>
      <w:lvlText w:val="%2"/>
      <w:numFmt w:val="lowerLetter"/>
      <w:start w:val="1"/>
    </w:lvl>
  </w:abstractNum>
  <w:abstractNum w:abstractNumId="28">
    <w:nsid w:val="3DA97044"/>
    <w:multiLevelType w:val="hybridMultilevel"/>
    <w:lvl w:ilvl="0">
      <w:lvlJc w:val="left"/>
      <w:lvlText w:val="(%1)"/>
      <w:numFmt w:val="lowerLetter"/>
      <w:start w:val="1"/>
    </w:lvl>
  </w:abstractNum>
  <w:abstractNum w:abstractNumId="29">
    <w:nsid w:val="1CDCE2DE"/>
    <w:multiLevelType w:val="hybridMultilevel"/>
    <w:lvl w:ilvl="0">
      <w:lvlJc w:val="left"/>
      <w:lvlText w:val="(%1)"/>
      <w:numFmt w:val="lowerLetter"/>
      <w:start w:val="3"/>
    </w:lvl>
  </w:abstractNum>
  <w:abstractNum w:abstractNumId="30">
    <w:nsid w:val="69D3947C"/>
    <w:multiLevelType w:val="hybridMultilevel"/>
    <w:lvl w:ilvl="0">
      <w:lvlJc w:val="left"/>
      <w:lvlText w:val="(%1)"/>
      <w:numFmt w:val="lowerLetter"/>
      <w:start w:val="1"/>
    </w:lvl>
  </w:abstractNum>
  <w:abstractNum w:abstractNumId="31">
    <w:nsid w:val="2539DFA5"/>
    <w:multiLevelType w:val="hybridMultilevel"/>
    <w:lvl w:ilvl="0">
      <w:lvlJc w:val="left"/>
      <w:lvlText w:val="(%1)"/>
      <w:numFmt w:val="lowerLetter"/>
      <w:start w:val="1"/>
    </w:lvl>
  </w:abstractNum>
  <w:abstractNum w:abstractNumId="32">
    <w:nsid w:val="2DB88089"/>
    <w:multiLevelType w:val="hybridMultilevel"/>
    <w:lvl w:ilvl="0">
      <w:lvlJc w:val="left"/>
      <w:lvlText w:val="(%1)"/>
      <w:numFmt w:val="lowerLetter"/>
      <w:start w:val="3"/>
    </w:lvl>
  </w:abstractNum>
  <w:abstractNum w:abstractNumId="33">
    <w:nsid w:val="706B674E"/>
    <w:multiLevelType w:val="hybridMultilevel"/>
    <w:lvl w:ilvl="0">
      <w:lvlJc w:val="left"/>
      <w:lvlText w:val="(%1)"/>
      <w:numFmt w:val="lowerLetter"/>
      <w:start w:val="10"/>
    </w:lvl>
  </w:abstractNum>
  <w:abstractNum w:abstractNumId="34">
    <w:nsid w:val="2C106A57"/>
    <w:multiLevelType w:val="hybridMultilevel"/>
    <w:lvl w:ilvl="0">
      <w:lvlJc w:val="left"/>
      <w:lvlText w:val="(%1)"/>
      <w:numFmt w:val="lowerLetter"/>
      <w:start w:val="1"/>
    </w:lvl>
  </w:abstractNum>
  <w:abstractNum w:abstractNumId="35">
    <w:nsid w:val="684EED59"/>
    <w:multiLevelType w:val="hybridMultilevel"/>
    <w:lvl w:ilvl="0">
      <w:lvlJc w:val="left"/>
      <w:lvlText w:val="(%1)"/>
      <w:numFmt w:val="lowerLetter"/>
      <w:start w:val="3"/>
    </w:lvl>
  </w:abstractNum>
  <w:abstractNum w:abstractNumId="36">
    <w:nsid w:val="545EE5D3"/>
    <w:multiLevelType w:val="hybridMultilevel"/>
    <w:lvl w:ilvl="0">
      <w:lvlJc w:val="left"/>
      <w:lvlText w:val="%1"/>
      <w:numFmt w:val="lowerLetter"/>
      <w:start w:val="1"/>
    </w:lvl>
    <w:lvl w:ilvl="1">
      <w:lvlJc w:val="left"/>
      <w:lvlText w:val="(%2)"/>
      <w:numFmt w:val="lowerLetter"/>
      <w:start w:val="7"/>
    </w:lvl>
  </w:abstractNum>
  <w:abstractNum w:abstractNumId="37">
    <w:nsid w:val="4A66051"/>
    <w:multiLevelType w:val="hybridMultilevel"/>
    <w:lvl w:ilvl="0">
      <w:lvlJc w:val="left"/>
      <w:lvlText w:val="(%1)"/>
      <w:numFmt w:val="lowerLetter"/>
      <w:start w:val="35"/>
    </w:lvl>
    <w:lvl w:ilvl="1">
      <w:lvlJc w:val="left"/>
      <w:lvlText w:val="(%2)"/>
      <w:numFmt w:val="lowerLetter"/>
      <w:start w:val="8"/>
    </w:lvl>
  </w:abstractNum>
  <w:abstractNum w:abstractNumId="38">
    <w:nsid w:val="20F4BDAD"/>
    <w:multiLevelType w:val="hybridMultilevel"/>
    <w:lvl w:ilvl="0">
      <w:lvlJc w:val="left"/>
      <w:lvlText w:val="(%1)"/>
      <w:numFmt w:val="lowerLetter"/>
      <w:start w:val="1"/>
    </w:lvl>
  </w:abstractNum>
  <w:abstractNum w:abstractNumId="39">
    <w:nsid w:val="639DEFAC"/>
    <w:multiLevelType w:val="hybridMultilevel"/>
    <w:lvl w:ilvl="0">
      <w:lvlJc w:val="left"/>
      <w:lvlText w:val="%1"/>
      <w:numFmt w:val="lowerLetter"/>
      <w:start w:val="1"/>
    </w:lvl>
    <w:lvl w:ilvl="1">
      <w:lvlJc w:val="left"/>
      <w:lvlText w:val="(%2)"/>
      <w:numFmt w:val="lowerLetter"/>
      <w:start w:val="3"/>
    </w:lvl>
  </w:abstractNum>
  <w:abstractNum w:abstractNumId="40">
    <w:nsid w:val="501F9786"/>
    <w:multiLevelType w:val="hybridMultilevel"/>
    <w:lvl w:ilvl="0">
      <w:lvlJc w:val="left"/>
      <w:lvlText w:val="(%1)"/>
      <w:numFmt w:val="lowerLetter"/>
      <w:start w:val="35"/>
    </w:lvl>
    <w:lvl w:ilvl="1">
      <w:lvlJc w:val="left"/>
      <w:lvlText w:val="(%2)"/>
      <w:numFmt w:val="lowerLetter"/>
      <w:start w:val="6"/>
    </w:lvl>
  </w:abstractNum>
  <w:abstractNum w:abstractNumId="41">
    <w:nsid w:val="6B057295"/>
    <w:multiLevelType w:val="hybridMultilevel"/>
    <w:lvl w:ilvl="0">
      <w:lvlJc w:val="left"/>
      <w:lvlText w:val="%1"/>
      <w:numFmt w:val="lowerLetter"/>
      <w:start w:val="1"/>
    </w:lvl>
    <w:lvl w:ilvl="1">
      <w:lvlJc w:val="left"/>
      <w:lvlText w:val="(%2)"/>
      <w:numFmt w:val="lowerLetter"/>
      <w:start w:val="7"/>
    </w:lvl>
  </w:abstractNum>
  <w:abstractNum w:abstractNumId="42">
    <w:nsid w:val="2771AC80"/>
    <w:multiLevelType w:val="hybridMultilevel"/>
    <w:lvl w:ilvl="0">
      <w:lvlJc w:val="left"/>
      <w:lvlText w:val="(%1)"/>
      <w:numFmt w:val="lowerLetter"/>
      <w:start w:val="35"/>
    </w:lvl>
    <w:lvl w:ilvl="1">
      <w:lvlJc w:val="left"/>
      <w:lvlText w:val="%2"/>
      <w:numFmt w:val="lowerLetter"/>
      <w:start w:val="1"/>
    </w:lvl>
  </w:abstractNum>
  <w:abstractNum w:abstractNumId="43">
    <w:nsid w:val="1C4A08EC"/>
    <w:multiLevelType w:val="hybridMultilevel"/>
    <w:lvl w:ilvl="0">
      <w:lvlJc w:val="left"/>
      <w:lvlText w:val="%1"/>
      <w:numFmt w:val="lowerLetter"/>
      <w:start w:val="1"/>
    </w:lvl>
    <w:lvl w:ilvl="1">
      <w:lvlJc w:val="left"/>
      <w:lvlText w:val="(%2)"/>
      <w:numFmt w:val="lowerLetter"/>
      <w:start w:val="1"/>
    </w:lvl>
  </w:abstractNum>
  <w:abstractNum w:abstractNumId="44">
    <w:nsid w:val="1958BD17"/>
    <w:multiLevelType w:val="hybridMultilevel"/>
    <w:lvl w:ilvl="0">
      <w:lvlJc w:val="left"/>
      <w:lvlText w:val="(%1)"/>
      <w:numFmt w:val="lowerLetter"/>
      <w:start w:val="9"/>
    </w:lvl>
    <w:lvl w:ilvl="1">
      <w:lvlJc w:val="left"/>
      <w:lvlText w:val="(%2)"/>
      <w:numFmt w:val="lowerLetter"/>
      <w:start w:val="2"/>
    </w:lvl>
  </w:abstractNum>
  <w:abstractNum w:abstractNumId="45">
    <w:nsid w:val="4E647FE4"/>
    <w:multiLevelType w:val="hybridMultilevel"/>
    <w:lvl w:ilvl="0">
      <w:lvlJc w:val="left"/>
      <w:lvlText w:val="(%1)"/>
      <w:numFmt w:val="lowerLetter"/>
      <w:start w:val="1"/>
    </w:lvl>
  </w:abstractNum>
  <w:abstractNum w:abstractNumId="46">
    <w:nsid w:val="E0BB885"/>
    <w:multiLevelType w:val="hybridMultilevel"/>
    <w:lvl w:ilvl="0">
      <w:lvlJc w:val="left"/>
      <w:lvlText w:val="(%1)"/>
      <w:numFmt w:val="lowerRoman"/>
      <w:start w:val="1"/>
    </w:lvl>
  </w:abstractNum>
  <w:abstractNum w:abstractNumId="47">
    <w:nsid w:val="565976F1"/>
    <w:multiLevelType w:val="hybridMultilevel"/>
    <w:lvl w:ilvl="0">
      <w:lvlJc w:val="left"/>
      <w:lvlText w:val="%1"/>
      <w:numFmt w:val="lowerLetter"/>
      <w:start w:val="1"/>
    </w:lvl>
    <w:lvl w:ilvl="1">
      <w:lvlJc w:val="left"/>
      <w:lvlText w:val="(%2)"/>
      <w:numFmt w:val="lowerRoman"/>
      <w:start w:val="10"/>
    </w:lvl>
  </w:abstractNum>
  <w:abstractNum w:abstractNumId="48">
    <w:nsid w:val="64212B8C"/>
    <w:multiLevelType w:val="hybridMultilevel"/>
    <w:lvl w:ilvl="0">
      <w:lvlJc w:val="left"/>
      <w:lvlText w:val="(%1)"/>
      <w:numFmt w:val="lowerLetter"/>
      <w:start w:val="2"/>
    </w:lvl>
    <w:lvl w:ilvl="1">
      <w:lvlJc w:val="left"/>
      <w:lvlText w:val="%2"/>
      <w:numFmt w:val="lowerRoman"/>
      <w:start w:val="1"/>
    </w:lvl>
  </w:abstractNum>
  <w:abstractNum w:abstractNumId="49">
    <w:nsid w:val="5C17530C"/>
    <w:multiLevelType w:val="hybridMultilevel"/>
    <w:lvl w:ilvl="0">
      <w:lvlJc w:val="left"/>
      <w:lvlText w:val="(%1)"/>
      <w:numFmt w:val="lowerLetter"/>
      <w:start w:val="1"/>
    </w:lvl>
  </w:abstractNum>
  <w:abstractNum w:abstractNumId="50">
    <w:nsid w:val="19A52566"/>
    <w:multiLevelType w:val="hybridMultilevel"/>
    <w:lvl w:ilvl="0">
      <w:lvlJc w:val="left"/>
      <w:lvlText w:val="(%1)"/>
      <w:numFmt w:val="lowerLetter"/>
      <w:start w:val="6"/>
    </w:lvl>
  </w:abstractNum>
  <w:abstractNum w:abstractNumId="51">
    <w:nsid w:val="335A1DF1"/>
    <w:multiLevelType w:val="hybridMultilevel"/>
    <w:lvl w:ilvl="0">
      <w:lvlJc w:val="left"/>
      <w:lvlText w:val="(%1)"/>
      <w:numFmt w:val="lowerLetter"/>
      <w:start w:val="1"/>
    </w:lvl>
  </w:abstractNum>
  <w:abstractNum w:abstractNumId="52">
    <w:nsid w:val="28677B7C"/>
    <w:multiLevelType w:val="hybridMultilevel"/>
    <w:lvl w:ilvl="0">
      <w:lvlJc w:val="left"/>
      <w:lvlText w:val="(%1)"/>
      <w:numFmt w:val="lowerLetter"/>
      <w:start w:val="3"/>
    </w:lvl>
  </w:abstractNum>
  <w:abstractNum w:abstractNumId="53">
    <w:nsid w:val="378D97C0"/>
    <w:multiLevelType w:val="hybridMultilevel"/>
    <w:lvl w:ilvl="0">
      <w:lvlJc w:val="left"/>
      <w:lvlText w:val="(%1)"/>
      <w:numFmt w:val="lowerLetter"/>
      <w:start w:val="1"/>
    </w:lvl>
  </w:abstractNum>
  <w:abstractNum w:abstractNumId="54">
    <w:nsid w:val="1D91467C"/>
    <w:multiLevelType w:val="hybridMultilevel"/>
    <w:lvl w:ilvl="0">
      <w:lvlJc w:val="left"/>
      <w:lvlText w:val="(%1)"/>
      <w:numFmt w:val="lowerLetter"/>
      <w:start w:val="1"/>
    </w:lvl>
  </w:abstractNum>
  <w:abstractNum w:abstractNumId="55">
    <w:nsid w:val="316032BB"/>
    <w:multiLevelType w:val="hybridMultilevel"/>
    <w:lvl w:ilvl="0">
      <w:lvlJc w:val="left"/>
      <w:lvlText w:val="(%1)"/>
      <w:numFmt w:val="lowerLetter"/>
      <w:start w:val="2"/>
    </w:lvl>
  </w:abstractNum>
  <w:abstractNum w:abstractNumId="56">
    <w:nsid w:val="44344C22"/>
    <w:multiLevelType w:val="hybridMultilevel"/>
    <w:lvl w:ilvl="0">
      <w:lvlJc w:val="left"/>
      <w:lvlText w:val="(%1)"/>
      <w:numFmt w:val="lowerLetter"/>
      <w:start w:val="5"/>
    </w:lvl>
  </w:abstractNum>
  <w:abstractNum w:abstractNumId="57">
    <w:nsid w:val="13CDFCFC"/>
    <w:multiLevelType w:val="hybridMultilevel"/>
    <w:lvl w:ilvl="0">
      <w:lvlJc w:val="left"/>
      <w:lvlText w:val="(%1)"/>
      <w:numFmt w:val="lowerRoman"/>
      <w:start w:val="2"/>
    </w:lvl>
  </w:abstractNum>
  <w:abstractNum w:abstractNumId="58">
    <w:nsid w:val="471745E4"/>
    <w:multiLevelType w:val="hybridMultilevel"/>
    <w:lvl w:ilvl="0">
      <w:lvlJc w:val="left"/>
      <w:lvlText w:val="%1"/>
      <w:numFmt w:val="lowerLetter"/>
      <w:start w:val="1"/>
    </w:lvl>
    <w:lvl w:ilvl="1">
      <w:lvlJc w:val="left"/>
      <w:lvlText w:val="(%2)"/>
      <w:numFmt w:val="lowerLetter"/>
      <w:start w:val="1"/>
    </w:lvl>
  </w:abstractNum>
  <w:abstractNum w:abstractNumId="59">
    <w:nsid w:val="1DDBC66"/>
    <w:multiLevelType w:val="hybridMultilevel"/>
    <w:lvl w:ilvl="0">
      <w:lvlJc w:val="left"/>
      <w:lvlText w:val="(%1)"/>
      <w:numFmt w:val="lowerLetter"/>
      <w:start w:val="61"/>
    </w:lvl>
    <w:lvl w:ilvl="1">
      <w:lvlJc w:val="left"/>
      <w:lvlText w:val="%2"/>
      <w:numFmt w:val="lowerLetter"/>
      <w:start w:val="1"/>
    </w:lvl>
  </w:abstractNum>
  <w:abstractNum w:abstractNumId="60">
    <w:nsid w:val="30AADFDA"/>
    <w:multiLevelType w:val="hybridMultilevel"/>
    <w:lvl w:ilvl="0">
      <w:lvlJc w:val="left"/>
      <w:lvlText w:val="(%1)"/>
      <w:numFmt w:val="lowerLetter"/>
      <w:start w:val="1"/>
    </w:lvl>
  </w:abstractNum>
  <w:abstractNum w:abstractNumId="61">
    <w:nsid w:val="30EADA61"/>
    <w:multiLevelType w:val="hybridMultilevel"/>
    <w:lvl w:ilvl="0">
      <w:lvlJc w:val="left"/>
      <w:lvlText w:val="(%1)"/>
      <w:numFmt w:val="lowerLetter"/>
      <w:start w:val="6"/>
    </w:lvl>
  </w:abstractNum>
  <w:abstractNum w:abstractNumId="62">
    <w:nsid w:val="27179C0B"/>
    <w:multiLevelType w:val="hybridMultilevel"/>
    <w:lvl w:ilvl="0">
      <w:lvlJc w:val="left"/>
      <w:lvlText w:val="%1"/>
      <w:numFmt w:val="lowerLetter"/>
      <w:start w:val="1"/>
    </w:lvl>
    <w:lvl w:ilvl="1">
      <w:lvlJc w:val="left"/>
      <w:lvlText w:val="(%2)"/>
      <w:numFmt w:val="lowerLetter"/>
      <w:start w:val="3"/>
    </w:lvl>
  </w:abstractNum>
  <w:abstractNum w:abstractNumId="63">
    <w:nsid w:val="5E636063"/>
    <w:multiLevelType w:val="hybridMultilevel"/>
    <w:lvl w:ilvl="0">
      <w:lvlJc w:val="left"/>
      <w:lvlText w:val="(%1)"/>
      <w:numFmt w:val="lowerLetter"/>
      <w:start w:val="9"/>
    </w:lvl>
    <w:lvl w:ilvl="1">
      <w:lvlJc w:val="left"/>
      <w:lvlText w:val="%2"/>
      <w:numFmt w:val="lowerLetter"/>
      <w:start w:val="1"/>
    </w:lvl>
  </w:abstractNum>
  <w:abstractNum w:abstractNumId="64">
    <w:nsid w:val="215641AF"/>
    <w:multiLevelType w:val="hybridMultilevel"/>
    <w:lvl w:ilvl="0">
      <w:lvlJc w:val="left"/>
      <w:lvlText w:val="(%1)"/>
      <w:numFmt w:val="lowerLetter"/>
      <w:start w:val="1"/>
    </w:lvl>
  </w:abstractNum>
  <w:abstractNum w:abstractNumId="65">
    <w:nsid w:val="53280662"/>
    <w:multiLevelType w:val="hybridMultilevel"/>
    <w:lvl w:ilvl="0">
      <w:lvlJc w:val="left"/>
      <w:lvlText w:val="(%1)"/>
      <w:numFmt w:val="lowerLetter"/>
      <w:start w:val="5"/>
    </w:lvl>
  </w:abstractNum>
  <w:abstractNum w:abstractNumId="66">
    <w:nsid w:val="46B24DBC"/>
    <w:multiLevelType w:val="hybridMultilevel"/>
    <w:lvl w:ilvl="0">
      <w:lvlJc w:val="left"/>
      <w:lvlText w:val="(%1)"/>
      <w:numFmt w:val="lowerLetter"/>
      <w:start w:val="1"/>
    </w:lvl>
  </w:abstractNum>
  <w:abstractNum w:abstractNumId="67">
    <w:nsid w:val="75B52783"/>
    <w:multiLevelType w:val="hybridMultilevel"/>
    <w:lvl w:ilvl="0">
      <w:lvlJc w:val="left"/>
      <w:lvlText w:val="(%1)"/>
      <w:numFmt w:val="lowerLetter"/>
      <w:start w:val="2"/>
    </w:lvl>
  </w:abstractNum>
  <w:abstractNum w:abstractNumId="68">
    <w:nsid w:val="57CE66B4"/>
    <w:multiLevelType w:val="hybridMultilevel"/>
    <w:lvl w:ilvl="0">
      <w:lvlJc w:val="left"/>
      <w:lvlText w:val="(%1)"/>
      <w:numFmt w:val="upperLetter"/>
      <w:start w:val="2"/>
    </w:lvl>
  </w:abstractNum>
  <w:abstractNum w:abstractNumId="69">
    <w:nsid w:val="67A70B69"/>
    <w:multiLevelType w:val="hybridMultilevel"/>
    <w:lvl w:ilvl="0">
      <w:lvlJc w:val="left"/>
      <w:lvlText w:val="(%1)"/>
      <w:numFmt w:val="lowerLetter"/>
      <w:start w:val="1"/>
    </w:lvl>
  </w:abstractNum>
  <w:abstractNum w:abstractNumId="70">
    <w:nsid w:val="5953172F"/>
    <w:multiLevelType w:val="hybridMultilevel"/>
    <w:lvl w:ilvl="0">
      <w:lvlJc w:val="left"/>
      <w:lvlText w:val="(%1)"/>
      <w:numFmt w:val="lowerLetter"/>
      <w:start w:val="1"/>
    </w:lvl>
  </w:abstractNum>
  <w:abstractNum w:abstractNumId="71">
    <w:nsid w:val="27EDFE3A"/>
    <w:multiLevelType w:val="hybridMultilevel"/>
    <w:lvl w:ilvl="0">
      <w:lvlJc w:val="left"/>
      <w:lvlText w:val="(%1)"/>
      <w:numFmt w:val="lowerLetter"/>
      <w:start w:val="1"/>
    </w:lvl>
  </w:abstractNum>
  <w:abstractNum w:abstractNumId="72">
    <w:nsid w:val="52AC7DFF"/>
    <w:multiLevelType w:val="hybridMultilevel"/>
    <w:lvl w:ilvl="0">
      <w:lvlJc w:val="left"/>
      <w:lvlText w:val="(%1)"/>
      <w:numFmt w:val="lowerLetter"/>
      <w:start w:val="2"/>
    </w:lvl>
  </w:abstractNum>
  <w:abstractNum w:abstractNumId="73">
    <w:nsid w:val="C4C3AF"/>
    <w:multiLevelType w:val="hybridMultilevel"/>
    <w:lvl w:ilvl="0">
      <w:lvlJc w:val="left"/>
      <w:lvlText w:val="%1"/>
      <w:numFmt w:val="lowerLetter"/>
      <w:start w:val="1"/>
    </w:lvl>
    <w:lvl w:ilvl="1">
      <w:lvlJc w:val="left"/>
      <w:lvlText w:val="(%2)"/>
      <w:numFmt w:val="lowerLetter"/>
      <w:start w:val="1"/>
    </w:lvl>
  </w:abstractNum>
  <w:abstractNum w:abstractNumId="74">
    <w:nsid w:val="44380727"/>
    <w:multiLevelType w:val="hybridMultilevel"/>
    <w:lvl w:ilvl="0">
      <w:lvlJc w:val="left"/>
      <w:lvlText w:val="(%1)"/>
      <w:numFmt w:val="lowerLetter"/>
      <w:start w:val="9"/>
    </w:lvl>
    <w:lvl w:ilvl="1">
      <w:lvlJc w:val="left"/>
      <w:lvlText w:val="%2"/>
      <w:numFmt w:val="lowerLetter"/>
      <w:start w:val="1"/>
    </w:lvl>
  </w:abstractNum>
  <w:abstractNum w:abstractNumId="75">
    <w:nsid w:val="6C053B16"/>
    <w:multiLevelType w:val="hybridMultilevel"/>
    <w:lvl w:ilvl="0">
      <w:lvlJc w:val="left"/>
      <w:lvlText w:val="%1"/>
      <w:numFmt w:val="lowerLetter"/>
      <w:start w:val="1"/>
    </w:lvl>
    <w:lvl w:ilvl="1">
      <w:lvlJc w:val="left"/>
      <w:lvlText w:val="(%2)"/>
      <w:numFmt w:val="lowerLetter"/>
      <w:start w:val="9"/>
    </w:lvl>
  </w:abstractNum>
  <w:abstractNum w:abstractNumId="76">
    <w:nsid w:val="4F294393"/>
    <w:multiLevelType w:val="hybridMultilevel"/>
    <w:lvl w:ilvl="0">
      <w:lvlJc w:val="left"/>
      <w:lvlText w:val="(%1)"/>
      <w:numFmt w:val="lowerLetter"/>
      <w:start w:val="9"/>
    </w:lvl>
    <w:lvl w:ilvl="1">
      <w:lvlJc w:val="left"/>
      <w:lvlText w:val="(%2)"/>
      <w:numFmt w:val="lowerLetter"/>
      <w:start w:val="15"/>
    </w:lvl>
  </w:abstractNum>
  <w:abstractNum w:abstractNumId="77">
    <w:nsid w:val="5243BFAC"/>
    <w:multiLevelType w:val="hybridMultilevel"/>
    <w:lvl w:ilvl="0">
      <w:lvlJc w:val="left"/>
      <w:lvlText w:val="(%1)"/>
      <w:numFmt w:val="lowerLetter"/>
      <w:start w:val="17"/>
    </w:lvl>
  </w:abstractNum>
  <w:abstractNum w:abstractNumId="78">
    <w:nsid w:val="425EB207"/>
    <w:multiLevelType w:val="hybridMultilevel"/>
    <w:lvl w:ilvl="0">
      <w:lvlJc w:val="left"/>
      <w:lvlText w:val="(%1)"/>
      <w:numFmt w:val="lowerRoman"/>
      <w:start w:val="10"/>
    </w:lvl>
  </w:abstractNum>
  <w:abstractNum w:abstractNumId="79">
    <w:nsid w:val="334A6F1F"/>
    <w:multiLevelType w:val="hybridMultilevel"/>
    <w:lvl w:ilvl="0">
      <w:lvlJc w:val="left"/>
      <w:lvlText w:val="(%1)"/>
      <w:numFmt w:val="lowerLetter"/>
      <w:start w:val="2"/>
    </w:lvl>
  </w:abstractNum>
  <w:abstractNum w:abstractNumId="80">
    <w:nsid w:val="2E5B12B8"/>
    <w:multiLevelType w:val="hybridMultilevel"/>
    <w:lvl w:ilvl="0">
      <w:lvlJc w:val="left"/>
      <w:lvlText w:val="(%1)"/>
      <w:numFmt w:val="lowerLetter"/>
      <w:start w:val="13"/>
    </w:lvl>
  </w:abstractNum>
  <w:abstractNum w:abstractNumId="81">
    <w:nsid w:val="5C03D76D"/>
    <w:multiLevelType w:val="hybridMultilevel"/>
    <w:lvl w:ilvl="0">
      <w:lvlJc w:val="left"/>
      <w:lvlText w:val="(%1)"/>
      <w:numFmt w:val="lowerLetter"/>
      <w:start w:val="1"/>
    </w:lvl>
  </w:abstractNum>
  <w:abstractNum w:abstractNumId="82">
    <w:nsid w:val="66A48D11"/>
    <w:multiLevelType w:val="hybridMultilevel"/>
    <w:lvl w:ilvl="0">
      <w:lvlJc w:val="left"/>
      <w:lvlText w:val="(%1)"/>
      <w:numFmt w:val="lowerLetter"/>
      <w:start w:val="2"/>
    </w:lvl>
  </w:abstractNum>
  <w:abstractNum w:abstractNumId="83">
    <w:nsid w:val="56C28E34"/>
    <w:multiLevelType w:val="hybridMultilevel"/>
    <w:lvl w:ilvl="0">
      <w:lvlJc w:val="left"/>
      <w:lvlText w:val="%1"/>
      <w:numFmt w:val="lowerRoman"/>
      <w:start w:val="1"/>
    </w:lvl>
    <w:lvl w:ilvl="1">
      <w:lvlJc w:val="left"/>
      <w:lvlText w:val="(%2)"/>
      <w:numFmt w:val="lowerLetter"/>
      <w:start w:val="1"/>
    </w:lvl>
  </w:abstractNum>
  <w:abstractNum w:abstractNumId="84">
    <w:nsid w:val="13916F2D"/>
    <w:multiLevelType w:val="hybridMultilevel"/>
    <w:lvl w:ilvl="0">
      <w:lvlJc w:val="left"/>
      <w:lvlText w:val="(%1)"/>
      <w:numFmt w:val="lowerRoman"/>
      <w:start w:val="10"/>
    </w:lvl>
    <w:lvl w:ilvl="1">
      <w:lvlJc w:val="left"/>
      <w:lvlText w:val="%2"/>
      <w:numFmt w:val="lowerLetter"/>
      <w:start w:val="1"/>
    </w:lvl>
  </w:abstractNum>
  <w:abstractNum w:abstractNumId="85">
    <w:nsid w:val="435D38D"/>
    <w:multiLevelType w:val="hybridMultilevel"/>
    <w:lvl w:ilvl="0">
      <w:lvlJc w:val="left"/>
      <w:lvlText w:val="(%1)"/>
      <w:numFmt w:val="lowerRoman"/>
      <w:start w:val="1"/>
    </w:lvl>
    <w:lvl w:ilvl="1">
      <w:lvlJc w:val="left"/>
      <w:lvlText w:val="%2"/>
      <w:numFmt w:val="lowerLetter"/>
      <w:start w:val="1"/>
    </w:lvl>
  </w:abstractNum>
  <w:abstractNum w:abstractNumId="86">
    <w:nsid w:val="822C0EF"/>
    <w:multiLevelType w:val="hybridMultilevel"/>
    <w:lvl w:ilvl="0">
      <w:lvlJc w:val="left"/>
      <w:lvlText w:val="(%1)"/>
      <w:numFmt w:val="lowerRoman"/>
      <w:start w:val="4"/>
    </w:lvl>
    <w:lvl w:ilvl="1">
      <w:lvlJc w:val="left"/>
      <w:lvlText w:val="(%2)"/>
      <w:numFmt w:val="lowerLetter"/>
      <w:start w:val="2"/>
    </w:lvl>
  </w:abstractNum>
  <w:abstractNum w:abstractNumId="87">
    <w:nsid w:val="57C5BB4F"/>
    <w:multiLevelType w:val="hybridMultilevel"/>
    <w:lvl w:ilvl="0">
      <w:lvlJc w:val="left"/>
      <w:lvlText w:val="(%1)"/>
      <w:numFmt w:val="lowerLetter"/>
      <w:start w:val="1"/>
    </w:lvl>
  </w:abstractNum>
  <w:abstractNum w:abstractNumId="88">
    <w:nsid w:val="1803D089"/>
    <w:multiLevelType w:val="hybridMultilevel"/>
    <w:lvl w:ilvl="0">
      <w:lvlJc w:val="left"/>
      <w:lvlText w:val="(%1)"/>
      <w:numFmt w:val="lowerLetter"/>
      <w:start w:val="2"/>
    </w:lvl>
  </w:abstractNum>
  <w:abstractNum w:abstractNumId="89">
    <w:nsid w:val="4F3A06D4"/>
    <w:multiLevelType w:val="hybridMultilevel"/>
    <w:lvl w:ilvl="0">
      <w:lvlJc w:val="left"/>
      <w:lvlText w:val="%1"/>
      <w:numFmt w:val="lowerLetter"/>
      <w:start w:val="1"/>
    </w:lvl>
    <w:lvl w:ilvl="1">
      <w:lvlJc w:val="left"/>
      <w:lvlText w:val="(%2)"/>
      <w:numFmt w:val="lowerLetter"/>
      <w:start w:val="5"/>
    </w:lvl>
  </w:abstractNum>
  <w:abstractNum w:abstractNumId="90">
    <w:nsid w:val="59A377B6"/>
    <w:multiLevelType w:val="hybridMultilevel"/>
    <w:lvl w:ilvl="0">
      <w:lvlJc w:val="left"/>
      <w:lvlText w:val="(%1)"/>
      <w:numFmt w:val="lowerLetter"/>
      <w:start w:val="61"/>
    </w:lvl>
    <w:lvl w:ilvl="1">
      <w:lvlJc w:val="left"/>
      <w:lvlText w:val="(%2)"/>
      <w:numFmt w:val="lowerLetter"/>
      <w:start w:val="7"/>
    </w:lvl>
  </w:abstractNum>
  <w:abstractNum w:abstractNumId="91">
    <w:nsid w:val="48AEB063"/>
    <w:multiLevelType w:val="hybridMultilevel"/>
    <w:lvl w:ilvl="0">
      <w:lvlJc w:val="left"/>
      <w:lvlText w:val="(%1)"/>
      <w:numFmt w:val="lowerLetter"/>
      <w:start w:val="1"/>
    </w:lvl>
  </w:abstractNum>
  <w:abstractNum w:abstractNumId="92">
    <w:nsid w:val="24E135"/>
    <w:multiLevelType w:val="hybridMultilevel"/>
    <w:lvl w:ilvl="0">
      <w:lvlJc w:val="left"/>
      <w:lvlText w:val="(%1)"/>
      <w:numFmt w:val="lowerRoman"/>
      <w:start w:val="4"/>
    </w:lvl>
    <w:lvl w:ilvl="1">
      <w:lvlJc w:val="left"/>
      <w:lvlText w:val="(%2)"/>
      <w:numFmt w:val="lowerLetter"/>
      <w:start w:val="3"/>
    </w:lvl>
  </w:abstractNum>
  <w:abstractNum w:abstractNumId="93">
    <w:nsid w:val="BB13C1"/>
    <w:multiLevelType w:val="hybridMultilevel"/>
    <w:lvl w:ilvl="0">
      <w:lvlJc w:val="left"/>
      <w:lvlText w:val="(%1)"/>
      <w:numFmt w:val="lowerLetter"/>
      <w:start w:val="1"/>
    </w:lvl>
  </w:abstractNum>
  <w:abstractNum w:abstractNumId="94">
    <w:nsid w:val="271210C7"/>
    <w:multiLevelType w:val="hybridMultilevel"/>
    <w:lvl w:ilvl="0">
      <w:lvlJc w:val="left"/>
      <w:lvlText w:val="(%1)"/>
      <w:numFmt w:val="upperLetter"/>
      <w:start w:val="2"/>
    </w:lvl>
    <w:lvl w:ilvl="1">
      <w:lvlJc w:val="left"/>
      <w:lvlText w:val="(%2)"/>
      <w:numFmt w:val="lowerLetter"/>
      <w:start w:val="2"/>
    </w:lvl>
  </w:abstractNum>
  <w:abstractNum w:abstractNumId="95">
    <w:nsid w:val="217B22E4"/>
    <w:multiLevelType w:val="hybridMultilevel"/>
    <w:lvl w:ilvl="0">
      <w:lvlJc w:val="left"/>
      <w:lvlText w:val="(%1)"/>
      <w:numFmt w:val="lowerLetter"/>
      <w:start w:val="1"/>
    </w:lvl>
    <w:lvl w:ilvl="1">
      <w:lvlJc w:val="left"/>
      <w:lvlText w:val="(%2)"/>
      <w:numFmt w:val="lowerRoman"/>
      <w:start w:val="1"/>
    </w:lvl>
  </w:abstractNum>
  <w:abstractNum w:abstractNumId="96">
    <w:nsid w:val="53E31A2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7">
    <w:nsid w:val="6DC45E8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98">
    <w:nsid w:val="17304A67"/>
    <w:multiLevelType w:val="hybridMultilevel"/>
    <w:lvl w:ilvl="0">
      <w:lvlJc w:val="left"/>
      <w:lvlText w:val="(%1)"/>
      <w:numFmt w:val="lowerLetter"/>
      <w:start w:val="3"/>
    </w:lvl>
  </w:abstractNum>
  <w:abstractNum w:abstractNumId="99">
    <w:nsid w:val="2BB180D8"/>
    <w:multiLevelType w:val="hybridMultilevel"/>
    <w:lvl w:ilvl="0">
      <w:lvlJc w:val="left"/>
      <w:lvlText w:val="(%1)"/>
      <w:numFmt w:val="lowerLetter"/>
      <w:start w:val="1"/>
    </w:lvl>
  </w:abstractNum>
  <w:abstractNum w:abstractNumId="100">
    <w:nsid w:val="556B69ED"/>
    <w:multiLevelType w:val="hybridMultilevel"/>
    <w:lvl w:ilvl="0">
      <w:lvlJc w:val="left"/>
      <w:lvlText w:val="(%1)"/>
      <w:numFmt w:val="lowerLetter"/>
      <w:start w:val="2"/>
    </w:lvl>
  </w:abstractNum>
  <w:abstractNum w:abstractNumId="101">
    <w:nsid w:val="70836196"/>
    <w:multiLevelType w:val="hybridMultilevel"/>
    <w:lvl w:ilvl="0">
      <w:lvlJc w:val="left"/>
      <w:lvlText w:val="(%1)"/>
      <w:numFmt w:val="lowerLetter"/>
      <w:start w:val="1"/>
    </w:lvl>
    <w:lvl w:ilvl="1">
      <w:lvlJc w:val="left"/>
      <w:lvlText w:val="(%2)"/>
      <w:numFmt w:val="lowerRoman"/>
      <w:start w:val="1"/>
    </w:lvl>
  </w:abstractNum>
  <w:abstractNum w:abstractNumId="102">
    <w:nsid w:val="539F7F12"/>
    <w:multiLevelType w:val="hybridMultilevel"/>
    <w:lvl w:ilvl="0">
      <w:lvlJc w:val="left"/>
      <w:lvlText w:val="(%1)"/>
      <w:numFmt w:val="lowerLetter"/>
      <w:start w:val="1"/>
    </w:lvl>
    <w:lvl w:ilvl="1">
      <w:lvlJc w:val="left"/>
      <w:lvlText w:val="(%2)"/>
      <w:numFmt w:val="lowerRoman"/>
      <w:start w:val="1"/>
    </w:lvl>
  </w:abstractNum>
  <w:abstractNum w:abstractNumId="103">
    <w:nsid w:val="2817E7EC"/>
    <w:multiLevelType w:val="hybridMultilevel"/>
    <w:lvl w:ilvl="0">
      <w:lvlJc w:val="left"/>
      <w:lvlText w:val="(%1)"/>
      <w:numFmt w:val="lowerLetter"/>
      <w:start w:val="5"/>
    </w:lvl>
  </w:abstractNum>
  <w:abstractNum w:abstractNumId="104">
    <w:nsid w:val="71482545"/>
    <w:multiLevelType w:val="hybridMultilevel"/>
    <w:lvl w:ilvl="0">
      <w:lvlJc w:val="left"/>
      <w:lvlText w:val="(%1)"/>
      <w:numFmt w:val="lowerLetter"/>
      <w:start w:val="1"/>
    </w:lvl>
  </w:abstractNum>
  <w:abstractNum w:abstractNumId="105">
    <w:nsid w:val="17D78639"/>
    <w:multiLevelType w:val="hybridMultilevel"/>
    <w:lvl w:ilvl="0">
      <w:lvlJc w:val="left"/>
      <w:lvlText w:val="%1"/>
      <w:numFmt w:val="lowerLetter"/>
      <w:start w:val="1"/>
    </w:lvl>
    <w:lvl w:ilvl="1">
      <w:lvlJc w:val="left"/>
      <w:lvlText w:val="(%2)"/>
      <w:numFmt w:val="lowerLetter"/>
      <w:start w:val="3"/>
    </w:lvl>
  </w:abstractNum>
  <w:abstractNum w:abstractNumId="106">
    <w:nsid w:val="141D2302"/>
    <w:multiLevelType w:val="hybridMultilevel"/>
    <w:lvl w:ilvl="0">
      <w:lvlJc w:val="left"/>
      <w:lvlText w:val="(%1)"/>
      <w:numFmt w:val="lowerLetter"/>
      <w:start w:val="25"/>
    </w:lvl>
    <w:lvl w:ilvl="1">
      <w:lvlJc w:val="left"/>
      <w:lvlText w:val="(%2)"/>
      <w:numFmt w:val="lowerLetter"/>
      <w:start w:val="8"/>
    </w:lvl>
  </w:abstractNum>
  <w:abstractNum w:abstractNumId="107">
    <w:nsid w:val="407168D8"/>
    <w:multiLevelType w:val="hybridMultilevel"/>
    <w:lvl w:ilvl="0">
      <w:lvlJc w:val="left"/>
      <w:lvlText w:val="%1"/>
      <w:numFmt w:val="upperLetter"/>
      <w:start w:val="1"/>
    </w:lvl>
    <w:lvl w:ilvl="1">
      <w:lvlJc w:val="left"/>
      <w:lvlText w:val="(%2)"/>
      <w:numFmt w:val="lowerLetter"/>
      <w:start w:val="1"/>
    </w:lvl>
  </w:abstractNum>
  <w:abstractNum w:abstractNumId="108">
    <w:nsid w:val="6A1B45E5"/>
    <w:multiLevelType w:val="hybridMultilevel"/>
    <w:lvl w:ilvl="0">
      <w:lvlJc w:val="left"/>
      <w:lvlText w:val="(%1)"/>
      <w:numFmt w:val="upperLetter"/>
      <w:start w:val="2"/>
    </w:lvl>
    <w:lvl w:ilvl="1">
      <w:lvlJc w:val="left"/>
      <w:lvlText w:val="%2"/>
      <w:numFmt w:val="lowerLetter"/>
      <w:start w:val="1"/>
    </w:lvl>
  </w:abstractNum>
  <w:abstractNum w:abstractNumId="109">
    <w:nsid w:val="567BD50A"/>
    <w:multiLevelType w:val="hybridMultilevel"/>
    <w:lvl w:ilvl="0">
      <w:lvlJc w:val="left"/>
      <w:lvlText w:val="(%1)"/>
      <w:numFmt w:val="lowerLetter"/>
      <w:start w:val="2"/>
    </w:lvl>
  </w:abstractNum>
  <w:abstractNum w:abstractNumId="110">
    <w:nsid w:val="73BBD7F8"/>
    <w:multiLevelType w:val="hybridMultilevel"/>
    <w:lvl w:ilvl="0">
      <w:lvlJc w:val="left"/>
      <w:lvlText w:val="(%1)"/>
      <w:numFmt w:val="lowerLetter"/>
      <w:start w:val="4"/>
    </w:lvl>
  </w:abstractNum>
  <w:abstractNum w:abstractNumId="111">
    <w:nsid w:val="1876589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12">
    <w:nsid w:val="327FAC77"/>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113">
    <w:nsid w:val="5A60650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14">
    <w:nsid w:val="6F38E6D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15">
    <w:nsid w:val="46111BA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6">
    <w:nsid w:val="5E963896"/>
    <w:multiLevelType w:val="hybridMultilevel"/>
    <w:lvl w:ilvl="0">
      <w:lvlJc w:val="left"/>
      <w:lvlText w:val="(%1)"/>
      <w:numFmt w:val="lowerLetter"/>
      <w:start w:val="1"/>
    </w:lvl>
  </w:abstractNum>
  <w:abstractNum w:abstractNumId="117">
    <w:nsid w:val="775BA7C1"/>
    <w:multiLevelType w:val="hybridMultilevel"/>
    <w:lvl w:ilvl="0">
      <w:lvlJc w:val="left"/>
      <w:lvlText w:val="(%1)"/>
      <w:numFmt w:val="lowerLetter"/>
      <w:start w:val="8"/>
    </w:lvl>
  </w:abstractNum>
  <w:abstractNum w:abstractNumId="118">
    <w:nsid w:val="1DD6D6F4"/>
    <w:multiLevelType w:val="hybridMultilevel"/>
    <w:lvl w:ilvl="0">
      <w:lvlJc w:val="left"/>
      <w:lvlText w:val="(%1)"/>
      <w:numFmt w:val="lowerLetter"/>
      <w:start w:val="17"/>
    </w:lvl>
  </w:abstractNum>
  <w:abstractNum w:abstractNumId="119">
    <w:nsid w:val="769A091F"/>
    <w:multiLevelType w:val="hybridMultilevel"/>
    <w:lvl w:ilvl="0">
      <w:lvlJc w:val="left"/>
      <w:lvlText w:val="(%1)"/>
      <w:numFmt w:val="lowerLetter"/>
      <w:start w:val="27"/>
    </w:lvl>
  </w:abstractNum>
  <w:abstractNum w:abstractNumId="120">
    <w:nsid w:val="4695AE95"/>
    <w:multiLevelType w:val="hybridMultilevel"/>
    <w:lvl w:ilvl="0">
      <w:lvlJc w:val="left"/>
      <w:lvlText w:val="(%1)"/>
      <w:numFmt w:val="lowerLetter"/>
      <w:start w:val="29"/>
    </w:lvl>
  </w:abstractNum>
  <w:abstractNum w:abstractNumId="121">
    <w:nsid w:val="777A4EAA"/>
    <w:multiLevelType w:val="hybridMultilevel"/>
    <w:lvl w:ilvl="0">
      <w:lvlJc w:val="left"/>
      <w:lvlText w:val="(%1)"/>
      <w:numFmt w:val="lowerLetter"/>
      <w:start w:val="39"/>
    </w:lvl>
  </w:abstractNum>
  <w:abstractNum w:abstractNumId="122">
    <w:nsid w:val="3F48B982"/>
    <w:multiLevelType w:val="hybridMultilevel"/>
    <w:lvl w:ilvl="0">
      <w:lvlJc w:val="left"/>
      <w:lvlText w:val="(%1)"/>
      <w:numFmt w:val="lowerLetter"/>
      <w:start w:val="47"/>
    </w:lvl>
  </w:abstractNum>
  <w:abstractNum w:abstractNumId="123">
    <w:nsid w:val="46BA8FCA"/>
    <w:multiLevelType w:val="hybridMultilevel"/>
    <w:lvl w:ilvl="0">
      <w:lvlJc w:val="left"/>
      <w:lvlText w:val="(%1)"/>
      <w:numFmt w:val="lowerLetter"/>
      <w:start w:val="53"/>
    </w:lvl>
  </w:abstractNum>
  <w:abstractNum w:abstractNumId="124">
    <w:nsid w:val="7835626C"/>
    <w:multiLevelType w:val="hybridMultilevel"/>
    <w:lvl w:ilvl="0">
      <w:lvlJc w:val="left"/>
      <w:lvlText w:val="%1"/>
      <w:numFmt w:val="lowerLetter"/>
      <w:start w:val="1"/>
    </w:lvl>
    <w:lvl w:ilvl="1">
      <w:lvlJc w:val="left"/>
      <w:lvlText w:val="(%2)"/>
      <w:numFmt w:val="lowerLetter"/>
      <w:start w:val="56"/>
    </w:lvl>
  </w:abstractNum>
  <w:abstractNum w:abstractNumId="125">
    <w:nsid w:val="665ACA49"/>
    <w:multiLevelType w:val="hybridMultilevel"/>
    <w:lvl w:ilvl="0">
      <w:lvlJc w:val="left"/>
      <w:lvlText w:val="(%1)"/>
      <w:numFmt w:val="lowerLetter"/>
      <w:start w:val="22"/>
    </w:lvl>
    <w:lvl w:ilvl="1">
      <w:lvlJc w:val="left"/>
      <w:lvlText w:val="(%2)"/>
      <w:numFmt w:val="lowerLetter"/>
      <w:start w:val="62"/>
    </w:lvl>
  </w:abstractNum>
  <w:abstractNum w:abstractNumId="126">
    <w:nsid w:val="6835B2AE"/>
    <w:multiLevelType w:val="hybridMultilevel"/>
    <w:lvl w:ilvl="0">
      <w:lvlJc w:val="left"/>
      <w:lvlText w:val="%1"/>
      <w:numFmt w:val="lowerRoman"/>
      <w:start w:val="1"/>
    </w:lvl>
    <w:lvl w:ilvl="1">
      <w:lvlJc w:val="left"/>
      <w:lvlText w:val="(%2)"/>
      <w:numFmt w:val="lowerLetter"/>
      <w:start w:val="66"/>
    </w:lvl>
  </w:abstractNum>
  <w:abstractNum w:abstractNumId="127">
    <w:nsid w:val="4C187C90"/>
    <w:multiLevelType w:val="hybridMultilevel"/>
    <w:lvl w:ilvl="0">
      <w:lvlJc w:val="left"/>
      <w:lvlText w:val="(%1)"/>
      <w:numFmt w:val="lowerRoman"/>
      <w:start w:val="4"/>
    </w:lvl>
    <w:lvl w:ilvl="1">
      <w:lvlJc w:val="left"/>
      <w:lvlText w:val="(%2)"/>
      <w:numFmt w:val="lowerLetter"/>
      <w:start w:val="67"/>
    </w:lvl>
  </w:abstractNum>
  <w:abstractNum w:abstractNumId="128">
    <w:nsid w:val="541F28CD"/>
    <w:multiLevelType w:val="hybridMultilevel"/>
    <w:lvl w:ilvl="0">
      <w:lvlJc w:val="left"/>
      <w:lvlText w:val="(%1)"/>
      <w:numFmt w:val="lowerLetter"/>
      <w:start w:val="72"/>
    </w:lvl>
  </w:abstractNum>
  <w:abstractNum w:abstractNumId="129">
    <w:nsid w:val="7F65FD16"/>
    <w:multiLevelType w:val="hybridMultilevel"/>
    <w:lvl w:ilvl="0">
      <w:lvlJc w:val="left"/>
      <w:lvlText w:val="%1"/>
      <w:numFmt w:val="lowerLetter"/>
      <w:start w:val="1"/>
    </w:lvl>
    <w:lvl w:ilvl="1">
      <w:lvlJc w:val="left"/>
      <w:lvlText w:val="(%2)"/>
      <w:numFmt w:val="lowerLetter"/>
      <w:start w:val="79"/>
    </w:lvl>
  </w:abstractNum>
  <w:abstractNum w:abstractNumId="130">
    <w:nsid w:val="77C9FD68"/>
    <w:multiLevelType w:val="hybridMultilevel"/>
    <w:lvl w:ilvl="0">
      <w:lvlJc w:val="left"/>
      <w:lvlText w:val="(%1)"/>
      <w:numFmt w:val="lowerLetter"/>
      <w:start w:val="5"/>
    </w:lvl>
    <w:lvl w:ilvl="1">
      <w:lvlJc w:val="left"/>
      <w:lvlText w:val="%2"/>
      <w:numFmt w:val="lowerLetter"/>
      <w:start w:val="1"/>
    </w:lvl>
  </w:abstractNum>
  <w:abstractNum w:abstractNumId="131">
    <w:nsid w:val="298A92BA"/>
    <w:multiLevelType w:val="hybridMultilevel"/>
    <w:lvl w:ilvl="0">
      <w:lvlJc w:val="left"/>
      <w:lvlText w:val="(%1)"/>
      <w:numFmt w:val="lowerLetter"/>
      <w:start w:val="7"/>
    </w:lvl>
    <w:lvl w:ilvl="1">
      <w:lvlJc w:val="left"/>
      <w:lvlText w:val="%2"/>
      <w:numFmt w:val="lowerLetter"/>
      <w:start w:val="1"/>
    </w:lvl>
  </w:abstractNum>
  <w:abstractNum w:abstractNumId="132">
    <w:nsid w:val="6FE95EAC"/>
    <w:multiLevelType w:val="hybridMultilevel"/>
    <w:lvl w:ilvl="0">
      <w:lvlJc w:val="left"/>
      <w:lvlText w:val="(%1)"/>
      <w:numFmt w:val="lowerLetter"/>
      <w:start w:val="81"/>
    </w:lvl>
  </w:abstractNum>
  <w:abstractNum w:abstractNumId="133">
    <w:nsid w:val="4B697C7A"/>
    <w:multiLevelType w:val="hybridMultilevel"/>
    <w:lvl w:ilvl="0">
      <w:lvlJc w:val="left"/>
      <w:lvlText w:val="(%1)"/>
      <w:numFmt w:val="lowerLetter"/>
      <w:start w:val="84"/>
    </w:lvl>
  </w:abstractNum>
  <w:abstractNum w:abstractNumId="134">
    <w:nsid w:val="51A27AA6"/>
    <w:multiLevelType w:val="hybridMultilevel"/>
    <w:lvl w:ilvl="0">
      <w:lvlJc w:val="left"/>
      <w:lvlText w:val="(%1)"/>
      <w:numFmt w:val="lowerLetter"/>
      <w:start w:val="87"/>
    </w:lvl>
  </w:abstractNum>
  <w:abstractNum w:abstractNumId="135">
    <w:nsid w:val="613183F2"/>
    <w:multiLevelType w:val="hybridMultilevel"/>
    <w:lvl w:ilvl="0">
      <w:lvlJc w:val="left"/>
      <w:lvlText w:val="(%1)"/>
      <w:numFmt w:val="lowerLetter"/>
      <w:start w:val="94"/>
    </w:lvl>
  </w:abstractNum>
  <w:abstractNum w:abstractNumId="136">
    <w:nsid w:val="634102B4"/>
    <w:multiLevelType w:val="hybridMultilevel"/>
    <w:lvl w:ilvl="0">
      <w:lvlJc w:val="left"/>
      <w:lvlText w:val="(%1)"/>
      <w:numFmt w:val="lowerLetter"/>
      <w:start w:val="98"/>
    </w:lvl>
  </w:abstractNum>
  <w:abstractNum w:abstractNumId="137">
    <w:nsid w:val="65BF9DA8"/>
    <w:multiLevelType w:val="hybridMultilevel"/>
    <w:lvl w:ilvl="0">
      <w:lvlJc w:val="left"/>
      <w:lvlText w:val="(%1)"/>
      <w:numFmt w:val="lowerLetter"/>
      <w:start w:val="99"/>
    </w:lvl>
  </w:abstractNum>
  <w:abstractNum w:abstractNumId="138">
    <w:nsid w:val="21A2ECCA"/>
    <w:multiLevelType w:val="hybridMultilevel"/>
    <w:lvl w:ilvl="0">
      <w:lvlJc w:val="left"/>
      <w:lvlText w:val="(%1)"/>
      <w:numFmt w:val="lowerLetter"/>
      <w:start w:val="103"/>
    </w:lvl>
  </w:abstractNum>
  <w:abstractNum w:abstractNumId="139">
    <w:nsid w:val="4D5C4899"/>
    <w:multiLevelType w:val="hybridMultilevel"/>
    <w:lvl w:ilvl="0">
      <w:lvlJc w:val="left"/>
      <w:lvlText w:val="(%1)"/>
      <w:numFmt w:val="lowerLetter"/>
      <w:start w:val="1"/>
    </w:lvl>
  </w:abstractNum>
  <w:abstractNum w:abstractNumId="140">
    <w:nsid w:val="3C3B72B2"/>
    <w:multiLevelType w:val="hybridMultilevel"/>
    <w:lvl w:ilvl="0">
      <w:lvlJc w:val="left"/>
      <w:lvlText w:val="(%1)"/>
      <w:numFmt w:val="lowerLetter"/>
      <w:start w:val="1"/>
    </w:lvl>
  </w:abstractNum>
  <w:abstractNum w:abstractNumId="141">
    <w:nsid w:val="155EC4C2"/>
    <w:multiLevelType w:val="hybridMultilevel"/>
    <w:lvl w:ilvl="0">
      <w:lvlJc w:val="left"/>
      <w:lvlText w:val="(%1)"/>
      <w:numFmt w:val="lowerLetter"/>
      <w:start w:val="2"/>
    </w:lvl>
  </w:abstractNum>
  <w:abstractNum w:abstractNumId="142">
    <w:nsid w:val="65D2A137"/>
    <w:multiLevelType w:val="hybridMultilevel"/>
    <w:lvl w:ilvl="0">
      <w:lvlJc w:val="left"/>
      <w:lvlText w:val="(%1)"/>
      <w:numFmt w:val="lowerLetter"/>
      <w:start w:val="1"/>
    </w:lvl>
  </w:abstractNum>
  <w:abstractNum w:abstractNumId="143">
    <w:nsid w:val="6EBB1F2A"/>
    <w:multiLevelType w:val="hybridMultilevel"/>
    <w:lvl w:ilvl="0">
      <w:lvlJc w:val="left"/>
      <w:lvlText w:val="(%1)"/>
      <w:numFmt w:val="lowerLetter"/>
      <w:start w:val="1"/>
    </w:lvl>
  </w:abstractNum>
  <w:abstractNum w:abstractNumId="144">
    <w:nsid w:val="6FBF29CB"/>
    <w:multiLevelType w:val="hybridMultilevel"/>
    <w:lvl w:ilvl="0">
      <w:lvlJc w:val="left"/>
      <w:lvlText w:val="(%1)"/>
      <w:numFmt w:val="lowerLetter"/>
      <w:start w:val="3"/>
    </w:lvl>
  </w:abstractNum>
  <w:abstractNum w:abstractNumId="145">
    <w:nsid w:val="550B8808"/>
    <w:multiLevelType w:val="hybridMultilevel"/>
    <w:lvl w:ilvl="0">
      <w:lvlJc w:val="left"/>
      <w:lvlText w:val="(%1)"/>
      <w:numFmt w:val="lowerRoman"/>
      <w:start w:val="1"/>
    </w:lvl>
  </w:abstractNum>
  <w:abstractNum w:abstractNumId="146">
    <w:nsid w:val="34CC3ACF"/>
    <w:multiLevelType w:val="hybridMultilevel"/>
    <w:lvl w:ilvl="0">
      <w:lvlJc w:val="left"/>
      <w:lvlText w:val="(%1)"/>
      <w:numFmt w:val="lowerLetter"/>
      <w:start w:val="6"/>
    </w:lvl>
  </w:abstractNum>
  <w:abstractNum w:abstractNumId="147">
    <w:nsid w:val="4E556261"/>
    <w:multiLevelType w:val="hybridMultilevel"/>
    <w:lvl w:ilvl="0">
      <w:lvlJc w:val="left"/>
      <w:lvlText w:val="%1"/>
      <w:numFmt w:val="lowerLetter"/>
      <w:start w:val="1"/>
    </w:lvl>
    <w:lvl w:ilvl="1">
      <w:lvlJc w:val="left"/>
      <w:lvlText w:val="(%2)"/>
      <w:numFmt w:val="lowerLetter"/>
      <w:start w:val="1"/>
    </w:lvl>
  </w:abstractNum>
  <w:abstractNum w:abstractNumId="148">
    <w:nsid w:val="4C672FC9"/>
    <w:multiLevelType w:val="hybridMultilevel"/>
    <w:lvl w:ilvl="0">
      <w:lvlJc w:val="left"/>
      <w:lvlText w:val="(%1)"/>
      <w:numFmt w:val="lowerLetter"/>
      <w:start w:val="1"/>
    </w:lvl>
    <w:lvl w:ilvl="1">
      <w:lvlJc w:val="left"/>
      <w:lvlText w:val="%2"/>
      <w:numFmt w:val="lowerLetter"/>
      <w:start w:val="1"/>
    </w:lvl>
  </w:abstractNum>
  <w:abstractNum w:abstractNumId="149">
    <w:nsid w:val="52A311C3"/>
    <w:multiLevelType w:val="hybridMultilevel"/>
    <w:lvl w:ilvl="0">
      <w:lvlJc w:val="left"/>
      <w:lvlText w:val="(%1)"/>
      <w:numFmt w:val="lowerRoman"/>
      <w:start w:val="10"/>
    </w:lvl>
  </w:abstractNum>
  <w:abstractNum w:abstractNumId="150">
    <w:nsid w:val="44EF6B80"/>
    <w:multiLevelType w:val="hybridMultilevel"/>
    <w:lvl w:ilvl="0">
      <w:lvlJc w:val="left"/>
      <w:lvlText w:val="(%1)"/>
      <w:numFmt w:val="lowerLetter"/>
      <w:start w:val="1"/>
    </w:lvl>
  </w:abstractNum>
  <w:abstractNum w:abstractNumId="151">
    <w:nsid w:val="12FCDE5E"/>
    <w:multiLevelType w:val="hybridMultilevel"/>
    <w:lvl w:ilvl="0">
      <w:lvlJc w:val="left"/>
      <w:lvlText w:val="(%1)"/>
      <w:numFmt w:val="lowerLetter"/>
      <w:start w:val="1"/>
    </w:lvl>
  </w:abstractNum>
  <w:abstractNum w:abstractNumId="152">
    <w:nsid w:val="4A1D606E"/>
    <w:multiLevelType w:val="hybridMultilevel"/>
    <w:lvl w:ilvl="0">
      <w:lvlJc w:val="left"/>
      <w:lvlText w:val="(%1)"/>
      <w:numFmt w:val="lowerLetter"/>
      <w:start w:val="2"/>
    </w:lvl>
  </w:abstractNum>
  <w:abstractNum w:abstractNumId="153">
    <w:nsid w:val="4382503"/>
    <w:multiLevelType w:val="hybridMultilevel"/>
    <w:lvl w:ilvl="0">
      <w:lvlJc w:val="left"/>
      <w:lvlText w:val="(%1)"/>
      <w:numFmt w:val="lowerLetter"/>
      <w:start w:val="1"/>
    </w:lvl>
  </w:abstractNum>
  <w:abstractNum w:abstractNumId="154">
    <w:nsid w:val="59B76E28"/>
    <w:multiLevelType w:val="hybridMultilevel"/>
    <w:lvl w:ilvl="0">
      <w:lvlJc w:val="left"/>
      <w:lvlText w:val="(%1)"/>
      <w:numFmt w:val="lowerLetter"/>
      <w:start w:val="1"/>
    </w:lvl>
  </w:abstractNum>
  <w:abstractNum w:abstractNumId="155">
    <w:nsid w:val="4252C2DA"/>
    <w:multiLevelType w:val="hybridMultilevel"/>
    <w:lvl w:ilvl="0">
      <w:lvlJc w:val="left"/>
      <w:lvlText w:val="(%1)"/>
      <w:numFmt w:val="lowerLetter"/>
      <w:start w:val="2"/>
    </w:lvl>
  </w:abstractNum>
  <w:abstractNum w:abstractNumId="156">
    <w:nsid w:val="6A92EF4C"/>
    <w:multiLevelType w:val="hybridMultilevel"/>
    <w:lvl w:ilvl="0">
      <w:lvlJc w:val="left"/>
      <w:lvlText w:val="(%1)"/>
      <w:numFmt w:val="lowerLetter"/>
      <w:start w:val="4"/>
    </w:lvl>
  </w:abstractNum>
  <w:abstractNum w:abstractNumId="157">
    <w:nsid w:val="41ED20D7"/>
    <w:multiLevelType w:val="hybridMultilevel"/>
    <w:lvl w:ilvl="0">
      <w:lvlJc w:val="left"/>
      <w:lvlText w:val="(%1)"/>
      <w:numFmt w:val="lowerLetter"/>
      <w:start w:val="1"/>
    </w:lvl>
  </w:abstractNum>
  <w:abstractNum w:abstractNumId="158">
    <w:nsid w:val="E6B3F6A"/>
    <w:multiLevelType w:val="hybridMultilevel"/>
    <w:lvl w:ilvl="0">
      <w:lvlJc w:val="left"/>
      <w:lvlText w:val="(%1)"/>
      <w:numFmt w:val="lowerLetter"/>
      <w:start w:val="1"/>
    </w:lvl>
  </w:abstractNum>
  <w:abstractNum w:abstractNumId="159">
    <w:nsid w:val="3EB21819"/>
    <w:multiLevelType w:val="hybridMultilevel"/>
    <w:lvl w:ilvl="0">
      <w:lvlJc w:val="left"/>
      <w:lvlText w:val="(%1)"/>
      <w:numFmt w:val="lowerLetter"/>
      <w:start w:val="4"/>
    </w:lvl>
  </w:abstractNum>
  <w:abstractNum w:abstractNumId="160">
    <w:nsid w:val="41531DED"/>
    <w:multiLevelType w:val="hybridMultilevel"/>
    <w:lvl w:ilvl="0">
      <w:lvlJc w:val="left"/>
      <w:lvlText w:val="(%1)"/>
      <w:numFmt w:val="lowerLetter"/>
      <w:start w:val="1"/>
    </w:lvl>
  </w:abstractNum>
  <w:abstractNum w:abstractNumId="161">
    <w:nsid w:val="6353CD2"/>
    <w:multiLevelType w:val="hybridMultilevel"/>
    <w:lvl w:ilvl="0">
      <w:lvlJc w:val="left"/>
      <w:lvlText w:val="(%1)"/>
      <w:numFmt w:val="lowerLetter"/>
      <w:start w:val="2"/>
    </w:lvl>
  </w:abstractNum>
  <w:abstractNum w:abstractNumId="162">
    <w:nsid w:val="683CAAD3"/>
    <w:multiLevelType w:val="hybridMultilevel"/>
    <w:lvl w:ilvl="0">
      <w:lvlJc w:val="left"/>
      <w:lvlText w:val="(%1)"/>
      <w:numFmt w:val="lowerLetter"/>
      <w:start w:val="8"/>
    </w:lvl>
  </w:abstractNum>
  <w:abstractNum w:abstractNumId="163">
    <w:nsid w:val="313C7C99"/>
    <w:multiLevelType w:val="hybridMultilevel"/>
    <w:lvl w:ilvl="0">
      <w:lvlJc w:val="left"/>
      <w:lvlText w:val="(%1)"/>
      <w:numFmt w:val="lowerLetter"/>
      <w:start w:val="1"/>
    </w:lvl>
  </w:abstractNum>
  <w:abstractNum w:abstractNumId="164">
    <w:nsid w:val="519EB94C"/>
    <w:multiLevelType w:val="hybridMultilevel"/>
    <w:lvl w:ilvl="0">
      <w:lvlJc w:val="left"/>
      <w:lvlText w:val="(%1)"/>
      <w:numFmt w:val="lowerLetter"/>
      <w:start w:val="3"/>
    </w:lvl>
    <w:lvl w:ilvl="1">
      <w:lvlJc w:val="left"/>
      <w:lvlText w:val="(%2)"/>
      <w:numFmt w:val="lowerRoman"/>
      <w:start w:val="1"/>
    </w:lvl>
  </w:abstractNum>
  <w:abstractNum w:abstractNumId="165">
    <w:nsid w:val="39DF2579"/>
    <w:multiLevelType w:val="hybridMultilevel"/>
    <w:lvl w:ilvl="0">
      <w:lvlJc w:val="left"/>
      <w:lvlText w:val="(%1)"/>
      <w:numFmt w:val="lowerLetter"/>
      <w:start w:val="8"/>
    </w:lvl>
  </w:abstractNum>
  <w:abstractNum w:abstractNumId="166">
    <w:nsid w:val="126E008B"/>
    <w:multiLevelType w:val="hybridMultilevel"/>
    <w:lvl w:ilvl="0">
      <w:lvlJc w:val="left"/>
      <w:lvlText w:val="(%1)"/>
      <w:numFmt w:val="lowerLetter"/>
      <w:start w:val="1"/>
    </w:lvl>
  </w:abstractNum>
  <w:abstractNum w:abstractNumId="167">
    <w:nsid w:val="34DFBC00"/>
    <w:multiLevelType w:val="hybridMultilevel"/>
    <w:lvl w:ilvl="0">
      <w:lvlJc w:val="left"/>
      <w:lvlText w:val="%1"/>
      <w:numFmt w:val="lowerLetter"/>
      <w:start w:val="1"/>
    </w:lvl>
    <w:lvl w:ilvl="1">
      <w:lvlJc w:val="left"/>
      <w:lvlText w:val="(%2)"/>
      <w:numFmt w:val="lowerRoman"/>
      <w:start w:val="1"/>
    </w:lvl>
  </w:abstractNum>
  <w:abstractNum w:abstractNumId="168">
    <w:nsid w:val="1F9EC322"/>
    <w:multiLevelType w:val="hybridMultilevel"/>
    <w:lvl w:ilvl="0">
      <w:lvlJc w:val="left"/>
      <w:lvlText w:val="(%1)"/>
      <w:numFmt w:val="lowerLetter"/>
      <w:start w:val="3"/>
    </w:lvl>
    <w:lvl w:ilvl="1">
      <w:lvlJc w:val="left"/>
      <w:lvlText w:val="%2"/>
      <w:numFmt w:val="lowerRoman"/>
      <w:start w:val="1"/>
    </w:lvl>
  </w:abstractNum>
  <w:abstractNum w:abstractNumId="169">
    <w:nsid w:val="3410ED56"/>
    <w:multiLevelType w:val="hybridMultilevel"/>
    <w:lvl w:ilvl="0">
      <w:lvlJc w:val="left"/>
      <w:lvlText w:val="(%1)"/>
      <w:numFmt w:val="lowerLetter"/>
      <w:start w:val="1"/>
    </w:lvl>
  </w:abstractNum>
  <w:abstractNum w:abstractNumId="170">
    <w:nsid w:val="23C049A"/>
    <w:multiLevelType w:val="hybridMultilevel"/>
    <w:lvl w:ilvl="0">
      <w:lvlJc w:val="left"/>
      <w:lvlText w:val="(%1)"/>
      <w:numFmt w:val="lowerLetter"/>
      <w:start w:val="3"/>
    </w:lvl>
    <w:lvl w:ilvl="1">
      <w:lvlJc w:val="left"/>
      <w:lvlText w:val="(%2)"/>
      <w:numFmt w:val="lowerRoman"/>
      <w:start w:val="1"/>
    </w:lvl>
  </w:abstractNum>
  <w:abstractNum w:abstractNumId="171">
    <w:nsid w:val="5BDA35D4"/>
    <w:multiLevelType w:val="hybridMultilevel"/>
    <w:lvl w:ilvl="0">
      <w:lvlJc w:val="left"/>
      <w:lvlText w:val="(%1)"/>
      <w:numFmt w:val="lowerLetter"/>
      <w:start w:val="1"/>
    </w:lvl>
  </w:abstractNum>
  <w:abstractNum w:abstractNumId="172">
    <w:nsid w:val="496FB218"/>
    <w:multiLevelType w:val="hybridMultilevel"/>
    <w:lvl w:ilvl="0">
      <w:lvlJc w:val="left"/>
      <w:lvlText w:val="(%1)"/>
      <w:numFmt w:val="lowerLetter"/>
      <w:start w:val="3"/>
    </w:lvl>
  </w:abstractNum>
  <w:abstractNum w:abstractNumId="173">
    <w:nsid w:val="680EA5D1"/>
    <w:multiLevelType w:val="hybridMultilevel"/>
    <w:lvl w:ilvl="0">
      <w:lvlJc w:val="left"/>
      <w:lvlText w:val="(%1)"/>
      <w:numFmt w:val="lowerLetter"/>
      <w:start w:val="1"/>
    </w:lvl>
  </w:abstractNum>
  <w:abstractNum w:abstractNumId="174">
    <w:nsid w:val="4A9554FE"/>
    <w:multiLevelType w:val="hybridMultilevel"/>
    <w:lvl w:ilvl="0">
      <w:lvlJc w:val="left"/>
      <w:lvlText w:val="(%1)"/>
      <w:numFmt w:val="lowerLetter"/>
      <w:start w:val="2"/>
    </w:lvl>
  </w:abstractNum>
  <w:abstractNum w:abstractNumId="175">
    <w:nsid w:val="392EDBE4"/>
    <w:multiLevelType w:val="hybridMultilevel"/>
    <w:lvl w:ilvl="0">
      <w:lvlJc w:val="left"/>
      <w:lvlText w:val="%1"/>
      <w:numFmt w:val="decimal"/>
      <w:start w:val="1"/>
    </w:lvl>
    <w:lvl w:ilvl="1">
      <w:lvlJc w:val="left"/>
      <w:lvlText w:val="(%2)"/>
      <w:numFmt w:val="lowerLetter"/>
      <w:start w:val="1"/>
    </w:lvl>
  </w:abstractNum>
  <w:abstractNum w:abstractNumId="176">
    <w:nsid w:val="3D1A2DD9"/>
    <w:multiLevelType w:val="hybridMultilevel"/>
    <w:lvl w:ilvl="0">
      <w:lvlJc w:val="left"/>
      <w:lvlText w:val="(%1)"/>
      <w:numFmt w:val="decimal"/>
      <w:start w:val="5"/>
    </w:lvl>
    <w:lvl w:ilvl="1">
      <w:lvlJc w:val="left"/>
      <w:lvlText w:val="(%2)"/>
      <w:numFmt w:val="lowerLetter"/>
      <w:start w:val="2"/>
    </w:lvl>
  </w:abstractNum>
  <w:abstractNum w:abstractNumId="177">
    <w:nsid w:val="7F618FCD"/>
    <w:multiLevelType w:val="hybridMultilevel"/>
    <w:lvl w:ilvl="0">
      <w:lvlJc w:val="left"/>
      <w:lvlText w:val="(%1)"/>
      <w:numFmt w:val="lowerLetter"/>
      <w:start w:val="1"/>
    </w:lvl>
  </w:abstractNum>
  <w:abstractNum w:abstractNumId="178">
    <w:nsid w:val="7843E45"/>
    <w:multiLevelType w:val="hybridMultilevel"/>
    <w:lvl w:ilvl="0">
      <w:lvlJc w:val="left"/>
      <w:lvlText w:val="(%1)"/>
      <w:numFmt w:val="lowerRoman"/>
      <w:start w:val="2"/>
    </w:lvl>
  </w:abstractNum>
  <w:abstractNum w:abstractNumId="179">
    <w:nsid w:val="9815DA3"/>
    <w:multiLevelType w:val="hybridMultilevel"/>
    <w:lvl w:ilvl="0">
      <w:lvlJc w:val="left"/>
      <w:lvlText w:val="(%1)"/>
      <w:numFmt w:val="lowerLetter"/>
      <w:start w:val="1"/>
    </w:lvl>
  </w:abstractNum>
  <w:abstractNum w:abstractNumId="180">
    <w:nsid w:val="5204A191"/>
    <w:multiLevelType w:val="hybridMultilevel"/>
    <w:lvl w:ilvl="0">
      <w:lvlJc w:val="left"/>
      <w:lvlText w:val="(%1)"/>
      <w:numFmt w:val="lowerLetter"/>
      <w:start w:val="2"/>
    </w:lvl>
  </w:abstractNum>
  <w:abstractNum w:abstractNumId="181">
    <w:nsid w:val="4C73A9C6"/>
    <w:multiLevelType w:val="hybridMultilevel"/>
    <w:lvl w:ilvl="0">
      <w:lvlJc w:val="left"/>
      <w:lvlText w:val="(%1)"/>
      <w:numFmt w:val="lowerLetter"/>
      <w:start w:val="1"/>
    </w:lvl>
  </w:abstractNum>
  <w:abstractNum w:abstractNumId="182">
    <w:nsid w:val="1C7E3C01"/>
    <w:multiLevelType w:val="hybridMultilevel"/>
    <w:lvl w:ilvl="0">
      <w:lvlJc w:val="left"/>
      <w:lvlText w:val="(%1)"/>
      <w:numFmt w:val="lowerLetter"/>
      <w:start w:val="2"/>
    </w:lvl>
    <w:lvl w:ilvl="1">
      <w:lvlJc w:val="left"/>
      <w:lvlText w:val="(%2)"/>
      <w:numFmt w:val="lowerRoman"/>
      <w:start w:val="1"/>
    </w:lvl>
  </w:abstractNum>
  <w:abstractNum w:abstractNumId="183">
    <w:nsid w:val="1C2201FF"/>
    <w:multiLevelType w:val="hybridMultilevel"/>
    <w:lvl w:ilvl="0">
      <w:lvlJc w:val="left"/>
      <w:lvlText w:val="(%1)"/>
      <w:numFmt w:val="lowerLetter"/>
      <w:start w:val="1"/>
    </w:lvl>
  </w:abstractNum>
  <w:abstractNum w:abstractNumId="184">
    <w:nsid w:val="50ABCEC9"/>
    <w:multiLevelType w:val="hybridMultilevel"/>
    <w:lvl w:ilvl="0">
      <w:lvlJc w:val="left"/>
      <w:lvlText w:val="(%1)"/>
      <w:numFmt w:val="lowerLetter"/>
      <w:start w:val="1"/>
    </w:lvl>
  </w:abstractNum>
  <w:abstractNum w:abstractNumId="185">
    <w:nsid w:val="7635AA2A"/>
    <w:multiLevelType w:val="hybridMultilevel"/>
    <w:lvl w:ilvl="0">
      <w:lvlJc w:val="left"/>
      <w:lvlText w:val="(%1)"/>
      <w:numFmt w:val="lowerLetter"/>
      <w:start w:val="4"/>
    </w:lvl>
  </w:abstractNum>
  <w:abstractNum w:abstractNumId="186">
    <w:nsid w:val="5E74C4D9"/>
    <w:multiLevelType w:val="hybridMultilevel"/>
    <w:lvl w:ilvl="0">
      <w:lvlJc w:val="left"/>
      <w:lvlText w:val="(%1)"/>
      <w:numFmt w:val="lowerLetter"/>
      <w:start w:val="1"/>
    </w:lvl>
  </w:abstractNum>
  <w:abstractNum w:abstractNumId="187">
    <w:nsid w:val="3B3EBE15"/>
    <w:multiLevelType w:val="hybridMultilevel"/>
    <w:lvl w:ilvl="0">
      <w:lvlJc w:val="left"/>
      <w:lvlText w:val="(%1)"/>
      <w:numFmt w:val="lowerLetter"/>
      <w:start w:val="1"/>
    </w:lvl>
  </w:abstractNum>
  <w:abstractNum w:abstractNumId="188">
    <w:nsid w:val="3822CB01"/>
    <w:multiLevelType w:val="hybridMultilevel"/>
    <w:lvl w:ilvl="0">
      <w:lvlJc w:val="left"/>
      <w:lvlText w:val="(%1)"/>
      <w:numFmt w:val="lowerLetter"/>
      <w:start w:val="1"/>
    </w:lvl>
  </w:abstractNum>
  <w:abstractNum w:abstractNumId="189">
    <w:nsid w:val="6CE00443"/>
    <w:multiLevelType w:val="hybridMultilevel"/>
    <w:lvl w:ilvl="0">
      <w:lvlJc w:val="left"/>
      <w:lvlText w:val="(%1)"/>
      <w:numFmt w:val="lowerLetter"/>
      <w:start w:val="1"/>
    </w:lvl>
    <w:lvl w:ilvl="1">
      <w:lvlJc w:val="left"/>
      <w:lvlText w:val="(%2)"/>
      <w:numFmt w:val="lowerLetter"/>
      <w:start w:val="9"/>
    </w:lvl>
  </w:abstractNum>
  <w:abstractNum w:abstractNumId="190">
    <w:nsid w:val="79F0D62F"/>
    <w:multiLevelType w:val="hybridMultilevel"/>
    <w:lvl w:ilvl="0">
      <w:lvlJc w:val="left"/>
      <w:lvlText w:val="%1"/>
      <w:numFmt w:val="lowerLetter"/>
      <w:start w:val="1"/>
    </w:lvl>
    <w:lvl w:ilvl="1">
      <w:lvlJc w:val="left"/>
      <w:lvlText w:val="(%2)"/>
      <w:numFmt w:val="lowerLetter"/>
      <w:start w:val="35"/>
    </w:lvl>
  </w:abstractNum>
  <w:abstractNum w:abstractNumId="191">
    <w:nsid w:val="7975E8EE"/>
    <w:multiLevelType w:val="hybridMultilevel"/>
    <w:lvl w:ilvl="0">
      <w:lvlJc w:val="left"/>
      <w:lvlText w:val="(%1)"/>
      <w:numFmt w:val="lowerLetter"/>
      <w:start w:val="4"/>
    </w:lvl>
    <w:lvl w:ilvl="1">
      <w:lvlJc w:val="left"/>
      <w:lvlText w:val="%2"/>
      <w:numFmt w:val="lowerLetter"/>
      <w:start w:val="1"/>
    </w:lvl>
  </w:abstractNum>
  <w:abstractNum w:abstractNumId="192">
    <w:nsid w:val="73154115"/>
    <w:multiLevelType w:val="hybridMultilevel"/>
    <w:lvl w:ilvl="0">
      <w:lvlJc w:val="left"/>
      <w:lvlText w:val="(%1)"/>
      <w:numFmt w:val="lowerLetter"/>
      <w:start w:val="1"/>
    </w:lvl>
  </w:abstractNum>
  <w:abstractNum w:abstractNumId="193">
    <w:nsid w:val="622D8102"/>
    <w:multiLevelType w:val="hybridMultilevel"/>
    <w:lvl w:ilvl="0">
      <w:lvlJc w:val="left"/>
      <w:lvlText w:val="(%1)"/>
      <w:numFmt w:val="lowerRoman"/>
      <w:start w:val="2"/>
    </w:lvl>
  </w:abstractNum>
  <w:abstractNum w:abstractNumId="194">
    <w:nsid w:val="2AB26587"/>
    <w:multiLevelType w:val="hybridMultilevel"/>
    <w:lvl w:ilvl="0">
      <w:lvlJc w:val="left"/>
      <w:lvlText w:val="(%1)"/>
      <w:numFmt w:val="lowerLetter"/>
      <w:start w:val="1"/>
    </w:lvl>
  </w:abstractNum>
  <w:abstractNum w:abstractNumId="195">
    <w:nsid w:val="44B3FA61"/>
    <w:multiLevelType w:val="hybridMultilevel"/>
    <w:lvl w:ilvl="0">
      <w:lvlJc w:val="left"/>
      <w:lvlText w:val="(%1)"/>
      <w:numFmt w:val="upperLetter"/>
      <w:start w:val="2"/>
    </w:lvl>
  </w:abstractNum>
  <w:abstractNum w:abstractNumId="196">
    <w:nsid w:val="1C0CA67C"/>
    <w:multiLevelType w:val="hybridMultilevel"/>
    <w:lvl w:ilvl="0">
      <w:lvlJc w:val="left"/>
      <w:lvlText w:val="(%1)"/>
      <w:numFmt w:val="lowerLetter"/>
      <w:start w:val="1"/>
    </w:lvl>
  </w:abstractNum>
  <w:abstractNum w:abstractNumId="197">
    <w:nsid w:val="3D206613"/>
    <w:multiLevelType w:val="hybridMultilevel"/>
    <w:lvl w:ilvl="0">
      <w:lvlJc w:val="left"/>
      <w:lvlText w:val="(%1)"/>
      <w:numFmt w:val="lowerLetter"/>
      <w:start w:val="1"/>
    </w:lvl>
  </w:abstractNum>
  <w:abstractNum w:abstractNumId="198">
    <w:nsid w:val="7993B662"/>
    <w:multiLevelType w:val="hybridMultilevel"/>
    <w:lvl w:ilvl="0">
      <w:lvlJc w:val="left"/>
      <w:lvlText w:val="%1"/>
      <w:numFmt w:val="decimal"/>
      <w:start w:val="1"/>
    </w:lvl>
    <w:lvl w:ilvl="1">
      <w:lvlJc w:val="left"/>
      <w:lvlText w:val="(%2)"/>
      <w:numFmt w:val="lowerLetter"/>
      <w:start w:val="3"/>
    </w:lvl>
  </w:abstractNum>
  <w:abstractNum w:abstractNumId="199">
    <w:nsid w:val="3BAB699E"/>
    <w:multiLevelType w:val="hybridMultilevel"/>
    <w:lvl w:ilvl="0">
      <w:lvlJc w:val="left"/>
      <w:lvlText w:val="(%1)"/>
      <w:numFmt w:val="decimal"/>
      <w:start w:val="1"/>
    </w:lvl>
    <w:lvl w:ilvl="1">
      <w:lvlJc w:val="left"/>
      <w:lvlText w:val="(%2)"/>
      <w:numFmt w:val="lowerLetter"/>
      <w:start w:val="4"/>
    </w:lvl>
  </w:abstractNum>
  <w:abstractNum w:abstractNumId="200">
    <w:nsid w:val="71315369"/>
    <w:multiLevelType w:val="hybridMultilevel"/>
    <w:lvl w:ilvl="0">
      <w:lvlJc w:val="left"/>
      <w:lvlText w:val="(%1)"/>
      <w:numFmt w:val="lowerLetter"/>
      <w:start w:val="6"/>
    </w:lvl>
  </w:abstractNum>
  <w:abstractNum w:abstractNumId="201">
    <w:nsid w:val="7BCFBAFC"/>
    <w:multiLevelType w:val="hybridMultilevel"/>
    <w:lvl w:ilvl="0">
      <w:lvlJc w:val="left"/>
      <w:lvlText w:val="(%1)"/>
      <w:numFmt w:val="lowerLetter"/>
      <w:start w:val="1"/>
    </w:lvl>
  </w:abstractNum>
  <w:abstractNum w:abstractNumId="202">
    <w:nsid w:val="17859F72"/>
    <w:multiLevelType w:val="hybridMultilevel"/>
    <w:lvl w:ilvl="0">
      <w:lvlJc w:val="left"/>
      <w:lvlText w:val="(%1)"/>
      <w:numFmt w:val="lowerLetter"/>
      <w:start w:val="4"/>
    </w:lvl>
  </w:abstractNum>
  <w:abstractNum w:abstractNumId="203">
    <w:nsid w:val="3AA10581"/>
    <w:multiLevelType w:val="hybridMultilevel"/>
    <w:lvl w:ilvl="0">
      <w:lvlJc w:val="left"/>
      <w:lvlText w:val="(%1)"/>
      <w:numFmt w:val="lowerLetter"/>
      <w:start w:val="1"/>
    </w:lvl>
  </w:abstractNum>
  <w:abstractNum w:abstractNumId="204">
    <w:nsid w:val="63DE60CD"/>
    <w:multiLevelType w:val="hybridMultilevel"/>
    <w:lvl w:ilvl="0">
      <w:lvlJc w:val="left"/>
      <w:lvlText w:val="%1"/>
      <w:numFmt w:val="upperLetter"/>
      <w:start w:val="1"/>
    </w:lvl>
    <w:lvl w:ilvl="1">
      <w:lvlJc w:val="left"/>
      <w:lvlText w:val="(%2)"/>
      <w:numFmt w:val="lowerLetter"/>
      <w:start w:val="1"/>
    </w:lvl>
  </w:abstractNum>
  <w:abstractNum w:abstractNumId="205">
    <w:nsid w:val="621AF471"/>
    <w:multiLevelType w:val="hybridMultilevel"/>
    <w:lvl w:ilvl="0">
      <w:lvlJc w:val="left"/>
      <w:lvlText w:val="(%1)"/>
      <w:numFmt w:val="upperLetter"/>
      <w:start w:val="1"/>
    </w:lvl>
    <w:lvl w:ilvl="1">
      <w:lvlJc w:val="left"/>
      <w:lvlText w:val="(%2)"/>
      <w:numFmt w:val="lowerLetter"/>
      <w:start w:val="2"/>
    </w:lvl>
  </w:abstractNum>
  <w:abstractNum w:abstractNumId="206">
    <w:nsid w:val="73CFE165"/>
    <w:multiLevelType w:val="hybridMultilevel"/>
    <w:lvl w:ilvl="0">
      <w:lvlJc w:val="left"/>
      <w:lvlText w:val="(%1)"/>
      <w:numFmt w:val="lowerLetter"/>
      <w:start w:val="3"/>
    </w:lvl>
  </w:abstractNum>
  <w:abstractNum w:abstractNumId="207">
    <w:nsid w:val="20F88EA6"/>
    <w:multiLevelType w:val="hybridMultilevel"/>
    <w:lvl w:ilvl="0">
      <w:lvlJc w:val="left"/>
      <w:lvlText w:val="(%1)"/>
      <w:numFmt w:val="lowerLetter"/>
      <w:start w:val="1"/>
    </w:lvl>
  </w:abstractNum>
  <w:abstractNum w:abstractNumId="208">
    <w:nsid w:val="617C843E"/>
    <w:multiLevelType w:val="hybridMultilevel"/>
    <w:lvl w:ilvl="0">
      <w:lvlJc w:val="left"/>
      <w:lvlText w:val="(%1)"/>
      <w:numFmt w:val="lowerLetter"/>
      <w:start w:val="2"/>
    </w:lvl>
  </w:abstractNum>
  <w:abstractNum w:abstractNumId="209">
    <w:nsid w:val="7B541FAB"/>
    <w:multiLevelType w:val="hybridMultilevel"/>
    <w:lvl w:ilvl="0">
      <w:lvlJc w:val="left"/>
      <w:lvlText w:val="(%1)"/>
      <w:numFmt w:val="lowerRoman"/>
      <w:start w:val="1"/>
    </w:lvl>
  </w:abstractNum>
  <w:abstractNum w:abstractNumId="210">
    <w:nsid w:val="2A79EC49"/>
    <w:multiLevelType w:val="hybridMultilevel"/>
    <w:lvl w:ilvl="0">
      <w:lvlJc w:val="left"/>
      <w:lvlText w:val="(%1)"/>
      <w:numFmt w:val="lowerLetter"/>
      <w:start w:val="1"/>
    </w:lvl>
  </w:abstractNum>
  <w:abstractNum w:abstractNumId="211">
    <w:nsid w:val="338125CF"/>
    <w:multiLevelType w:val="hybridMultilevel"/>
    <w:lvl w:ilvl="0">
      <w:lvlJc w:val="left"/>
      <w:lvlText w:val="(%1)"/>
      <w:numFmt w:val="lowerLetter"/>
      <w:start w:val="2"/>
    </w:lvl>
  </w:abstractNum>
  <w:abstractNum w:abstractNumId="212">
    <w:nsid w:val="47C7C971"/>
    <w:multiLevelType w:val="hybridMultilevel"/>
    <w:lvl w:ilvl="0">
      <w:lvlJc w:val="left"/>
      <w:lvlText w:val="(%1)"/>
      <w:numFmt w:val="lowerLetter"/>
      <w:start w:val="1"/>
    </w:lvl>
  </w:abstractNum>
  <w:abstractNum w:abstractNumId="213">
    <w:nsid w:val="46F8284B"/>
    <w:multiLevelType w:val="hybridMultilevel"/>
    <w:lvl w:ilvl="0">
      <w:lvlJc w:val="left"/>
      <w:lvlText w:val="(%1)"/>
      <w:numFmt w:val="lowerLetter"/>
      <w:start w:val="1"/>
    </w:lvl>
  </w:abstractNum>
  <w:abstractNum w:abstractNumId="214">
    <w:nsid w:val="4FA327CE"/>
    <w:multiLevelType w:val="hybridMultilevel"/>
    <w:lvl w:ilvl="0">
      <w:lvlJc w:val="left"/>
      <w:lvlText w:val="(%1)"/>
      <w:numFmt w:val="lowerRoman"/>
      <w:start w:val="1"/>
    </w:lvl>
    <w:lvl w:ilvl="1">
      <w:lvlJc w:val="left"/>
      <w:lvlText w:val="(%2)"/>
      <w:numFmt w:val="lowerLetter"/>
      <w:start w:val="2"/>
    </w:lvl>
  </w:abstractNum>
  <w:abstractNum w:abstractNumId="215">
    <w:nsid w:val="1873983A"/>
    <w:multiLevelType w:val="hybridMultilevel"/>
    <w:lvl w:ilvl="0">
      <w:lvlJc w:val="left"/>
      <w:lvlText w:val="(%1)"/>
      <w:numFmt w:val="lowerLetter"/>
      <w:start w:val="1"/>
    </w:lvl>
  </w:abstractNum>
  <w:abstractNum w:abstractNumId="216">
    <w:nsid w:val="3D2DD275"/>
    <w:multiLevelType w:val="hybridMultilevel"/>
    <w:lvl w:ilvl="0">
      <w:lvlJc w:val="left"/>
      <w:lvlText w:val="(%1)"/>
      <w:numFmt w:val="lowerLetter"/>
      <w:start w:val="1"/>
    </w:lvl>
  </w:abstractNum>
  <w:abstractNum w:abstractNumId="217">
    <w:nsid w:val="2E17ECA7"/>
    <w:multiLevelType w:val="hybridMultilevel"/>
    <w:lvl w:ilvl="0">
      <w:lvlJc w:val="left"/>
      <w:lvlText w:val="%1"/>
      <w:numFmt w:val="decimal"/>
      <w:start w:val="1"/>
    </w:lvl>
    <w:lvl w:ilvl="1">
      <w:lvlJc w:val="left"/>
      <w:lvlText w:val="(%2)"/>
      <w:numFmt w:val="lowerLetter"/>
      <w:start w:val="1"/>
    </w:lvl>
  </w:abstractNum>
  <w:abstractNum w:abstractNumId="218">
    <w:nsid w:val="53B2564F"/>
    <w:multiLevelType w:val="hybridMultilevel"/>
    <w:lvl w:ilvl="0">
      <w:lvlJc w:val="left"/>
      <w:lvlText w:val="(%1)"/>
      <w:numFmt w:val="decimal"/>
      <w:start w:val="30"/>
    </w:lvl>
    <w:lvl w:ilvl="1">
      <w:lvlJc w:val="left"/>
      <w:lvlText w:val="%2"/>
      <w:numFmt w:val="lowerLetter"/>
      <w:start w:val="1"/>
    </w:lvl>
  </w:abstractNum>
  <w:abstractNum w:abstractNumId="219">
    <w:nsid w:val="75509D76"/>
    <w:multiLevelType w:val="hybridMultilevel"/>
    <w:lvl w:ilvl="0">
      <w:lvlJc w:val="left"/>
      <w:lvlText w:val="%1"/>
      <w:numFmt w:val="decimal"/>
      <w:start w:val="1"/>
    </w:lvl>
    <w:lvl w:ilvl="1">
      <w:lvlJc w:val="left"/>
      <w:lvlText w:val="(%2)"/>
      <w:numFmt w:val="lowerLetter"/>
      <w:start w:val="3"/>
    </w:lvl>
  </w:abstractNum>
  <w:abstractNum w:abstractNumId="220">
    <w:nsid w:val="1AF7F0EA"/>
    <w:multiLevelType w:val="hybridMultilevel"/>
    <w:lvl w:ilvl="0">
      <w:lvlJc w:val="left"/>
      <w:lvlText w:val="(%1)"/>
      <w:numFmt w:val="decimal"/>
      <w:start w:val="1"/>
    </w:lvl>
    <w:lvl w:ilvl="1">
      <w:lvlJc w:val="left"/>
      <w:lvlText w:val="%2"/>
      <w:numFmt w:val="lowerLetter"/>
      <w:start w:val="1"/>
    </w:lvl>
  </w:abstractNum>
  <w:abstractNum w:abstractNumId="221">
    <w:nsid w:val="4DA32C7E"/>
    <w:multiLevelType w:val="hybridMultilevel"/>
    <w:lvl w:ilvl="0">
      <w:lvlJc w:val="left"/>
      <w:lvlText w:val="(%1)"/>
      <w:numFmt w:val="lowerLetter"/>
      <w:start w:val="1"/>
    </w:lvl>
  </w:abstractNum>
  <w:abstractNum w:abstractNumId="222">
    <w:nsid w:val="6EC68664"/>
    <w:multiLevelType w:val="hybridMultilevel"/>
    <w:lvl w:ilvl="0">
      <w:lvlJc w:val="left"/>
      <w:lvlText w:val="(%1)"/>
      <w:numFmt w:val="lowerLetter"/>
      <w:start w:val="1"/>
    </w:lvl>
  </w:abstractNum>
  <w:abstractNum w:abstractNumId="223">
    <w:nsid w:val="E0D31FF"/>
    <w:multiLevelType w:val="hybridMultilevel"/>
    <w:lvl w:ilvl="0">
      <w:lvlJc w:val="left"/>
      <w:lvlText w:val="(%1)"/>
      <w:numFmt w:val="lowerLetter"/>
      <w:start w:val="2"/>
    </w:lvl>
  </w:abstractNum>
  <w:abstractNum w:abstractNumId="224">
    <w:nsid w:val="2FD0AD81"/>
    <w:multiLevelType w:val="hybridMultilevel"/>
    <w:lvl w:ilvl="0">
      <w:lvlJc w:val="left"/>
      <w:lvlText w:val="(%1)"/>
      <w:numFmt w:val="lowerRoman"/>
      <w:start w:val="1"/>
    </w:lvl>
  </w:abstractNum>
  <w:abstractNum w:abstractNumId="225">
    <w:nsid w:val="1978EBEB"/>
    <w:multiLevelType w:val="hybridMultilevel"/>
    <w:lvl w:ilvl="0">
      <w:lvlJc w:val="left"/>
      <w:lvlText w:val="(%1)"/>
      <w:numFmt w:val="lowerLetter"/>
      <w:start w:val="1"/>
    </w:lvl>
  </w:abstractNum>
  <w:abstractNum w:abstractNumId="226">
    <w:nsid w:val="52C12C61"/>
    <w:multiLevelType w:val="hybridMultilevel"/>
    <w:lvl w:ilvl="0">
      <w:lvlJc w:val="left"/>
      <w:lvlText w:val="%1"/>
      <w:numFmt w:val="lowerLetter"/>
      <w:start w:val="1"/>
    </w:lvl>
    <w:lvl w:ilvl="1">
      <w:lvlJc w:val="left"/>
      <w:lvlText w:val="(%2)"/>
      <w:numFmt w:val="lowerLetter"/>
      <w:start w:val="1"/>
    </w:lvl>
  </w:abstractNum>
  <w:abstractNum w:abstractNumId="227">
    <w:nsid w:val="4BDD53FD"/>
    <w:multiLevelType w:val="hybridMultilevel"/>
    <w:lvl w:ilvl="0">
      <w:lvlJc w:val="left"/>
      <w:lvlText w:val="(%1)"/>
      <w:numFmt w:val="lowerLetter"/>
      <w:start w:val="61"/>
    </w:lvl>
    <w:lvl w:ilvl="1">
      <w:lvlJc w:val="left"/>
      <w:lvlText w:val="%2"/>
      <w:numFmt w:val="lowerLetter"/>
      <w:start w:val="1"/>
    </w:lvl>
  </w:abstractNum>
  <w:abstractNum w:abstractNumId="228">
    <w:nsid w:val="569951FE"/>
    <w:multiLevelType w:val="hybridMultilevel"/>
    <w:lvl w:ilvl="0">
      <w:lvlJc w:val="left"/>
      <w:lvlText w:val="(%1)"/>
      <w:numFmt w:val="lowerLetter"/>
      <w:start w:val="24"/>
    </w:lvl>
    <w:lvl w:ilvl="1">
      <w:lvlJc w:val="left"/>
      <w:lvlText w:val="(%2)"/>
      <w:numFmt w:val="lowerLetter"/>
      <w:start w:val="2"/>
    </w:lvl>
  </w:abstractNum>
  <w:abstractNum w:abstractNumId="229">
    <w:nsid w:val="4C54E2C3"/>
    <w:multiLevelType w:val="hybridMultilevel"/>
    <w:lvl w:ilvl="0">
      <w:lvlJc w:val="left"/>
      <w:lvlText w:val="1"/>
      <w:numFmt w:val="bullet"/>
      <w:start w:val="1"/>
    </w:lvl>
  </w:abstractNum>
  <w:abstractNum w:abstractNumId="230">
    <w:nsid w:val="788BD9B"/>
    <w:multiLevelType w:val="hybridMultilevel"/>
    <w:lvl w:ilvl="0">
      <w:lvlJc w:val="left"/>
      <w:lvlText w:val="(%1)"/>
      <w:numFmt w:val="lowerLetter"/>
      <w:start w:val="1"/>
    </w:lvl>
  </w:abstractNum>
  <w:abstractNum w:abstractNumId="231">
    <w:nsid w:val="47CAA567"/>
    <w:multiLevelType w:val="hybridMultilevel"/>
    <w:lvl w:ilvl="0">
      <w:lvlJc w:val="left"/>
      <w:lvlText w:val="(%1)"/>
      <w:numFmt w:val="lowerLetter"/>
      <w:start w:val="1"/>
    </w:lvl>
    <w:lvl w:ilvl="1">
      <w:lvlJc w:val="left"/>
      <w:lvlText w:val="(%2)"/>
      <w:numFmt w:val="lowerLetter"/>
      <w:start w:val="9"/>
    </w:lvl>
  </w:abstractNum>
  <w:abstractNum w:abstractNumId="232">
    <w:nsid w:val="48249DB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33">
    <w:nsid w:val="1F0E5D0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34">
    <w:nsid w:val="26BAAE9"/>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235">
    <w:nsid w:val="2C02FE8C"/>
    <w:multiLevelType w:val="hybridMultilevel"/>
    <w:lvl w:ilvl="0">
      <w:lvlJc w:val="left"/>
      <w:lvlText w:val="(%1)"/>
      <w:numFmt w:val="lowerLetter"/>
      <w:start w:val="1"/>
    </w:lvl>
  </w:abstractNum>
  <w:abstractNum w:abstractNumId="236">
    <w:nsid w:val="129517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lvl w:ilvl="3">
      <w:lvlJc w:val="left"/>
      <w:lvlText w:val="%4"/>
      <w:numFmt w:val="lowerLetter"/>
      <w:start w:val="1"/>
    </w:lvl>
  </w:abstractNum>
  <w:abstractNum w:abstractNumId="237">
    <w:nsid w:val="763B8C4E"/>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lvl w:ilvl="3">
      <w:lvlJc w:val="left"/>
      <w:lvlText w:val="(%4)"/>
      <w:numFmt w:val="lowerLetter"/>
      <w:start w:val="9"/>
    </w:lvl>
  </w:abstractNum>
  <w:abstractNum w:abstractNumId="238">
    <w:nsid w:val="4CFB8D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39">
    <w:nsid w:val="62A5D5BD"/>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40">
    <w:nsid w:val="718FABF9"/>
    <w:multiLevelType w:val="hybridMultilevel"/>
    <w:lvl w:ilvl="0">
      <w:lvlJc w:val="left"/>
      <w:lvlText w:val="(%1)"/>
      <w:numFmt w:val="lowerLetter"/>
      <w:start w:val="1"/>
    </w:lvl>
  </w:abstractNum>
  <w:abstractNum w:abstractNumId="241">
    <w:nsid w:val="7775797C"/>
    <w:multiLevelType w:val="hybridMultilevel"/>
    <w:lvl w:ilvl="0">
      <w:lvlJc w:val="left"/>
      <w:lvlText w:val="(%1)"/>
      <w:numFmt w:val="lowerLetter"/>
      <w:start w:val="1"/>
    </w:lvl>
  </w:abstractNum>
  <w:abstractNum w:abstractNumId="242">
    <w:nsid w:val="1626FB8C"/>
    <w:multiLevelType w:val="hybridMultilevel"/>
    <w:lvl w:ilvl="0">
      <w:lvlJc w:val="left"/>
      <w:lvlText w:val="(%1)"/>
      <w:numFmt w:val="lowerLetter"/>
      <w:start w:val="7"/>
    </w:lvl>
  </w:abstractNum>
  <w:abstractNum w:abstractNumId="243">
    <w:nsid w:val="3957756A"/>
    <w:multiLevelType w:val="hybridMultilevel"/>
    <w:lvl w:ilvl="0">
      <w:lvlJc w:val="left"/>
      <w:lvlText w:val="(%1)"/>
      <w:numFmt w:val="lowerLetter"/>
      <w:start w:val="1"/>
    </w:lvl>
  </w:abstractNum>
  <w:abstractNum w:abstractNumId="244">
    <w:nsid w:val="3E6DA1C7"/>
    <w:multiLevelType w:val="hybridMultilevel"/>
    <w:lvl w:ilvl="0">
      <w:lvlJc w:val="left"/>
      <w:lvlText w:val="(%1)"/>
      <w:numFmt w:val="decimal"/>
      <w:start w:val="90"/>
    </w:lvl>
    <w:lvl w:ilvl="1">
      <w:lvlJc w:val="left"/>
      <w:lvlText w:val="(%2)"/>
      <w:numFmt w:val="lowerLetter"/>
      <w:start w:val="3"/>
    </w:lvl>
  </w:abstractNum>
  <w:abstractNum w:abstractNumId="245">
    <w:nsid w:val="65CA235B"/>
    <w:multiLevelType w:val="hybridMultilevel"/>
    <w:lvl w:ilvl="0">
      <w:lvlJc w:val="left"/>
      <w:lvlText w:val="%1"/>
      <w:numFmt w:val="lowerLetter"/>
      <w:start w:val="1"/>
    </w:lvl>
    <w:lvl w:ilvl="1">
      <w:lvlJc w:val="left"/>
      <w:lvlText w:val="(%2)"/>
      <w:numFmt w:val="lowerLetter"/>
      <w:start w:val="5"/>
    </w:lvl>
  </w:abstractNum>
  <w:abstractNum w:abstractNumId="246">
    <w:nsid w:val="51CB0DA4"/>
    <w:multiLevelType w:val="hybridMultilevel"/>
    <w:lvl w:ilvl="0">
      <w:lvlJc w:val="left"/>
      <w:lvlText w:val="(%1)"/>
      <w:numFmt w:val="lowerLetter"/>
      <w:start w:val="9"/>
    </w:lvl>
    <w:lvl w:ilvl="1">
      <w:lvlJc w:val="left"/>
      <w:lvlText w:val="%2"/>
      <w:numFmt w:val="lowerLetter"/>
      <w:start w:val="1"/>
    </w:lvl>
  </w:abstractNum>
  <w:abstractNum w:abstractNumId="247">
    <w:nsid w:val="7B9B743C"/>
    <w:multiLevelType w:val="hybridMultilevel"/>
    <w:lvl w:ilvl="0">
      <w:lvlJc w:val="left"/>
      <w:lvlText w:val="(%1)"/>
      <w:numFmt w:val="lowerLetter"/>
      <w:start w:val="25"/>
    </w:lvl>
    <w:lvl w:ilvl="1">
      <w:lvlJc w:val="left"/>
      <w:lvlText w:val="%2"/>
      <w:numFmt w:val="lowerLetter"/>
      <w:start w:val="1"/>
    </w:lvl>
  </w:abstractNum>
  <w:abstractNum w:abstractNumId="248">
    <w:nsid w:val="13E21002"/>
    <w:multiLevelType w:val="hybridMultilevel"/>
    <w:lvl w:ilvl="0">
      <w:lvlJc w:val="left"/>
      <w:lvlText w:val="(%1)"/>
      <w:numFmt w:val="lowerLetter"/>
      <w:start w:val="1"/>
    </w:lvl>
  </w:abstractNum>
  <w:abstractNum w:abstractNumId="249">
    <w:nsid w:val="257D63F4"/>
    <w:multiLevelType w:val="hybridMultilevel"/>
    <w:lvl w:ilvl="0">
      <w:lvlJc w:val="left"/>
      <w:lvlText w:val="(%1)"/>
      <w:numFmt w:val="lowerLetter"/>
      <w:start w:val="1"/>
    </w:lvl>
  </w:abstractNum>
  <w:abstractNum w:abstractNumId="250">
    <w:nsid w:val="70EC11B2"/>
    <w:multiLevelType w:val="hybridMultilevel"/>
    <w:lvl w:ilvl="0">
      <w:lvlJc w:val="left"/>
      <w:lvlText w:val="(%1)"/>
      <w:numFmt w:val="lowerLetter"/>
      <w:start w:val="4"/>
    </w:lvl>
  </w:abstractNum>
  <w:abstractNum w:abstractNumId="251">
    <w:nsid w:val="2EDA00ED"/>
    <w:multiLevelType w:val="hybridMultilevel"/>
    <w:lvl w:ilvl="0">
      <w:lvlJc w:val="left"/>
      <w:lvlText w:val="(%1)"/>
      <w:numFmt w:val="lowerLetter"/>
      <w:start w:val="2"/>
    </w:lvl>
  </w:abstractNum>
  <w:abstractNum w:abstractNumId="252">
    <w:nsid w:val="73209072"/>
    <w:multiLevelType w:val="hybridMultilevel"/>
    <w:lvl w:ilvl="0">
      <w:lvlJc w:val="left"/>
      <w:lvlText w:val="(%1)"/>
      <w:numFmt w:val="lowerLetter"/>
      <w:start w:val="4"/>
    </w:lvl>
  </w:abstractNum>
  <w:abstractNum w:abstractNumId="253">
    <w:nsid w:val="5FB29816"/>
    <w:multiLevelType w:val="hybridMultilevel"/>
    <w:lvl w:ilvl="0">
      <w:lvlJc w:val="left"/>
      <w:lvlText w:val="(%1)"/>
      <w:numFmt w:val="lowerLetter"/>
      <w:start w:val="1"/>
    </w:lvl>
  </w:abstractNum>
  <w:abstractNum w:abstractNumId="254">
    <w:nsid w:val="3CE732EC"/>
    <w:multiLevelType w:val="hybridMultilevel"/>
    <w:lvl w:ilvl="0">
      <w:lvlJc w:val="left"/>
      <w:lvlText w:val="%1."/>
      <w:numFmt w:val="decimal"/>
      <w:start w:val="1"/>
    </w:lvl>
  </w:abstractNum>
  <w:abstractNum w:abstractNumId="255">
    <w:nsid w:val="22F13DF3"/>
    <w:multiLevelType w:val="hybridMultilevel"/>
    <w:lvl w:ilvl="0">
      <w:lvlJc w:val="left"/>
      <w:lvlText w:val="%1."/>
      <w:numFmt w:val="decimal"/>
      <w:start w:val="3"/>
    </w:lvl>
  </w:abstractNum>
  <w:abstractNum w:abstractNumId="256">
    <w:nsid w:val="792B8401"/>
    <w:multiLevelType w:val="hybridMultilevel"/>
    <w:lvl w:ilvl="0">
      <w:lvlJc w:val="left"/>
      <w:lvlText w:val="(%1)"/>
      <w:numFmt w:val="lowerLetter"/>
      <w:start w:val="2"/>
    </w:lvl>
  </w:abstractNum>
  <w:abstractNum w:abstractNumId="257">
    <w:nsid w:val="FA85F4D"/>
    <w:multiLevelType w:val="hybridMultilevel"/>
    <w:lvl w:ilvl="0">
      <w:lvlJc w:val="left"/>
      <w:lvlText w:val="(%1)"/>
      <w:numFmt w:val="lowerLetter"/>
      <w:start w:val="2"/>
    </w:lvl>
  </w:abstractNum>
  <w:abstractNum w:abstractNumId="258">
    <w:nsid w:val="6ECE91F0"/>
    <w:multiLevelType w:val="hybridMultilevel"/>
    <w:lvl w:ilvl="0">
      <w:lvlJc w:val="left"/>
      <w:lvlText w:val="(%1)"/>
      <w:numFmt w:val="lowerLetter"/>
      <w:start w:val="1"/>
    </w:lvl>
  </w:abstractNum>
  <w:abstractNum w:abstractNumId="259">
    <w:nsid w:val="4FC4D600"/>
    <w:multiLevelType w:val="hybridMultilevel"/>
    <w:lvl w:ilvl="0">
      <w:lvlJc w:val="left"/>
      <w:lvlText w:val="%1"/>
      <w:numFmt w:val="lowerLetter"/>
      <w:start w:val="1"/>
    </w:lvl>
    <w:lvl w:ilvl="1">
      <w:lvlJc w:val="left"/>
      <w:lvlText w:val="(%2)"/>
      <w:numFmt w:val="lowerLetter"/>
      <w:start w:val="3"/>
    </w:lvl>
  </w:abstractNum>
  <w:abstractNum w:abstractNumId="260">
    <w:nsid w:val="5BFD4210"/>
    <w:multiLevelType w:val="hybridMultilevel"/>
    <w:lvl w:ilvl="0">
      <w:lvlJc w:val="left"/>
      <w:lvlText w:val="(%1)"/>
      <w:numFmt w:val="lowerLetter"/>
      <w:start w:val="9"/>
    </w:lvl>
    <w:lvl w:ilvl="1">
      <w:lvlJc w:val="left"/>
      <w:lvlText w:val="%2"/>
      <w:numFmt w:val="lowerLetter"/>
      <w:start w:val="1"/>
    </w:lvl>
  </w:abstractNum>
  <w:abstractNum w:abstractNumId="261">
    <w:nsid w:val="76574F8B"/>
    <w:multiLevelType w:val="hybridMultilevel"/>
    <w:lvl w:ilvl="0">
      <w:lvlJc w:val="left"/>
      <w:lvlText w:val="(%1)"/>
      <w:numFmt w:val="lowerLetter"/>
      <w:start w:val="5"/>
    </w:lvl>
  </w:abstractNum>
  <w:abstractNum w:abstractNumId="262">
    <w:nsid w:val="178F7B67"/>
    <w:multiLevelType w:val="hybridMultilevel"/>
    <w:lvl w:ilvl="0">
      <w:lvlJc w:val="left"/>
      <w:lvlText w:val="(%1)"/>
      <w:numFmt w:val="lowerLetter"/>
      <w:start w:val="3"/>
    </w:lvl>
  </w:abstractNum>
  <w:abstractNum w:abstractNumId="263">
    <w:nsid w:val="2421DFCF"/>
    <w:multiLevelType w:val="hybridMultilevel"/>
    <w:lvl w:ilvl="0">
      <w:lvlJc w:val="left"/>
      <w:lvlText w:val="(%1)"/>
      <w:numFmt w:val="lowerLetter"/>
      <w:start w:val="1"/>
    </w:lvl>
  </w:abstractNum>
  <w:abstractNum w:abstractNumId="264">
    <w:nsid w:val="1565AC99"/>
    <w:multiLevelType w:val="hybridMultilevel"/>
    <w:lvl w:ilvl="0">
      <w:lvlJc w:val="left"/>
      <w:lvlText w:val="(%1)"/>
      <w:numFmt w:val="lowerRoman"/>
      <w:start w:val="1"/>
    </w:lvl>
  </w:abstractNum>
  <w:abstractNum w:abstractNumId="265">
    <w:nsid w:val="19FB2650"/>
    <w:multiLevelType w:val="hybridMultilevel"/>
    <w:lvl w:ilvl="0">
      <w:lvlJc w:val="left"/>
      <w:lvlText w:val="(%1)"/>
      <w:numFmt w:val="lowerLetter"/>
      <w:start w:val="2"/>
    </w:lvl>
  </w:abstractNum>
  <w:abstractNum w:abstractNumId="266">
    <w:nsid w:val="5024DE5B"/>
    <w:multiLevelType w:val="hybridMultilevel"/>
    <w:lvl w:ilvl="0">
      <w:lvlJc w:val="left"/>
      <w:lvlText w:val="(%1)"/>
      <w:numFmt w:val="lowerLetter"/>
      <w:start w:val="1"/>
    </w:lvl>
  </w:abstractNum>
  <w:abstractNum w:abstractNumId="267">
    <w:nsid w:val="168EFE17"/>
    <w:multiLevelType w:val="hybridMultilevel"/>
    <w:lvl w:ilvl="0">
      <w:lvlJc w:val="left"/>
      <w:lvlText w:val="(%1)"/>
      <w:numFmt w:val="lowerLetter"/>
      <w:start w:val="1"/>
    </w:lvl>
    <w:lvl w:ilvl="1">
      <w:lvlJc w:val="left"/>
      <w:lvlText w:val="(%2)"/>
      <w:numFmt w:val="lowerLetter"/>
      <w:start w:val="9"/>
    </w:lvl>
  </w:abstractNum>
  <w:abstractNum w:abstractNumId="268">
    <w:nsid w:val="1036B29F"/>
    <w:multiLevelType w:val="hybridMultilevel"/>
    <w:lvl w:ilvl="0">
      <w:lvlJc w:val="left"/>
      <w:lvlText w:val="%1"/>
      <w:numFmt w:val="lowerLetter"/>
      <w:start w:val="1"/>
    </w:lvl>
    <w:lvl w:ilvl="1">
      <w:lvlJc w:val="left"/>
      <w:lvlText w:val="(%2)"/>
      <w:numFmt w:val="lowerRoman"/>
      <w:start w:val="2"/>
    </w:lvl>
  </w:abstractNum>
  <w:abstractNum w:abstractNumId="269">
    <w:nsid w:val="1D206B8E"/>
    <w:multiLevelType w:val="hybridMultilevel"/>
    <w:lvl w:ilvl="0">
      <w:lvlJc w:val="left"/>
      <w:lvlText w:val="(%1)"/>
      <w:numFmt w:val="lowerLetter"/>
      <w:start w:val="3"/>
    </w:lvl>
    <w:lvl w:ilvl="1">
      <w:lvlJc w:val="left"/>
      <w:lvlText w:val="%2"/>
      <w:numFmt w:val="lowerRoman"/>
      <w:start w:val="1"/>
    </w:lvl>
  </w:abstractNum>
  <w:abstractNum w:abstractNumId="270">
    <w:nsid w:val="7934D3D4"/>
    <w:multiLevelType w:val="hybridMultilevel"/>
    <w:lvl w:ilvl="0">
      <w:lvlJc w:val="left"/>
      <w:lvlText w:val="(%1)"/>
      <w:numFmt w:val="lowerLetter"/>
      <w:start w:val="1"/>
    </w:lvl>
  </w:abstractNum>
  <w:abstractNum w:abstractNumId="271">
    <w:nsid w:val="1C65E98"/>
    <w:multiLevelType w:val="hybridMultilevel"/>
    <w:lvl w:ilvl="0">
      <w:lvlJc w:val="left"/>
      <w:lvlText w:val="%1"/>
      <w:numFmt w:val="lowerLetter"/>
      <w:start w:val="1"/>
    </w:lvl>
    <w:lvl w:ilvl="1">
      <w:lvlJc w:val="left"/>
      <w:lvlText w:val="(%2)"/>
      <w:numFmt w:val="lowerLetter"/>
      <w:start w:val="1"/>
    </w:lvl>
  </w:abstractNum>
  <w:abstractNum w:abstractNumId="272">
    <w:nsid w:val="1495E50A"/>
    <w:multiLevelType w:val="hybridMultilevel"/>
    <w:lvl w:ilvl="0">
      <w:lvlJc w:val="left"/>
      <w:lvlText w:val="(%1)"/>
      <w:numFmt w:val="lowerLetter"/>
      <w:start w:val="25"/>
    </w:lvl>
    <w:lvl w:ilvl="1">
      <w:lvlJc w:val="left"/>
      <w:lvlText w:val="(%2)"/>
      <w:numFmt w:val="lowerLetter"/>
      <w:start w:val="2"/>
    </w:lvl>
  </w:abstractNum>
  <w:abstractNum w:abstractNumId="273">
    <w:nsid w:val="F5BCF61"/>
    <w:multiLevelType w:val="hybridMultilevel"/>
    <w:lvl w:ilvl="0">
      <w:lvlJc w:val="left"/>
      <w:lvlText w:val="(%1)"/>
      <w:numFmt w:val="lowerLetter"/>
      <w:start w:val="9"/>
    </w:lvl>
    <w:lvl w:ilvl="1">
      <w:lvlJc w:val="left"/>
      <w:lvlText w:val="%2"/>
      <w:numFmt w:val="lowerLetter"/>
      <w:start w:val="1"/>
    </w:lvl>
  </w:abstractNum>
  <w:abstractNum w:abstractNumId="274">
    <w:nsid w:val="3B1DD403"/>
    <w:multiLevelType w:val="hybridMultilevel"/>
    <w:lvl w:ilvl="0">
      <w:lvlJc w:val="left"/>
      <w:lvlText w:val="(%1)"/>
      <w:numFmt w:val="upperLetter"/>
      <w:start w:val="4"/>
    </w:lvl>
  </w:abstractNum>
  <w:abstractNum w:abstractNumId="275">
    <w:nsid w:val="530386D1"/>
    <w:multiLevelType w:val="hybridMultilevel"/>
    <w:lvl w:ilvl="0">
      <w:lvlJc w:val="left"/>
      <w:lvlText w:val="1"/>
      <w:numFmt w:val="bullet"/>
      <w:start w:val="1"/>
    </w:lvl>
  </w:abstractNum>
  <w:abstractNum w:abstractNumId="276">
    <w:nsid w:val="7525F2BC"/>
    <w:multiLevelType w:val="hybridMultilevel"/>
    <w:lvl w:ilvl="0">
      <w:lvlJc w:val="left"/>
      <w:lvlText w:val="(%1)"/>
      <w:numFmt w:val="lowerLetter"/>
      <w:start w:val="2"/>
    </w:lvl>
  </w:abstractNum>
  <w:abstractNum w:abstractNumId="277">
    <w:nsid w:val="CE8E1A7"/>
    <w:multiLevelType w:val="hybridMultilevel"/>
    <w:lvl w:ilvl="0">
      <w:lvlJc w:val="left"/>
      <w:lvlText w:val="(%1)"/>
      <w:numFmt w:val="upperLetter"/>
      <w:start w:val="1"/>
    </w:lvl>
  </w:abstractNum>
  <w:abstractNum w:abstractNumId="278">
    <w:nsid w:val="4E9EFB0D"/>
    <w:multiLevelType w:val="hybridMultilevel"/>
    <w:lvl w:ilvl="0">
      <w:lvlJc w:val="left"/>
      <w:lvlText w:val="(%1)"/>
      <w:numFmt w:val="upperLetter"/>
      <w:start w:val="1"/>
    </w:lvl>
    <w:lvl w:ilvl="1">
      <w:lvlJc w:val="left"/>
      <w:lvlText w:val="(%2)"/>
      <w:numFmt w:val="decimal"/>
      <w:start w:val="1"/>
    </w:lvl>
  </w:abstractNum>
  <w:abstractNum w:abstractNumId="279">
    <w:nsid w:val="90802BE"/>
    <w:multiLevelType w:val="hybridMultilevel"/>
    <w:lvl w:ilvl="0">
      <w:lvlJc w:val="left"/>
      <w:lvlText w:val="%1"/>
      <w:numFmt w:val="lowerRoman"/>
      <w:start w:val="1"/>
    </w:lvl>
    <w:lvl w:ilvl="1">
      <w:lvlJc w:val="left"/>
      <w:lvlText w:val="(%2)"/>
      <w:numFmt w:val="upperLetter"/>
      <w:start w:val="2"/>
    </w:lvl>
  </w:abstractNum>
  <w:abstractNum w:abstractNumId="280">
    <w:nsid w:val="3266459B"/>
    <w:multiLevelType w:val="hybridMultilevel"/>
    <w:lvl w:ilvl="0">
      <w:lvlJc w:val="left"/>
      <w:lvlText w:val="(%1)"/>
      <w:numFmt w:val="lowerRoman"/>
      <w:start w:val="1"/>
    </w:lvl>
    <w:lvl w:ilvl="1">
      <w:lvlJc w:val="left"/>
      <w:lvlText w:val="(%2)"/>
      <w:numFmt w:val="upperLetter"/>
      <w:start w:val="3"/>
    </w:lvl>
  </w:abstractNum>
  <w:abstractNum w:abstractNumId="281">
    <w:nsid w:val="3F8B0CBF"/>
    <w:multiLevelType w:val="hybridMultilevel"/>
    <w:lvl w:ilvl="0">
      <w:lvlJc w:val="left"/>
      <w:lvlText w:val="(%1)"/>
      <w:numFmt w:val="upperLetter"/>
      <w:start w:val="5"/>
    </w:lvl>
  </w:abstractNum>
  <w:abstractNum w:abstractNumId="282">
    <w:nsid w:val="37E203AB"/>
    <w:multiLevelType w:val="hybridMultilevel"/>
    <w:lvl w:ilvl="0">
      <w:lvlJc w:val="left"/>
      <w:lvlText w:val="(%1)"/>
      <w:numFmt w:val="upperLetter"/>
      <w:start w:val="1"/>
    </w:lvl>
  </w:abstractNum>
  <w:abstractNum w:abstractNumId="283">
    <w:nsid w:val="2586D60E"/>
    <w:multiLevelType w:val="hybridMultilevel"/>
    <w:lvl w:ilvl="0">
      <w:lvlJc w:val="left"/>
      <w:lvlText w:val="(%1)"/>
      <w:numFmt w:val="upperLetter"/>
      <w:start w:val="2"/>
    </w:lvl>
  </w:abstractNum>
  <w:abstractNum w:abstractNumId="284">
    <w:nsid w:val="1F3DA4D5"/>
    <w:multiLevelType w:val="hybridMultilevel"/>
    <w:lvl w:ilvl="0">
      <w:lvlJc w:val="left"/>
      <w:lvlText w:val="(%1)"/>
      <w:numFmt w:val="upperLetter"/>
      <w:start w:val="1"/>
    </w:lvl>
  </w:abstractNum>
  <w:abstractNum w:abstractNumId="285">
    <w:nsid w:val="74C93698"/>
    <w:multiLevelType w:val="hybridMultilevel"/>
    <w:lvl w:ilvl="0">
      <w:lvlJc w:val="left"/>
      <w:lvlText w:val="(%1)"/>
      <w:numFmt w:val="upperLetter"/>
      <w:start w:val="3"/>
    </w:lvl>
  </w:abstractNum>
  <w:abstractNum w:abstractNumId="286">
    <w:nsid w:val="48781401"/>
    <w:multiLevelType w:val="hybridMultilevel"/>
    <w:lvl w:ilvl="0">
      <w:lvlJc w:val="left"/>
      <w:lvlText w:val="(%1)"/>
      <w:numFmt w:val="upperLetter"/>
      <w:start w:val="1"/>
    </w:lvl>
    <w:lvl w:ilvl="1">
      <w:lvlJc w:val="left"/>
      <w:lvlText w:val="(%2)"/>
      <w:numFmt w:val="decimal"/>
      <w:start w:val="1"/>
    </w:lvl>
  </w:abstractNum>
  <w:abstractNum w:abstractNumId="287">
    <w:nsid w:val="186928D6"/>
    <w:multiLevelType w:val="hybridMultilevel"/>
    <w:lvl w:ilvl="0">
      <w:lvlJc w:val="left"/>
      <w:lvlText w:val="(%1)"/>
      <w:numFmt w:val="upperLetter"/>
      <w:start w:val="3"/>
    </w:lvl>
    <w:lvl w:ilvl="1">
      <w:lvlJc w:val="left"/>
      <w:lvlText w:val="(%2)"/>
      <w:numFmt w:val="decimal"/>
      <w:start w:val="1"/>
    </w:lvl>
  </w:abstractNum>
  <w:abstractNum w:abstractNumId="288">
    <w:nsid w:val="47195E5"/>
    <w:multiLevelType w:val="hybridMultilevel"/>
    <w:lvl w:ilvl="0">
      <w:lvlJc w:val="left"/>
      <w:lvlText w:val="%1."/>
      <w:numFmt w:val="lowerLetter"/>
      <w:start w:val="1"/>
    </w:lvl>
    <w:lvl w:ilvl="1">
      <w:lvlJc w:val="left"/>
      <w:lvlText w:val="(%2)"/>
      <w:numFmt w:val="lowerRoman"/>
      <w:start w:val="1"/>
    </w:lvl>
  </w:abstractNum>
  <w:abstractNum w:abstractNumId="289">
    <w:nsid w:val="3746A5F2"/>
    <w:multiLevelType w:val="hybridMultilevel"/>
    <w:lvl w:ilvl="0">
      <w:lvlJc w:val="left"/>
      <w:lvlText w:val="%1."/>
      <w:numFmt w:val="lowerLetter"/>
      <w:start w:val="4"/>
    </w:lvl>
  </w:abstractNum>
  <w:abstractNum w:abstractNumId="290">
    <w:nsid w:val="682DFED6"/>
    <w:multiLevelType w:val="hybridMultilevel"/>
    <w:lvl w:ilvl="0">
      <w:lvlJc w:val="left"/>
      <w:lvlText w:val="(%1)"/>
      <w:numFmt w:val="decimal"/>
      <w:start w:val="4"/>
    </w:lvl>
  </w:abstractNum>
  <w:abstractNum w:abstractNumId="291">
    <w:nsid w:val="606ED7F6"/>
    <w:multiLevelType w:val="hybridMultilevel"/>
    <w:lvl w:ilvl="0">
      <w:lvlJc w:val="left"/>
      <w:lvlText w:val="(%1)"/>
      <w:numFmt w:val="decimal"/>
      <w:start w:val="6"/>
    </w:lvl>
  </w:abstractNum>
  <w:abstractNum w:abstractNumId="292">
    <w:nsid w:val="2D9DF57D"/>
    <w:multiLevelType w:val="hybridMultilevel"/>
    <w:lvl w:ilvl="0">
      <w:lvlJc w:val="left"/>
      <w:lvlText w:val="%1."/>
      <w:numFmt w:val="lowerLetter"/>
      <w:start w:val="1"/>
    </w:lvl>
  </w:abstractNum>
  <w:abstractNum w:abstractNumId="293">
    <w:nsid w:val="7FBD7A3E"/>
    <w:multiLevelType w:val="hybridMultilevel"/>
    <w:lvl w:ilvl="0">
      <w:lvlJc w:val="left"/>
      <w:lvlText w:val="(%1)"/>
      <w:numFmt w:val="decimal"/>
      <w:start w:val="7"/>
    </w:lvl>
  </w:abstractNum>
  <w:abstractNum w:abstractNumId="294">
    <w:nsid w:val="490B7C5"/>
    <w:multiLevelType w:val="hybridMultilevel"/>
    <w:lvl w:ilvl="0">
      <w:lvlJc w:val="left"/>
      <w:lvlText w:val="(%1)"/>
      <w:numFmt w:val="upperLetter"/>
      <w:start w:val="1"/>
    </w:lvl>
  </w:abstractNum>
  <w:abstractNum w:abstractNumId="295">
    <w:nsid w:val="4303A216"/>
    <w:multiLevelType w:val="hybridMultilevel"/>
    <w:lvl w:ilvl="0">
      <w:lvlJc w:val="left"/>
      <w:lvlText w:val="(%1)"/>
      <w:numFmt w:val="upperLetter"/>
      <w:start w:val="3"/>
    </w:lvl>
  </w:abstractNum>
  <w:abstractNum w:abstractNumId="296">
    <w:nsid w:val="19B8A08E"/>
    <w:multiLevelType w:val="hybridMultilevel"/>
    <w:lvl w:ilvl="0">
      <w:lvlJc w:val="left"/>
      <w:lvlText w:val="(%1)"/>
      <w:numFmt w:val="upperLetter"/>
      <w:start w:val="7"/>
    </w:lvl>
  </w:abstractNum>
  <w:abstractNum w:abstractNumId="297">
    <w:nsid w:val="54B59621"/>
    <w:multiLevelType w:val="hybridMultilevel"/>
    <w:lvl w:ilvl="0">
      <w:lvlJc w:val="left"/>
      <w:lvlText w:val="(%1)"/>
      <w:numFmt w:val="lowerRoman"/>
      <w:start w:val="6"/>
    </w:lvl>
  </w:abstractNum>
  <w:abstractNum w:abstractNumId="298">
    <w:nsid w:val="5992A02E"/>
    <w:multiLevelType w:val="hybridMultilevel"/>
    <w:lvl w:ilvl="0">
      <w:lvlJc w:val="left"/>
      <w:lvlText w:val="(%1)"/>
      <w:numFmt w:val="lowerLetter"/>
      <w:start w:val="1"/>
    </w:lvl>
  </w:abstractNum>
  <w:abstractNum w:abstractNumId="299">
    <w:nsid w:val="29EF532D"/>
    <w:multiLevelType w:val="hybridMultilevel"/>
    <w:lvl w:ilvl="0">
      <w:lvlJc w:val="left"/>
      <w:lvlText w:val="(%1)"/>
      <w:numFmt w:val="lowerLetter"/>
      <w:start w:val="1"/>
    </w:lvl>
  </w:abstractNum>
  <w:abstractNum w:abstractNumId="300">
    <w:nsid w:val="71D601AF"/>
    <w:multiLevelType w:val="hybridMultilevel"/>
    <w:lvl w:ilvl="0">
      <w:lvlJc w:val="left"/>
      <w:lvlText w:val="(%1)"/>
      <w:numFmt w:val="lowerLetter"/>
      <w:start w:val="2"/>
    </w:lvl>
  </w:abstractNum>
  <w:abstractNum w:abstractNumId="301">
    <w:nsid w:val="52C77402"/>
    <w:multiLevelType w:val="hybridMultilevel"/>
    <w:lvl w:ilvl="0">
      <w:lvlJc w:val="left"/>
      <w:lvlText w:val="(%1)"/>
      <w:numFmt w:val="lowerLetter"/>
      <w:start w:val="1"/>
    </w:lvl>
    <w:lvl w:ilvl="1">
      <w:lvlJc w:val="left"/>
      <w:lvlText w:val="(%2)"/>
      <w:numFmt w:val="lowerRoman"/>
      <w:start w:val="1"/>
    </w:lvl>
  </w:abstractNum>
  <w:abstractNum w:abstractNumId="302">
    <w:nsid w:val="2BB5B1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3">
    <w:nsid w:val="66BE6B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04">
    <w:nsid w:val="6223436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5">
    <w:nsid w:val="66D385C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306">
    <w:nsid w:val="596F6D8A"/>
    <w:multiLevelType w:val="hybridMultilevel"/>
    <w:lvl w:ilvl="0">
      <w:lvlJc w:val="left"/>
      <w:lvlText w:val="%1"/>
      <w:numFmt w:val="lowerLetter"/>
      <w:start w:val="1"/>
    </w:lvl>
    <w:lvl w:ilvl="1">
      <w:lvlJc w:val="left"/>
      <w:lvlText w:val="(%2)"/>
      <w:numFmt w:val="lowerRoman"/>
      <w:start w:val="4"/>
    </w:lvl>
  </w:abstractNum>
  <w:abstractNum w:abstractNumId="307">
    <w:nsid w:val="5749361F"/>
    <w:multiLevelType w:val="hybridMultilevel"/>
    <w:lvl w:ilvl="0">
      <w:lvlJc w:val="left"/>
      <w:lvlText w:val="(%1)"/>
      <w:numFmt w:val="lowerLetter"/>
      <w:start w:val="3"/>
    </w:lvl>
    <w:lvl w:ilvl="1">
      <w:lvlJc w:val="left"/>
      <w:lvlText w:val="%2"/>
      <w:numFmt w:val="lowerRoman"/>
      <w:start w:val="1"/>
    </w:lvl>
  </w:abstractNum>
  <w:abstractNum w:abstractNumId="308">
    <w:nsid w:val="73BC6770"/>
    <w:multiLevelType w:val="hybridMultilevel"/>
    <w:lvl w:ilvl="0">
      <w:lvlJc w:val="left"/>
      <w:lvlText w:val="(%1)"/>
      <w:numFmt w:val="lowerRoman"/>
      <w:start w:val="1"/>
    </w:lvl>
  </w:abstractNum>
  <w:abstractNum w:abstractNumId="309">
    <w:nsid w:val="280E6897"/>
    <w:multiLevelType w:val="hybridMultilevel"/>
    <w:lvl w:ilvl="0">
      <w:lvlJc w:val="left"/>
      <w:lvlText w:val="(%1)"/>
      <w:numFmt w:val="lowerLetter"/>
      <w:start w:val="1"/>
    </w:lvl>
  </w:abstractNum>
  <w:abstractNum w:abstractNumId="310">
    <w:nsid w:val="605138DE"/>
    <w:multiLevelType w:val="hybridMultilevel"/>
    <w:lvl w:ilvl="0">
      <w:lvlJc w:val="left"/>
      <w:lvlText w:val="(%1)"/>
      <w:numFmt w:val="lowerRoman"/>
      <w:start w:val="2"/>
    </w:lvl>
  </w:abstractNum>
  <w:abstractNum w:abstractNumId="311">
    <w:nsid w:val="2622AD0C"/>
    <w:multiLevelType w:val="hybridMultilevel"/>
    <w:lvl w:ilvl="0">
      <w:lvlJc w:val="left"/>
      <w:lvlText w:val="(%1)"/>
      <w:numFmt w:val="lowerLetter"/>
      <w:start w:val="1"/>
    </w:lvl>
    <w:lvl w:ilvl="1">
      <w:lvlJc w:val="left"/>
      <w:lvlText w:val="(%2)"/>
      <w:numFmt w:val="lowerRoman"/>
      <w:start w:val="1"/>
    </w:lvl>
  </w:abstractNum>
  <w:abstractNum w:abstractNumId="312">
    <w:nsid w:val="67997556"/>
    <w:multiLevelType w:val="hybridMultilevel"/>
    <w:lvl w:ilvl="0">
      <w:lvlJc w:val="left"/>
      <w:lvlText w:val="(%1)"/>
      <w:numFmt w:val="lowerLetter"/>
      <w:start w:val="1"/>
    </w:lvl>
  </w:abstractNum>
  <w:abstractNum w:abstractNumId="313">
    <w:nsid w:val="18333C89"/>
    <w:multiLevelType w:val="hybridMultilevel"/>
    <w:lvl w:ilvl="0">
      <w:lvlJc w:val="left"/>
      <w:lvlText w:val="(%1)"/>
      <w:numFmt w:val="lowerLetter"/>
      <w:start w:val="1"/>
    </w:lvl>
  </w:abstractNum>
  <w:abstractNum w:abstractNumId="314">
    <w:nsid w:val="4BA9831A"/>
    <w:multiLevelType w:val="hybridMultilevel"/>
    <w:lvl w:ilvl="0">
      <w:lvlJc w:val="left"/>
      <w:lvlText w:val="(%1)"/>
      <w:numFmt w:val="lowerLetter"/>
      <w:start w:val="2"/>
    </w:lvl>
  </w:abstractNum>
  <w:abstractNum w:abstractNumId="315">
    <w:nsid w:val="6D71A2B"/>
    <w:multiLevelType w:val="hybridMultilevel"/>
    <w:lvl w:ilvl="0">
      <w:lvlJc w:val="left"/>
      <w:lvlText w:val="(%1)"/>
      <w:numFmt w:val="lowerLetter"/>
      <w:start w:val="1"/>
    </w:lvl>
  </w:abstractNum>
  <w:abstractNum w:abstractNumId="316">
    <w:nsid w:val="CFC7321"/>
    <w:multiLevelType w:val="hybridMultilevel"/>
    <w:lvl w:ilvl="0">
      <w:lvlJc w:val="left"/>
      <w:lvlText w:val="(%1)"/>
      <w:numFmt w:val="lowerLetter"/>
      <w:start w:val="4"/>
    </w:lvl>
    <w:lvl w:ilvl="1">
      <w:lvlJc w:val="left"/>
      <w:lvlText w:val="(%2)"/>
      <w:numFmt w:val="lowerRoman"/>
      <w:start w:val="1"/>
    </w:lvl>
  </w:abstractNum>
  <w:abstractNum w:abstractNumId="317">
    <w:nsid w:val="1421971B"/>
    <w:multiLevelType w:val="hybridMultilevel"/>
    <w:lvl w:ilvl="0">
      <w:lvlJc w:val="left"/>
      <w:lvlText w:val="(%1)"/>
      <w:numFmt w:val="lowerLetter"/>
      <w:start w:val="1"/>
    </w:lvl>
  </w:abstractNum>
  <w:abstractNum w:abstractNumId="318">
    <w:nsid w:val="1F404301"/>
    <w:multiLevelType w:val="hybridMultilevel"/>
    <w:lvl w:ilvl="0">
      <w:lvlJc w:val="left"/>
      <w:lvlText w:val="(%1)"/>
      <w:numFmt w:val="decimal"/>
      <w:start w:val="1"/>
    </w:lvl>
  </w:abstractNum>
  <w:abstractNum w:abstractNumId="319">
    <w:nsid w:val="116E0907"/>
    <w:multiLevelType w:val="hybridMultilevel"/>
    <w:lvl w:ilvl="0">
      <w:lvlJc w:val="left"/>
      <w:lvlText w:val="(%1)"/>
      <w:numFmt w:val="lowerRoman"/>
      <w:start w:val="1"/>
    </w:lvl>
    <w:lvl w:ilvl="1">
      <w:lvlJc w:val="left"/>
      <w:lvlText w:val="(%2)"/>
      <w:numFmt w:val="upperLetter"/>
      <w:start w:val="1"/>
    </w:lvl>
  </w:abstractNum>
  <w:abstractNum w:abstractNumId="320">
    <w:nsid w:val="4B683D0D"/>
    <w:multiLevelType w:val="hybridMultilevel"/>
    <w:lvl w:ilvl="0">
      <w:lvlJc w:val="left"/>
      <w:lvlText w:val="%1"/>
      <w:numFmt w:val="decimal"/>
      <w:start w:val="1"/>
    </w:lvl>
    <w:lvl w:ilvl="1">
      <w:lvlJc w:val="left"/>
      <w:lvlText w:val="(%2)"/>
      <w:numFmt w:val="upperLetter"/>
      <w:start w:val="2"/>
    </w:lvl>
  </w:abstractNum>
  <w:abstractNum w:abstractNumId="321">
    <w:nsid w:val="76E41D8"/>
    <w:multiLevelType w:val="hybridMultilevel"/>
    <w:lvl w:ilvl="0">
      <w:lvlJc w:val="left"/>
      <w:lvlText w:val="(%1)"/>
      <w:numFmt w:val="decimal"/>
      <w:start w:val="2"/>
    </w:lvl>
    <w:lvl w:ilvl="1">
      <w:lvlJc w:val="left"/>
      <w:lvlText w:val="%2"/>
      <w:numFmt w:val="upperLetter"/>
      <w:start w:val="1"/>
    </w:lvl>
  </w:abstractNum>
  <w:abstractNum w:abstractNumId="322">
    <w:nsid w:val="71DCE0FD"/>
    <w:multiLevelType w:val="hybridMultilevel"/>
    <w:lvl w:ilvl="0">
      <w:lvlJc w:val="left"/>
      <w:lvlText w:val="(%1)"/>
      <w:numFmt w:val="lowerLetter"/>
      <w:start w:val="10"/>
    </w:lvl>
  </w:abstractNum>
  <w:abstractNum w:abstractNumId="323">
    <w:nsid w:val="7906328B"/>
    <w:multiLevelType w:val="hybridMultilevel"/>
    <w:lvl w:ilvl="0">
      <w:lvlJc w:val="left"/>
      <w:lvlText w:val="(%1)"/>
      <w:numFmt w:val="lowerLetter"/>
      <w:start w:val="1"/>
    </w:lvl>
  </w:abstractNum>
  <w:abstractNum w:abstractNumId="324">
    <w:nsid w:val="72BBC16"/>
    <w:multiLevelType w:val="hybridMultilevel"/>
    <w:lvl w:ilvl="0">
      <w:lvlJc w:val="left"/>
      <w:lvlText w:val="(%1)"/>
      <w:numFmt w:val="lowerLetter"/>
      <w:start w:val="1"/>
    </w:lvl>
  </w:abstractNum>
  <w:abstractNum w:abstractNumId="325">
    <w:nsid w:val="766D98C2"/>
    <w:multiLevelType w:val="hybridMultilevel"/>
    <w:lvl w:ilvl="0">
      <w:lvlJc w:val="left"/>
      <w:lvlText w:val="1"/>
      <w:numFmt w:val="bullet"/>
      <w:start w:val="1"/>
    </w:lvl>
  </w:abstractNum>
  <w:abstractNum w:abstractNumId="326">
    <w:nsid w:val="3C09D4A1"/>
    <w:multiLevelType w:val="hybridMultilevel"/>
    <w:lvl w:ilvl="0">
      <w:lvlJc w:val="left"/>
      <w:lvlText w:val="2"/>
      <w:numFmt w:val="bullet"/>
      <w:start w:val="1"/>
    </w:lvl>
  </w:abstractNum>
  <w:abstractNum w:abstractNumId="327">
    <w:nsid w:val="20E45CA4"/>
    <w:multiLevelType w:val="hybridMultilevel"/>
    <w:lvl w:ilvl="0">
      <w:lvlJc w:val="left"/>
      <w:lvlText w:val="(%1)"/>
      <w:numFmt w:val="lowerLetter"/>
      <w:start w:val="1"/>
    </w:lvl>
  </w:abstractNum>
  <w:abstractNum w:abstractNumId="328">
    <w:nsid w:val="4B232EE3"/>
    <w:multiLevelType w:val="hybridMultilevel"/>
    <w:lvl w:ilvl="0">
      <w:lvlJc w:val="left"/>
      <w:lvlText w:val="(%1)"/>
      <w:numFmt w:val="lowerLetter"/>
      <w:start w:val="1"/>
    </w:lvl>
  </w:abstractNum>
  <w:abstractNum w:abstractNumId="329">
    <w:nsid w:val="159C74CF"/>
    <w:multiLevelType w:val="hybridMultilevel"/>
    <w:lvl w:ilvl="0">
      <w:lvlJc w:val="left"/>
      <w:lvlText w:val="(%1)"/>
      <w:numFmt w:val="lowerLetter"/>
      <w:start w:val="1"/>
    </w:lvl>
  </w:abstractNum>
  <w:abstractNum w:abstractNumId="330">
    <w:nsid w:val="4AD3AFD2"/>
    <w:multiLevelType w:val="hybridMultilevel"/>
    <w:lvl w:ilvl="0">
      <w:lvlJc w:val="left"/>
      <w:lvlText w:val="(%1)"/>
      <w:numFmt w:val="lowerLetter"/>
      <w:start w:val="1"/>
    </w:lvl>
  </w:abstractNum>
  <w:abstractNum w:abstractNumId="331">
    <w:nsid w:val="3CF93092"/>
    <w:multiLevelType w:val="hybridMultilevel"/>
    <w:lvl w:ilvl="0">
      <w:lvlJc w:val="left"/>
      <w:lvlText w:val="(%1)"/>
      <w:numFmt w:val="lowerLetter"/>
      <w:start w:val="5"/>
    </w:lvl>
  </w:abstractNum>
  <w:abstractNum w:abstractNumId="332">
    <w:nsid w:val="6863E8D2"/>
    <w:multiLevelType w:val="hybridMultilevel"/>
    <w:lvl w:ilvl="0">
      <w:lvlJc w:val="left"/>
      <w:lvlText w:val="(%1)"/>
      <w:numFmt w:val="lowerLetter"/>
      <w:start w:val="7"/>
    </w:lvl>
  </w:abstractNum>
  <w:abstractNum w:abstractNumId="333">
    <w:nsid w:val="76896198"/>
    <w:multiLevelType w:val="hybridMultilevel"/>
    <w:lvl w:ilvl="0">
      <w:lvlJc w:val="left"/>
      <w:lvlText w:val="(%1)"/>
      <w:numFmt w:val="lowerRoman"/>
      <w:start w:val="3"/>
    </w:lvl>
  </w:abstractNum>
  <w:abstractNum w:abstractNumId="334">
    <w:nsid w:val="4365174B"/>
    <w:multiLevelType w:val="hybridMultilevel"/>
    <w:lvl w:ilvl="0">
      <w:lvlJc w:val="left"/>
      <w:lvlText w:val="(%1)"/>
      <w:numFmt w:val="lowerLetter"/>
      <w:start w:val="1"/>
    </w:lvl>
  </w:abstractNum>
  <w:abstractNum w:abstractNumId="335">
    <w:nsid w:val="4A872C35"/>
    <w:multiLevelType w:val="hybridMultilevel"/>
    <w:lvl w:ilvl="0">
      <w:lvlJc w:val="left"/>
      <w:lvlText w:val="%1"/>
      <w:numFmt w:val="decimal"/>
      <w:start w:val="1"/>
    </w:lvl>
    <w:lvl w:ilvl="1">
      <w:lvlJc w:val="left"/>
      <w:lvlText w:val="(%2)"/>
      <w:numFmt w:val="lowerLetter"/>
      <w:start w:val="1"/>
    </w:lvl>
  </w:abstractNum>
  <w:abstractNum w:abstractNumId="336">
    <w:nsid w:val="5D5CE761"/>
    <w:multiLevelType w:val="hybridMultilevel"/>
    <w:lvl w:ilvl="0">
      <w:lvlJc w:val="left"/>
      <w:lvlText w:val="(%1)"/>
      <w:numFmt w:val="decimal"/>
      <w:start w:val="2"/>
    </w:lvl>
    <w:lvl w:ilvl="1">
      <w:lvlJc w:val="left"/>
      <w:lvlText w:val="%2"/>
      <w:numFmt w:val="lowerLetter"/>
      <w:start w:val="1"/>
    </w:lvl>
  </w:abstractNum>
  <w:abstractNum w:abstractNumId="337">
    <w:nsid w:val="1CD484D5"/>
    <w:multiLevelType w:val="hybridMultilevel"/>
    <w:lvl w:ilvl="0">
      <w:lvlJc w:val="left"/>
      <w:lvlText w:val="(%1)"/>
      <w:numFmt w:val="lowerLetter"/>
      <w:start w:val="2"/>
    </w:lvl>
  </w:abstractNum>
  <w:abstractNum w:abstractNumId="338">
    <w:nsid w:val="21D06255"/>
    <w:multiLevelType w:val="hybridMultilevel"/>
    <w:lvl w:ilvl="0">
      <w:lvlJc w:val="left"/>
      <w:lvlText w:val="(%1)"/>
      <w:numFmt w:val="lowerLetter"/>
      <w:start w:val="4"/>
    </w:lvl>
  </w:abstractNum>
  <w:abstractNum w:abstractNumId="339">
    <w:nsid w:val="51194ED1"/>
    <w:multiLevelType w:val="hybridMultilevel"/>
    <w:lvl w:ilvl="0">
      <w:lvlJc w:val="left"/>
      <w:lvlText w:val="3"/>
      <w:numFmt w:val="bullet"/>
      <w:start w:val="1"/>
    </w:lvl>
  </w:abstractNum>
  <w:abstractNum w:abstractNumId="340">
    <w:nsid w:val="44E2ED6C"/>
    <w:multiLevelType w:val="hybridMultilevel"/>
    <w:lvl w:ilvl="0">
      <w:lvlJc w:val="left"/>
      <w:lvlText w:val="(%1)"/>
      <w:numFmt w:val="lowerLetter"/>
      <w:start w:val="2"/>
    </w:lvl>
  </w:abstractNum>
  <w:abstractNum w:abstractNumId="341">
    <w:nsid w:val="2219B33"/>
    <w:multiLevelType w:val="hybridMultilevel"/>
    <w:lvl w:ilvl="0">
      <w:lvlJc w:val="left"/>
      <w:lvlText w:val="(%1)"/>
      <w:numFmt w:val="decimal"/>
      <w:start w:val="30"/>
    </w:lvl>
  </w:abstractNum>
  <w:abstractNum w:abstractNumId="342">
    <w:nsid w:val="773BFBDD"/>
    <w:multiLevelType w:val="hybridMultilevel"/>
    <w:lvl w:ilvl="0">
      <w:lvlJc w:val="left"/>
      <w:lvlText w:val="(%1)"/>
      <w:numFmt w:val="lowerLetter"/>
      <w:start w:val="1"/>
    </w:lvl>
    <w:lvl w:ilvl="1">
      <w:lvlJc w:val="left"/>
      <w:lvlText w:val="(%2)"/>
      <w:numFmt w:val="lowerRoman"/>
      <w:start w:val="1"/>
    </w:lvl>
  </w:abstractNum>
  <w:abstractNum w:abstractNumId="343">
    <w:nsid w:val="2C7C62C2"/>
    <w:multiLevelType w:val="hybridMultilevel"/>
    <w:lvl w:ilvl="0">
      <w:lvlJc w:val="left"/>
      <w:lvlText w:val="%1"/>
      <w:numFmt w:val="lowerLetter"/>
      <w:start w:val="1"/>
    </w:lvl>
    <w:lvl w:ilvl="1">
      <w:lvlJc w:val="left"/>
      <w:lvlText w:val="(%2)"/>
      <w:numFmt w:val="lowerRoman"/>
      <w:start w:val="4"/>
    </w:lvl>
  </w:abstractNum>
  <w:abstractNum w:abstractNumId="344">
    <w:nsid w:val="1A54D7BC"/>
    <w:multiLevelType w:val="hybridMultilevel"/>
    <w:lvl w:ilvl="0">
      <w:lvlJc w:val="left"/>
      <w:lvlText w:val="(%1)"/>
      <w:numFmt w:val="lowerLetter"/>
      <w:start w:val="4"/>
    </w:lvl>
    <w:lvl w:ilvl="1">
      <w:lvlJc w:val="left"/>
      <w:lvlText w:val="(%2)"/>
      <w:numFmt w:val="lowerRoman"/>
      <w:start w:val="1"/>
    </w:lvl>
  </w:abstractNum>
  <w:abstractNum w:abstractNumId="345">
    <w:nsid w:val="42E57EF7"/>
    <w:multiLevelType w:val="hybridMultilevel"/>
    <w:lvl w:ilvl="0">
      <w:lvlJc w:val="left"/>
      <w:lvlText w:val="%1"/>
      <w:numFmt w:val="lowerLetter"/>
      <w:start w:val="1"/>
    </w:lvl>
    <w:lvl w:ilvl="1">
      <w:lvlJc w:val="left"/>
      <w:lvlText w:val="(%2)"/>
      <w:numFmt w:val="lowerLetter"/>
      <w:start w:val="1"/>
    </w:lvl>
  </w:abstractNum>
  <w:abstractNum w:abstractNumId="346">
    <w:nsid w:val="33537CED"/>
    <w:multiLevelType w:val="hybridMultilevel"/>
    <w:lvl w:ilvl="0">
      <w:lvlJc w:val="left"/>
      <w:lvlText w:val="(%1)"/>
      <w:numFmt w:val="lowerLetter"/>
      <w:start w:val="35"/>
    </w:lvl>
    <w:lvl w:ilvl="1">
      <w:lvlJc w:val="left"/>
      <w:lvlText w:val="(%2)"/>
      <w:numFmt w:val="lowerLetter"/>
      <w:start w:val="2"/>
    </w:lvl>
  </w:abstractNum>
  <w:abstractNum w:abstractNumId="347">
    <w:nsid w:val="27514ADE"/>
    <w:multiLevelType w:val="hybridMultilevel"/>
    <w:lvl w:ilvl="0">
      <w:lvlJc w:val="left"/>
      <w:lvlText w:val="%1"/>
      <w:numFmt w:val="lowerLetter"/>
      <w:start w:val="1"/>
    </w:lvl>
    <w:lvl w:ilvl="1">
      <w:lvlJc w:val="left"/>
      <w:lvlText w:val="(%2)"/>
      <w:numFmt w:val="lowerLetter"/>
      <w:start w:val="5"/>
    </w:lvl>
  </w:abstractNum>
  <w:abstractNum w:abstractNumId="348">
    <w:nsid w:val="57071613"/>
    <w:multiLevelType w:val="hybridMultilevel"/>
    <w:lvl w:ilvl="0">
      <w:lvlJc w:val="left"/>
      <w:lvlText w:val="(%1)"/>
      <w:numFmt w:val="lowerLetter"/>
      <w:start w:val="35"/>
    </w:lvl>
    <w:lvl w:ilvl="1">
      <w:lvlJc w:val="left"/>
      <w:lvlText w:val="%2"/>
      <w:numFmt w:val="lowerLetter"/>
      <w:start w:val="1"/>
    </w:lvl>
  </w:abstractNum>
  <w:abstractNum w:abstractNumId="349">
    <w:nsid w:val="5293BFEF"/>
    <w:multiLevelType w:val="hybridMultilevel"/>
    <w:lvl w:ilvl="0">
      <w:lvlJc w:val="left"/>
      <w:lvlText w:val="(%1)"/>
      <w:numFmt w:val="lowerLetter"/>
      <w:start w:val="61"/>
    </w:lvl>
    <w:lvl w:ilvl="1">
      <w:lvlJc w:val="left"/>
      <w:lvlText w:val="(%2)"/>
      <w:numFmt w:val="lowerLetter"/>
      <w:start w:val="9"/>
    </w:lvl>
  </w:abstractNum>
  <w:abstractNum w:abstractNumId="350">
    <w:nsid w:val="38BF53E5"/>
    <w:multiLevelType w:val="hybridMultilevel"/>
    <w:lvl w:ilvl="0">
      <w:lvlJc w:val="left"/>
      <w:lvlText w:val="(%1)"/>
      <w:numFmt w:val="lowerLetter"/>
      <w:start w:val="11"/>
    </w:lvl>
  </w:abstractNum>
  <w:abstractNum w:abstractNumId="351">
    <w:nsid w:val="226F5320"/>
    <w:multiLevelType w:val="hybridMultilevel"/>
    <w:lvl w:ilvl="0">
      <w:lvlJc w:val="left"/>
      <w:lvlText w:val="(%1)"/>
      <w:numFmt w:val="lowerLetter"/>
      <w:start w:val="15"/>
    </w:lvl>
  </w:abstractNum>
  <w:abstractNum w:abstractNumId="352">
    <w:nsid w:val="5A0201C7"/>
    <w:multiLevelType w:val="hybridMultilevel"/>
    <w:lvl w:ilvl="0">
      <w:lvlJc w:val="left"/>
      <w:lvlText w:val="%1"/>
      <w:numFmt w:val="lowerLetter"/>
      <w:start w:val="1"/>
    </w:lvl>
    <w:lvl w:ilvl="1">
      <w:lvlJc w:val="left"/>
      <w:lvlText w:val="(%2)"/>
      <w:numFmt w:val="lowerLetter"/>
      <w:start w:val="1"/>
    </w:lvl>
  </w:abstractNum>
  <w:abstractNum w:abstractNumId="353">
    <w:nsid w:val="2A9C34E2"/>
    <w:multiLevelType w:val="hybridMultilevel"/>
    <w:lvl w:ilvl="0">
      <w:lvlJc w:val="left"/>
      <w:lvlText w:val="(%1)"/>
      <w:numFmt w:val="lowerLetter"/>
      <w:start w:val="35"/>
    </w:lvl>
    <w:lvl w:ilvl="1">
      <w:lvlJc w:val="left"/>
      <w:lvlText w:val="(%2)"/>
      <w:numFmt w:val="lowerLetter"/>
      <w:start w:val="5"/>
    </w:lvl>
  </w:abstractNum>
  <w:abstractNum w:abstractNumId="354">
    <w:nsid w:val="1B7585AB"/>
    <w:multiLevelType w:val="hybridMultilevel"/>
    <w:lvl w:ilvl="0">
      <w:lvlJc w:val="left"/>
      <w:lvlText w:val="(%1)"/>
      <w:numFmt w:val="lowerLetter"/>
      <w:start w:val="35"/>
    </w:lvl>
    <w:lvl w:ilvl="1">
      <w:lvlJc w:val="left"/>
      <w:lvlText w:val="(%2)"/>
      <w:numFmt w:val="lowerLetter"/>
      <w:start w:val="6"/>
    </w:lvl>
  </w:abstractNum>
  <w:abstractNum w:abstractNumId="355">
    <w:nsid w:val="612DBDDD"/>
    <w:multiLevelType w:val="hybridMultilevel"/>
    <w:lvl w:ilvl="0">
      <w:lvlJc w:val="left"/>
      <w:lvlText w:val="(%1)"/>
      <w:numFmt w:val="lowerLetter"/>
      <w:start w:val="8"/>
    </w:lvl>
  </w:abstractNum>
  <w:abstractNum w:abstractNumId="356">
    <w:nsid w:val="2109CDA4"/>
    <w:multiLevelType w:val="hybridMultilevel"/>
    <w:lvl w:ilvl="0">
      <w:lvlJc w:val="left"/>
      <w:lvlText w:val="(%1)"/>
      <w:numFmt w:val="lowerLetter"/>
      <w:start w:val="13"/>
    </w:lvl>
  </w:abstractNum>
  <w:abstractNum w:abstractNumId="357">
    <w:nsid w:val="577F5A4D"/>
    <w:multiLevelType w:val="hybridMultilevel"/>
    <w:lvl w:ilvl="0">
      <w:lvlJc w:val="left"/>
      <w:lvlText w:val="(%1)"/>
      <w:numFmt w:val="lowerLetter"/>
      <w:start w:val="16"/>
    </w:lvl>
  </w:abstractNum>
  <w:abstractNum w:abstractNumId="358">
    <w:nsid w:val="2121A81"/>
    <w:multiLevelType w:val="hybridMultilevel"/>
    <w:lvl w:ilvl="0">
      <w:lvlJc w:val="left"/>
      <w:lvlText w:val="(%1)"/>
      <w:numFmt w:val="lowerLetter"/>
      <w:start w:val="1"/>
    </w:lvl>
  </w:abstractNum>
  <w:abstractNum w:abstractNumId="359">
    <w:nsid w:val="6C2CFC8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60">
    <w:nsid w:val="6D1BCF1C"/>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361">
    <w:nsid w:val="4CE5CA53"/>
    <w:multiLevelType w:val="hybridMultilevel"/>
    <w:lvl w:ilvl="0">
      <w:lvlJc w:val="left"/>
      <w:lvlText w:val="(%1)"/>
      <w:numFmt w:val="lowerLetter"/>
      <w:start w:val="4"/>
    </w:lvl>
    <w:lvl w:ilvl="1">
      <w:lvlJc w:val="left"/>
      <w:lvlText w:val="(%2)"/>
      <w:numFmt w:val="lowerLetter"/>
      <w:start w:val="9"/>
    </w:lvl>
  </w:abstractNum>
  <w:abstractNum w:abstractNumId="362">
    <w:nsid w:val="29262D1A"/>
    <w:multiLevelType w:val="hybridMultilevel"/>
    <w:lvl w:ilvl="0">
      <w:lvlJc w:val="left"/>
      <w:lvlText w:val="(%1)"/>
      <w:numFmt w:val="lowerRoman"/>
      <w:start w:val="2"/>
    </w:lvl>
  </w:abstractNum>
  <w:abstractNum w:abstractNumId="363">
    <w:nsid w:val="557FB7EE"/>
    <w:multiLevelType w:val="hybridMultilevel"/>
    <w:lvl w:ilvl="0">
      <w:lvlJc w:val="left"/>
      <w:lvlText w:val="(%1)"/>
      <w:numFmt w:val="lowerRoman"/>
      <w:start w:val="1"/>
    </w:lvl>
  </w:abstractNum>
  <w:abstractNum w:abstractNumId="364">
    <w:nsid w:val="436F2BEB"/>
    <w:multiLevelType w:val="hybridMultilevel"/>
    <w:lvl w:ilvl="0">
      <w:lvlJc w:val="left"/>
      <w:lvlText w:val="(%1)"/>
      <w:numFmt w:val="lowerLetter"/>
      <w:start w:val="1"/>
    </w:lvl>
  </w:abstractNum>
  <w:abstractNum w:abstractNumId="365">
    <w:nsid w:val="6C8B4466"/>
    <w:multiLevelType w:val="hybridMultilevel"/>
    <w:lvl w:ilvl="0">
      <w:lvlJc w:val="left"/>
      <w:lvlText w:val="(%1)"/>
      <w:numFmt w:val="lowerLetter"/>
      <w:start w:val="6"/>
    </w:lvl>
  </w:abstractNum>
  <w:abstractNum w:abstractNumId="366">
    <w:nsid w:val="2006E424"/>
    <w:multiLevelType w:val="hybridMultilevel"/>
    <w:lvl w:ilvl="0">
      <w:lvlJc w:val="left"/>
      <w:lvlText w:val="(%1)"/>
      <w:numFmt w:val="lowerLetter"/>
      <w:start w:val="13"/>
    </w:lvl>
  </w:abstractNum>
  <w:abstractNum w:abstractNumId="367">
    <w:nsid w:val="20CC134C"/>
    <w:multiLevelType w:val="hybridMultilevel"/>
    <w:lvl w:ilvl="0">
      <w:lvlJc w:val="left"/>
      <w:lvlText w:val="(%1)"/>
      <w:numFmt w:val="lowerLetter"/>
      <w:start w:val="18"/>
    </w:lvl>
  </w:abstractNum>
  <w:abstractNum w:abstractNumId="368">
    <w:nsid w:val="95FC93B"/>
    <w:multiLevelType w:val="hybridMultilevel"/>
    <w:lvl w:ilvl="0">
      <w:lvlJc w:val="left"/>
      <w:lvlText w:val="(%1)"/>
      <w:numFmt w:val="lowerLetter"/>
      <w:start w:val="21"/>
    </w:lvl>
  </w:abstractNum>
  <w:abstractNum w:abstractNumId="369">
    <w:nsid w:val="41D74679"/>
    <w:multiLevelType w:val="hybridMultilevel"/>
    <w:lvl w:ilvl="0">
      <w:lvlJc w:val="left"/>
      <w:lvlText w:val="(%1)"/>
      <w:numFmt w:val="lowerLetter"/>
      <w:start w:val="23"/>
    </w:lvl>
    <w:lvl w:ilvl="1">
      <w:lvlJc w:val="left"/>
      <w:lvlText w:val="(%2)"/>
      <w:numFmt w:val="lowerRoman"/>
      <w:start w:val="1"/>
    </w:lvl>
  </w:abstractNum>
  <w:abstractNum w:abstractNumId="370">
    <w:nsid w:val="71E5621E"/>
    <w:multiLevelType w:val="hybridMultilevel"/>
    <w:lvl w:ilvl="0">
      <w:lvlJc w:val="left"/>
      <w:lvlText w:val="%1."/>
      <w:numFmt w:val="upperLetter"/>
      <w:start w:val="1"/>
    </w:lvl>
    <w:lvl w:ilvl="1">
      <w:lvlJc w:val="left"/>
      <w:lvlText w:val="☐"/>
      <w:numFmt w:val="bullet"/>
      <w:start w:val="1"/>
    </w:lvl>
  </w:abstractNum>
  <w:abstractNum w:abstractNumId="371">
    <w:nsid w:val="4E42B6A8"/>
    <w:multiLevelType w:val="hybridMultilevel"/>
    <w:lvl w:ilvl="0">
      <w:lvlJc w:val="left"/>
      <w:lvlText w:val="☐"/>
      <w:numFmt w:val="bullet"/>
      <w:start w:val="1"/>
    </w:lvl>
  </w:abstractNum>
  <w:abstractNum w:abstractNumId="372">
    <w:nsid w:val="43F8E1AC"/>
    <w:multiLevelType w:val="hybridMultilevel"/>
    <w:lvl w:ilvl="0">
      <w:lvlJc w:val="left"/>
      <w:lvlText w:val="☐"/>
      <w:numFmt w:val="bullet"/>
      <w:start w:val="1"/>
    </w:lvl>
  </w:abstractNum>
  <w:abstractNum w:abstractNumId="373">
    <w:nsid w:val="69215D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74">
    <w:nsid w:val="7ABF196A"/>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5"/>
    </w:lvl>
  </w:abstractNum>
  <w:abstractNum w:abstractNumId="375">
    <w:nsid w:val="5E4DB968"/>
    <w:multiLevelType w:val="hybridMultilevel"/>
    <w:lvl w:ilvl="0">
      <w:lvlJc w:val="left"/>
      <w:lvlText w:val="(%1)"/>
      <w:numFmt w:val="lowerLetter"/>
      <w:start w:val="2"/>
    </w:lvl>
  </w:abstractNum>
  <w:abstractNum w:abstractNumId="376">
    <w:nsid w:val="2C06DCF3"/>
    <w:multiLevelType w:val="hybridMultilevel"/>
    <w:lvl w:ilvl="0">
      <w:lvlJc w:val="left"/>
      <w:lvlText w:val="(%1)"/>
      <w:numFmt w:val="lowerLetter"/>
      <w:start w:val="3"/>
    </w:lvl>
  </w:abstractNum>
  <w:abstractNum w:abstractNumId="377">
    <w:nsid w:val="2E129658"/>
    <w:multiLevelType w:val="hybridMultilevel"/>
    <w:lvl w:ilvl="0">
      <w:lvlJc w:val="left"/>
      <w:lvlText w:val="(%1)"/>
      <w:numFmt w:val="lowerLetter"/>
      <w:start w:val="1"/>
    </w:lvl>
  </w:abstractNum>
  <w:abstractNum w:abstractNumId="378">
    <w:nsid w:val="59F0446"/>
    <w:multiLevelType w:val="hybridMultilevel"/>
    <w:lvl w:ilvl="0">
      <w:lvlJc w:val="left"/>
      <w:lvlText w:val="(%1)"/>
      <w:numFmt w:val="lowerLetter"/>
      <w:start w:val="2"/>
    </w:lvl>
  </w:abstractNum>
  <w:abstractNum w:abstractNumId="379">
    <w:nsid w:val="30DF306"/>
    <w:multiLevelType w:val="hybridMultilevel"/>
    <w:lvl w:ilvl="0">
      <w:lvlJc w:val="left"/>
      <w:lvlText w:val="(%1)"/>
      <w:numFmt w:val="lowerLetter"/>
      <w:start w:val="1"/>
    </w:lvl>
  </w:abstractNum>
  <w:abstractNum w:abstractNumId="380">
    <w:nsid w:val="A65647"/>
    <w:multiLevelType w:val="hybridMultilevel"/>
    <w:lvl w:ilvl="0">
      <w:lvlJc w:val="left"/>
      <w:lvlText w:val="(%1)"/>
      <w:numFmt w:val="lowerRoman"/>
      <w:start w:val="2"/>
    </w:lvl>
  </w:abstractNum>
  <w:abstractNum w:abstractNumId="381">
    <w:nsid w:val="3E5E582B"/>
    <w:multiLevelType w:val="hybridMultilevel"/>
    <w:lvl w:ilvl="0">
      <w:lvlJc w:val="left"/>
      <w:lvlText w:val="(%1)"/>
      <w:numFmt w:val="lowerRoman"/>
      <w:start w:val="2"/>
    </w:lvl>
  </w:abstractNum>
  <w:abstractNum w:abstractNumId="382">
    <w:nsid w:val="257D4626"/>
    <w:multiLevelType w:val="hybridMultilevel"/>
    <w:lvl w:ilvl="0">
      <w:lvlJc w:val="left"/>
      <w:lvlText w:val="%1."/>
      <w:numFmt w:val="decimal"/>
      <w:start w:val="1"/>
    </w:lvl>
    <w:lvl w:ilvl="1">
      <w:lvlJc w:val="left"/>
      <w:lvlText w:val="(%2)"/>
      <w:numFmt w:val="lowerLetter"/>
      <w:start w:val="1"/>
    </w:lvl>
  </w:abstractNum>
  <w:abstractNum w:abstractNumId="383">
    <w:nsid w:val="5AA8580E"/>
    <w:multiLevelType w:val="hybridMultilevel"/>
    <w:lvl w:ilvl="0">
      <w:lvlJc w:val="left"/>
      <w:lvlText w:val="%1"/>
      <w:numFmt w:val="decimal"/>
      <w:start w:val="22"/>
    </w:lvl>
  </w:abstractNum>
  <w:abstractNum w:abstractNumId="384">
    <w:nsid w:val="68FA8D0D"/>
    <w:multiLevelType w:val="hybridMultilevel"/>
    <w:lvl w:ilvl="0">
      <w:lvlJc w:val="left"/>
      <w:lvlText w:val="(%1)"/>
      <w:numFmt w:val="lowerLetter"/>
      <w:start w:val="1"/>
    </w:lvl>
    <w:lvl w:ilvl="1">
      <w:lvlJc w:val="left"/>
      <w:lvlText w:val="(%2)"/>
      <w:numFmt w:val="lowerRoman"/>
      <w:start w:val="1"/>
    </w:lvl>
  </w:abstractNum>
  <w:abstractNum w:abstractNumId="385">
    <w:nsid w:val="40F2CBD2"/>
    <w:multiLevelType w:val="hybridMultilevel"/>
    <w:lvl w:ilvl="0">
      <w:lvlJc w:val="left"/>
      <w:lvlText w:val="%1"/>
      <w:numFmt w:val="lowerLetter"/>
      <w:start w:val="1"/>
    </w:lvl>
    <w:lvl w:ilvl="1">
      <w:lvlJc w:val="left"/>
      <w:lvlText w:val="(%2)"/>
      <w:numFmt w:val="lowerRoman"/>
      <w:start w:val="4"/>
    </w:lvl>
  </w:abstractNum>
  <w:abstractNum w:abstractNumId="386">
    <w:nsid w:val="3BD615EB"/>
    <w:multiLevelType w:val="hybridMultilevel"/>
    <w:lvl w:ilvl="0">
      <w:lvlJc w:val="left"/>
      <w:lvlText w:val="(%1)"/>
      <w:numFmt w:val="lowerLetter"/>
      <w:start w:val="2"/>
    </w:lvl>
    <w:lvl w:ilvl="1">
      <w:lvlJc w:val="left"/>
      <w:lvlText w:val="%2"/>
      <w:numFmt w:val="lowerRoman"/>
      <w:start w:val="1"/>
    </w:lvl>
  </w:abstractNum>
  <w:abstractNum w:abstractNumId="387">
    <w:nsid w:val="A045AB2"/>
    <w:multiLevelType w:val="hybridMultilevel"/>
    <w:lvl w:ilvl="0">
      <w:lvlJc w:val="left"/>
      <w:lvlText w:val="(%1)"/>
      <w:numFmt w:val="lowerLetter"/>
      <w:start w:val="2"/>
    </w:lvl>
    <w:lvl w:ilvl="1">
      <w:lvlJc w:val="left"/>
      <w:lvlText w:val="%2"/>
      <w:numFmt w:val="lowerRoman"/>
      <w:start w:val="1"/>
    </w:lvl>
  </w:abstractNum>
  <w:abstractNum w:abstractNumId="388">
    <w:nsid w:val="1872261F"/>
    <w:multiLevelType w:val="hybridMultilevel"/>
    <w:lvl w:ilvl="0">
      <w:lvlJc w:val="left"/>
      <w:lvlText w:val="(%1)"/>
      <w:numFmt w:val="lowerLetter"/>
      <w:start w:val="1"/>
    </w:lvl>
  </w:abstractNum>
  <w:abstractNum w:abstractNumId="389">
    <w:nsid w:val="3DE8306C"/>
    <w:multiLevelType w:val="hybridMultilevel"/>
    <w:lvl w:ilvl="0">
      <w:lvlJc w:val="left"/>
      <w:lvlText w:val="%1."/>
      <w:numFmt w:val="decimal"/>
      <w:start w:val="2"/>
    </w:lvl>
  </w:abstractNum>
  <w:abstractNum w:abstractNumId="390">
    <w:nsid w:val="7631573A"/>
    <w:multiLevelType w:val="hybridMultilevel"/>
    <w:lvl w:ilvl="0">
      <w:lvlJc w:val="left"/>
      <w:lvlText w:val="•"/>
      <w:numFmt w:val="bullet"/>
      <w:start w:val="1"/>
    </w:lvl>
  </w:abstractNum>
  <w:abstractNum w:abstractNumId="391">
    <w:nsid w:val="58DF53B"/>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2021-01-11T07:24:06Z</dcterms:created>
  <dcterms:modified xsi:type="dcterms:W3CDTF">2021-01-11T07:24:06Z</dcterms:modified>
</cp:coreProperties>
</file>