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b w:val="1"/>
          <w:bCs w:val="1"/>
          <w:u w:val="single" w:color="auto"/>
          <w:color w:val="0000EE"/>
        </w:rPr>
        <w:t>Table of Contents</w:t>
      </w:r>
    </w:p>
    <w:p>
      <w:pPr>
        <w:spacing w:after="0" w:line="249"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Registration No. 333-288361</w:t>
      </w:r>
    </w:p>
    <w:p>
      <w:pPr>
        <w:ind w:left="1120"/>
        <w:spacing w:after="0" w:line="220" w:lineRule="auto"/>
        <w:rPr>
          <w:sz w:val="20"/>
          <w:szCs w:val="20"/>
          <w:color w:val="auto"/>
        </w:rPr>
      </w:pPr>
      <w:r>
        <w:rPr>
          <w:rFonts w:ascii="Times New Roman" w:cs="Times New Roman" w:eastAsia="Times New Roman" w:hAnsi="Times New Roman"/>
          <w:sz w:val="13"/>
          <w:szCs w:val="13"/>
          <w:b w:val="1"/>
          <w:bCs w:val="1"/>
          <w:color w:val="auto"/>
        </w:rPr>
        <w:t>PROSPECTUS SUPPLEMENT</w:t>
      </w:r>
    </w:p>
    <w:p>
      <w:pPr>
        <w:ind w:left="1120"/>
        <w:spacing w:after="0"/>
        <w:rPr>
          <w:sz w:val="20"/>
          <w:szCs w:val="20"/>
          <w:color w:val="auto"/>
        </w:rPr>
      </w:pPr>
      <w:r>
        <w:rPr>
          <w:rFonts w:ascii="Times New Roman" w:cs="Times New Roman" w:eastAsia="Times New Roman" w:hAnsi="Times New Roman"/>
          <w:sz w:val="13"/>
          <w:szCs w:val="13"/>
          <w:b w:val="1"/>
          <w:bCs w:val="1"/>
          <w:color w:val="auto"/>
        </w:rPr>
        <w:t>(To the Prospectus dated July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3129915</wp:posOffset>
            </wp:positionH>
            <wp:positionV relativeFrom="paragraph">
              <wp:posOffset>53340</wp:posOffset>
            </wp:positionV>
            <wp:extent cx="908050" cy="344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08050" cy="344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1"/>
          <w:szCs w:val="21"/>
          <w:b w:val="1"/>
          <w:bCs w:val="1"/>
          <w:color w:val="auto"/>
        </w:rPr>
        <w:t>Bakkt Holdings, Inc.</w:t>
      </w:r>
    </w:p>
    <w:p>
      <w:pPr>
        <w:spacing w:after="0" w:line="28"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1"/>
          <w:szCs w:val="21"/>
          <w:b w:val="1"/>
          <w:bCs w:val="1"/>
          <w:color w:val="auto"/>
        </w:rPr>
        <w:t>(to be renamed Bakkt, Inc.)</w:t>
      </w:r>
    </w:p>
    <w:p>
      <w:pPr>
        <w:spacing w:after="0" w:line="5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4"/>
          <w:szCs w:val="24"/>
          <w:b w:val="1"/>
          <w:bCs w:val="1"/>
          <w:color w:val="auto"/>
        </w:rPr>
        <w:t>Up to $300,000,000</w:t>
      </w:r>
    </w:p>
    <w:p>
      <w:pPr>
        <w:spacing w:after="0" w:line="9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1"/>
          <w:szCs w:val="21"/>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2981960</wp:posOffset>
            </wp:positionH>
            <wp:positionV relativeFrom="paragraph">
              <wp:posOffset>142240</wp:posOffset>
            </wp:positionV>
            <wp:extent cx="12033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93" w:lineRule="exact"/>
        <w:rPr>
          <w:sz w:val="24"/>
          <w:szCs w:val="24"/>
          <w:color w:val="auto"/>
        </w:rPr>
      </w:pPr>
    </w:p>
    <w:p>
      <w:pPr>
        <w:ind w:left="1120" w:right="20"/>
        <w:spacing w:after="0" w:line="276" w:lineRule="auto"/>
        <w:rPr>
          <w:sz w:val="20"/>
          <w:szCs w:val="20"/>
          <w:color w:val="auto"/>
        </w:rPr>
      </w:pPr>
      <w:r>
        <w:rPr>
          <w:rFonts w:ascii="Times New Roman" w:cs="Times New Roman" w:eastAsia="Times New Roman" w:hAnsi="Times New Roman"/>
          <w:sz w:val="13"/>
          <w:szCs w:val="13"/>
          <w:color w:val="auto"/>
        </w:rPr>
        <w:t>We have entered into a Sales Agreement, dated January 16, 2026 (the “Sales Agreement”), with The Benchmark Company, LLC, Virtu Americas LLC, Clear Street LLC, Cohen &amp; Company Capital Markets, a division of Cohen &amp; Company Securities, LLC, Macquarie Capital (USA) Inc., Rosenblatt Securities Inc. and Roth Capital Partners, LLC (each, a “Sales Agent” and together, the “Sales Agents”), relating to the sale of shares of our Class A common stock, $0.0001 par value per share (“Common Stock”), offered by this prospectus supplement and the accompanying prospectus. In accordance with the terms of the Sales Agreement, we may offer and sell shares of our Common Stock having an aggregate offering price of up to $300,000,000 from time to time.</w:t>
      </w:r>
    </w:p>
    <w:p>
      <w:pPr>
        <w:spacing w:after="0" w:line="60" w:lineRule="exact"/>
        <w:rPr>
          <w:sz w:val="24"/>
          <w:szCs w:val="24"/>
          <w:color w:val="auto"/>
        </w:rPr>
      </w:pPr>
    </w:p>
    <w:p>
      <w:pPr>
        <w:ind w:left="1120"/>
        <w:spacing w:after="0" w:line="271" w:lineRule="auto"/>
        <w:rPr>
          <w:sz w:val="20"/>
          <w:szCs w:val="20"/>
          <w:color w:val="auto"/>
        </w:rPr>
      </w:pPr>
      <w:r>
        <w:rPr>
          <w:rFonts w:ascii="Times New Roman" w:cs="Times New Roman" w:eastAsia="Times New Roman" w:hAnsi="Times New Roman"/>
          <w:sz w:val="13"/>
          <w:szCs w:val="13"/>
          <w:color w:val="auto"/>
        </w:rPr>
        <w:t>Sales of shares of our Common Stock under this prospectus supplement and the accompanying prospectus, if any, may be made by any method deemed to be an “at the market offering” as defined in Rule 415(a)(4) promulgated under the Securities Act of 1933, as amended (the “Securities Act”), including sales made in ordinary brokers’ transactions on the New York Stock Exchange (the “NYSE”) or otherwise at market prices prevailing at the time of the sale, at prices related to prevailing market prices or at negotiated prices and block trades. The Sales Agents are not required to sell any specific number or dollar amount of shares of our Common Stock. The Sales Agents have agreed to use their commercially reasonable efforts to sell on our behalf all of the shares of Common Stock requested to be sold by us, consistent with their normal trading and sales practices, on mutually agreed terms among the Sales Agents and us. There is no arrangement for funds to be received in any escrow, trust or similar arrangement. We also may sell shares to one or more of the Sales Agents as principals for their own accounts, at a price agreed upon at the time of sale. If we sell shares to a Sales Agent as principal, we will enter into a separate terms agreement with the applicable Sales Agent setting forth the terms of such transaction, and we intend to describe this agreement in a separate pricing supplement.</w:t>
      </w:r>
    </w:p>
    <w:p>
      <w:pPr>
        <w:spacing w:after="0" w:line="66" w:lineRule="exact"/>
        <w:rPr>
          <w:sz w:val="24"/>
          <w:szCs w:val="24"/>
          <w:color w:val="auto"/>
        </w:rPr>
      </w:pPr>
    </w:p>
    <w:p>
      <w:pPr>
        <w:ind w:left="1120" w:right="60"/>
        <w:spacing w:after="0" w:line="276" w:lineRule="auto"/>
        <w:rPr>
          <w:sz w:val="20"/>
          <w:szCs w:val="20"/>
          <w:color w:val="auto"/>
        </w:rPr>
      </w:pPr>
      <w:r>
        <w:rPr>
          <w:rFonts w:ascii="Times New Roman" w:cs="Times New Roman" w:eastAsia="Times New Roman" w:hAnsi="Times New Roman"/>
          <w:sz w:val="13"/>
          <w:szCs w:val="13"/>
          <w:color w:val="auto"/>
        </w:rPr>
        <w:t>Each of the Sales Agents will be entitled to compensation under the terms of the Sales Agreement at a commission rate equal to up to 3% of the gross sales price per share sold. In connection with the sale of Common Stock on our behalf, each of the Sales Agents will be deemed to be an “underwriter” within the meaning of the Securities Act, and the compensation of each of the Sales Agents will be deemed to be underwriting commissions or discounts. The shares of our Common Stock will be sold through only one Sales Agent on any given day. We have agreed to provide indemnification and contribution to the Sales Agents with respect to certain liabilities, including liabilities under the Securities Act. See “Plan of Distribution” for additional information regarding compensation to be paid to each of the Sales Agents.</w:t>
      </w:r>
    </w:p>
    <w:p>
      <w:pPr>
        <w:spacing w:after="0" w:line="60" w:lineRule="exact"/>
        <w:rPr>
          <w:sz w:val="24"/>
          <w:szCs w:val="24"/>
          <w:color w:val="auto"/>
        </w:rPr>
      </w:pPr>
    </w:p>
    <w:p>
      <w:pPr>
        <w:ind w:left="1120" w:right="180"/>
        <w:spacing w:after="0" w:line="303" w:lineRule="auto"/>
        <w:rPr>
          <w:sz w:val="20"/>
          <w:szCs w:val="20"/>
          <w:color w:val="auto"/>
        </w:rPr>
      </w:pPr>
      <w:r>
        <w:rPr>
          <w:rFonts w:ascii="Times New Roman" w:cs="Times New Roman" w:eastAsia="Times New Roman" w:hAnsi="Times New Roman"/>
          <w:sz w:val="13"/>
          <w:szCs w:val="13"/>
          <w:color w:val="auto"/>
        </w:rPr>
        <w:t>The offering of shares of our Common Stock pursuant to the Sales Agreement will terminate upon the earlier of (1) the sale of shares of our Common Stock having an aggregate sales price of $300,000,000 pursuant to the Sales Agreement or (2) the termination of the Sales Agreement in accordance with its terms.</w:t>
      </w:r>
    </w:p>
    <w:p>
      <w:pPr>
        <w:spacing w:after="0" w:line="44" w:lineRule="exact"/>
        <w:rPr>
          <w:sz w:val="24"/>
          <w:szCs w:val="24"/>
          <w:color w:val="auto"/>
        </w:rPr>
      </w:pPr>
    </w:p>
    <w:p>
      <w:pPr>
        <w:ind w:left="1120" w:right="180"/>
        <w:spacing w:after="0" w:line="285" w:lineRule="auto"/>
        <w:rPr>
          <w:sz w:val="20"/>
          <w:szCs w:val="20"/>
          <w:color w:val="auto"/>
        </w:rPr>
      </w:pPr>
      <w:r>
        <w:rPr>
          <w:rFonts w:ascii="Times New Roman" w:cs="Times New Roman" w:eastAsia="Times New Roman" w:hAnsi="Times New Roman"/>
          <w:sz w:val="13"/>
          <w:szCs w:val="13"/>
          <w:color w:val="auto"/>
        </w:rPr>
        <w:t>The net proceeds from any sales under this prospectus will be used as described under the section entitled “Use of Proceeds.” The proceeds we receive from sales of shares of our Common Stock, if any, will depend on the number of shares actually sold and the offering price of such shares, which shall be agreed upon at the time of sale.</w:t>
      </w:r>
    </w:p>
    <w:p>
      <w:pPr>
        <w:spacing w:after="0" w:line="55" w:lineRule="exact"/>
        <w:rPr>
          <w:sz w:val="24"/>
          <w:szCs w:val="24"/>
          <w:color w:val="auto"/>
        </w:rPr>
      </w:pPr>
    </w:p>
    <w:p>
      <w:pPr>
        <w:ind w:left="1120" w:right="380"/>
        <w:spacing w:after="0" w:line="303" w:lineRule="auto"/>
        <w:rPr>
          <w:sz w:val="20"/>
          <w:szCs w:val="20"/>
          <w:color w:val="auto"/>
        </w:rPr>
      </w:pPr>
      <w:r>
        <w:rPr>
          <w:rFonts w:ascii="Times New Roman" w:cs="Times New Roman" w:eastAsia="Times New Roman" w:hAnsi="Times New Roman"/>
          <w:sz w:val="13"/>
          <w:szCs w:val="13"/>
          <w:color w:val="auto"/>
        </w:rPr>
        <w:t>Our Common Stock is traded on the NYSE under the symbol “BKKT.” On January 16, 2026, the last reported sales price of our Common Stock on the NYSE was $21.41 per share.</w:t>
      </w:r>
    </w:p>
    <w:p>
      <w:pPr>
        <w:spacing w:after="0" w:line="34" w:lineRule="exact"/>
        <w:rPr>
          <w:sz w:val="24"/>
          <w:szCs w:val="24"/>
          <w:color w:val="auto"/>
        </w:rPr>
      </w:pPr>
    </w:p>
    <w:p>
      <w:pPr>
        <w:jc w:val="both"/>
        <w:ind w:left="1120" w:right="40"/>
        <w:spacing w:after="0" w:line="264" w:lineRule="auto"/>
        <w:rPr>
          <w:sz w:val="20"/>
          <w:szCs w:val="20"/>
          <w:color w:val="auto"/>
        </w:rPr>
      </w:pPr>
      <w:r>
        <w:rPr>
          <w:rFonts w:ascii="Times New Roman" w:cs="Times New Roman" w:eastAsia="Times New Roman" w:hAnsi="Times New Roman"/>
          <w:sz w:val="16"/>
          <w:szCs w:val="16"/>
          <w:b w:val="1"/>
          <w:bCs w:val="1"/>
          <w:color w:val="auto"/>
        </w:rPr>
        <w:t>Investing in our Common Stock involves risks. You should read carefully and consider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included in this prospectus supplement on page S-4 and in our accompanying prospectus beginning on page 6 and in the documents that are incorporated by reference into this prospectus supplement before investing in our Common Stock.</w:t>
      </w:r>
    </w:p>
    <w:p>
      <w:pPr>
        <w:spacing w:after="0" w:line="55" w:lineRule="exact"/>
        <w:rPr>
          <w:sz w:val="24"/>
          <w:szCs w:val="24"/>
          <w:color w:val="auto"/>
        </w:rPr>
      </w:pPr>
    </w:p>
    <w:p>
      <w:pPr>
        <w:ind w:left="1120" w:right="20"/>
        <w:spacing w:after="0" w:line="307"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2981960</wp:posOffset>
            </wp:positionH>
            <wp:positionV relativeFrom="paragraph">
              <wp:posOffset>95885</wp:posOffset>
            </wp:positionV>
            <wp:extent cx="12033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ectPr>
          <w:pgSz w:w="11900" w:h="16838" w:orient="portrait"/>
          <w:cols w:equalWidth="0" w:num="1">
            <w:col w:w="10160"/>
          </w:cols>
          <w:pgMar w:left="300" w:top="212" w:right="1439" w:bottom="1440" w:gutter="0" w:footer="0" w:header="0"/>
        </w:sectPr>
      </w:pPr>
    </w:p>
    <w:p>
      <w:pPr>
        <w:spacing w:after="0" w:line="36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4"/>
          <w:szCs w:val="14"/>
          <w:b w:val="1"/>
          <w:bCs w:val="1"/>
          <w:color w:val="auto"/>
        </w:rPr>
        <w:t>Benchmark, a StoneX Company</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Virtu Financial</w:t>
      </w:r>
    </w:p>
    <w:p>
      <w:pPr>
        <w:spacing w:after="0" w:line="105" w:lineRule="exact"/>
        <w:rPr>
          <w:sz w:val="24"/>
          <w:szCs w:val="24"/>
          <w:color w:val="auto"/>
        </w:rPr>
      </w:pPr>
    </w:p>
    <w:p>
      <w:pPr>
        <w:sectPr>
          <w:pgSz w:w="11900" w:h="16838" w:orient="portrait"/>
          <w:cols w:equalWidth="0" w:num="2">
            <w:col w:w="8480" w:space="720"/>
            <w:col w:w="960"/>
          </w:cols>
          <w:pgMar w:left="300" w:top="212" w:right="143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4"/>
          <w:szCs w:val="14"/>
          <w:b w:val="1"/>
          <w:bCs w:val="1"/>
          <w:color w:val="auto"/>
        </w:rPr>
        <w:t>Clear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Cohen &amp; Company Capital Markets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Macquarie Capital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140335</wp:posOffset>
            </wp:positionV>
            <wp:extent cx="12033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Rosenblatt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Roth Capital Partners</w:t>
      </w:r>
    </w:p>
    <w:p>
      <w:pPr>
        <w:spacing w:after="0" w:line="200" w:lineRule="exact"/>
        <w:rPr>
          <w:sz w:val="24"/>
          <w:szCs w:val="24"/>
          <w:color w:val="auto"/>
        </w:rPr>
      </w:pPr>
    </w:p>
    <w:p>
      <w:pPr>
        <w:sectPr>
          <w:pgSz w:w="11900" w:h="16838" w:orient="portrait"/>
          <w:cols w:equalWidth="0" w:num="5">
            <w:col w:w="1880" w:space="680"/>
            <w:col w:w="2640" w:space="720"/>
            <w:col w:w="1180" w:space="400"/>
            <w:col w:w="680" w:space="580"/>
            <w:col w:w="1400"/>
          </w:cols>
          <w:pgMar w:left="300" w:top="212" w:right="1439" w:bottom="1440" w:gutter="0" w:footer="0" w:header="0"/>
          <w:type w:val="continuous"/>
        </w:sectPr>
      </w:pPr>
    </w:p>
    <w:p>
      <w:pPr>
        <w:spacing w:after="0" w:line="10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3"/>
          <w:szCs w:val="13"/>
          <w:b w:val="1"/>
          <w:bCs w:val="1"/>
          <w:color w:val="auto"/>
        </w:rPr>
        <w:t>The date of this prospectus supplement is January 20, 2026.</w:t>
      </w:r>
    </w:p>
    <w:p>
      <w:pPr>
        <w:sectPr>
          <w:pgSz w:w="11900" w:h="16838" w:orient="portrait"/>
          <w:cols w:equalWidth="0" w:num="1">
            <w:col w:w="10160"/>
          </w:cols>
          <w:pgMar w:left="300" w:top="212" w:right="1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89"/>
              </w:rPr>
              <w:t>Page</w:t>
            </w:r>
          </w:p>
        </w:tc>
      </w:tr>
      <w:tr>
        <w:trPr>
          <w:trHeight w:val="345"/>
        </w:trPr>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80" w:type="dxa"/>
            <w:vAlign w:val="bottom"/>
            <w:gridSpan w:val="4"/>
          </w:tcPr>
          <w:p>
            <w:pPr>
              <w:jc w:val="center"/>
              <w:ind w:right="1200"/>
              <w:spacing w:after="0"/>
              <w:rPr>
                <w:sz w:val="20"/>
                <w:szCs w:val="20"/>
                <w:color w:val="auto"/>
              </w:rPr>
            </w:pPr>
            <w:r>
              <w:rPr>
                <w:rFonts w:ascii="Times New Roman" w:cs="Times New Roman" w:eastAsia="Times New Roman" w:hAnsi="Times New Roman"/>
                <w:sz w:val="15"/>
                <w:szCs w:val="15"/>
                <w:b w:val="1"/>
                <w:bCs w:val="1"/>
                <w:color w:val="auto"/>
                <w:w w:val="98"/>
              </w:rPr>
              <w:t>PROSPECTUS SUPPLEMENT</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4"/>
        </w:trPr>
        <w:tc>
          <w:tcPr>
            <w:tcW w:w="7120" w:type="dxa"/>
            <w:vAlign w:val="bottom"/>
            <w:gridSpan w:val="24"/>
          </w:tcPr>
          <w:p>
            <w:pPr>
              <w:spacing w:after="0"/>
              <w:rPr>
                <w:sz w:val="20"/>
                <w:szCs w:val="20"/>
                <w:color w:val="auto"/>
              </w:rPr>
            </w:pPr>
            <w:r>
              <w:rPr>
                <w:rFonts w:ascii="Times New Roman" w:cs="Times New Roman" w:eastAsia="Times New Roman" w:hAnsi="Times New Roman"/>
                <w:sz w:val="15"/>
                <w:szCs w:val="15"/>
                <w:color w:val="0000EE"/>
              </w:rPr>
              <w:t>ABOUT THIS PROSPECTUS SUPPLEMENT</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S-ii</w:t>
            </w:r>
          </w:p>
        </w:tc>
      </w:tr>
      <w:tr>
        <w:trPr>
          <w:trHeight w:val="20"/>
        </w:trPr>
        <w:tc>
          <w:tcPr>
            <w:tcW w:w="7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r>
      <w:tr>
        <w:trPr>
          <w:trHeight w:val="157"/>
        </w:trPr>
        <w:tc>
          <w:tcPr>
            <w:tcW w:w="5300" w:type="dxa"/>
            <w:vAlign w:val="bottom"/>
            <w:tcBorders>
              <w:bottom w:val="single" w:sz="8" w:color="0000EE"/>
            </w:tcBorders>
            <w:gridSpan w:val="22"/>
          </w:tcPr>
          <w:p>
            <w:pPr>
              <w:spacing w:after="0" w:line="157" w:lineRule="exact"/>
              <w:rPr>
                <w:sz w:val="20"/>
                <w:szCs w:val="20"/>
                <w:color w:val="auto"/>
              </w:rPr>
            </w:pPr>
            <w:r>
              <w:rPr>
                <w:rFonts w:ascii="Times New Roman" w:cs="Times New Roman" w:eastAsia="Times New Roman" w:hAnsi="Times New Roman"/>
                <w:sz w:val="15"/>
                <w:szCs w:val="15"/>
                <w:color w:val="0000EE"/>
                <w:w w:val="96"/>
              </w:rPr>
              <w:t>CAUTIONARY STATEMENT REGARDING FORWARD-LOOKING INFORMATION</w:t>
            </w:r>
          </w:p>
        </w:tc>
        <w:tc>
          <w:tcPr>
            <w:tcW w:w="1820" w:type="dxa"/>
            <w:vAlign w:val="bottom"/>
            <w:gridSpan w:val="2"/>
          </w:tcPr>
          <w:p>
            <w:pPr>
              <w:spacing w:after="0"/>
              <w:rPr>
                <w:sz w:val="13"/>
                <w:szCs w:val="13"/>
                <w:color w:val="auto"/>
              </w:rPr>
            </w:pP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S-iii</w:t>
            </w:r>
          </w:p>
        </w:tc>
      </w:tr>
      <w:tr>
        <w:trPr>
          <w:trHeight w:val="157"/>
        </w:trPr>
        <w:tc>
          <w:tcPr>
            <w:tcW w:w="712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PROSPECTUS SUPPLEMENT SUMMARY</w:t>
            </w: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w:t>
            </w:r>
          </w:p>
        </w:tc>
      </w:tr>
      <w:tr>
        <w:trPr>
          <w:trHeight w:val="157"/>
        </w:trPr>
        <w:tc>
          <w:tcPr>
            <w:tcW w:w="2700" w:type="dxa"/>
            <w:vAlign w:val="bottom"/>
            <w:tcBorders>
              <w:top w:val="single" w:sz="8" w:color="0000EE"/>
            </w:tcBorders>
            <w:gridSpan w:val="17"/>
          </w:tcPr>
          <w:p>
            <w:pPr>
              <w:spacing w:after="0" w:line="157" w:lineRule="exact"/>
              <w:rPr>
                <w:sz w:val="20"/>
                <w:szCs w:val="20"/>
                <w:color w:val="auto"/>
              </w:rPr>
            </w:pPr>
            <w:r>
              <w:rPr>
                <w:rFonts w:ascii="Times New Roman" w:cs="Times New Roman" w:eastAsia="Times New Roman" w:hAnsi="Times New Roman"/>
                <w:sz w:val="15"/>
                <w:szCs w:val="15"/>
                <w:color w:val="0000EE"/>
              </w:rPr>
              <w:t>RISK FACTORS</w:t>
            </w:r>
          </w:p>
        </w:tc>
        <w:tc>
          <w:tcPr>
            <w:tcW w:w="4420" w:type="dxa"/>
            <w:vAlign w:val="bottom"/>
            <w:gridSpan w:val="7"/>
          </w:tcPr>
          <w:p>
            <w:pPr>
              <w:spacing w:after="0"/>
              <w:rPr>
                <w:sz w:val="13"/>
                <w:szCs w:val="13"/>
                <w:color w:val="auto"/>
              </w:rPr>
            </w:pP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S-4</w:t>
            </w:r>
          </w:p>
        </w:tc>
      </w:tr>
      <w:tr>
        <w:trPr>
          <w:trHeight w:val="20"/>
        </w:trPr>
        <w:tc>
          <w:tcPr>
            <w:tcW w:w="7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r>
      <w:tr>
        <w:trPr>
          <w:trHeight w:val="157"/>
        </w:trPr>
        <w:tc>
          <w:tcPr>
            <w:tcW w:w="1320" w:type="dxa"/>
            <w:vAlign w:val="bottom"/>
            <w:tcBorders>
              <w:bottom w:val="single" w:sz="8" w:color="0000EE"/>
            </w:tcBorders>
            <w:gridSpan w:val="6"/>
          </w:tcPr>
          <w:p>
            <w:pPr>
              <w:spacing w:after="0" w:line="157" w:lineRule="exact"/>
              <w:rPr>
                <w:sz w:val="20"/>
                <w:szCs w:val="20"/>
                <w:color w:val="auto"/>
              </w:rPr>
            </w:pPr>
            <w:r>
              <w:rPr>
                <w:rFonts w:ascii="Times New Roman" w:cs="Times New Roman" w:eastAsia="Times New Roman" w:hAnsi="Times New Roman"/>
                <w:sz w:val="15"/>
                <w:szCs w:val="15"/>
                <w:color w:val="0000EE"/>
                <w:w w:val="98"/>
              </w:rPr>
              <w:t>USE OF PROCEEDS</w:t>
            </w:r>
          </w:p>
        </w:tc>
        <w:tc>
          <w:tcPr>
            <w:tcW w:w="5800" w:type="dxa"/>
            <w:vAlign w:val="bottom"/>
            <w:gridSpan w:val="18"/>
          </w:tcPr>
          <w:p>
            <w:pPr>
              <w:spacing w:after="0"/>
              <w:rPr>
                <w:sz w:val="13"/>
                <w:szCs w:val="13"/>
                <w:color w:val="auto"/>
              </w:rPr>
            </w:pP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S-7</w:t>
            </w:r>
          </w:p>
        </w:tc>
      </w:tr>
      <w:tr>
        <w:trPr>
          <w:trHeight w:val="157"/>
        </w:trPr>
        <w:tc>
          <w:tcPr>
            <w:tcW w:w="1300" w:type="dxa"/>
            <w:vAlign w:val="bottom"/>
            <w:tcBorders>
              <w:bottom w:val="single" w:sz="8" w:color="0000EE"/>
            </w:tcBorders>
            <w:gridSpan w:val="5"/>
          </w:tcPr>
          <w:p>
            <w:pPr>
              <w:spacing w:after="0" w:line="157" w:lineRule="exact"/>
              <w:rPr>
                <w:sz w:val="20"/>
                <w:szCs w:val="20"/>
                <w:color w:val="auto"/>
              </w:rPr>
            </w:pPr>
            <w:r>
              <w:rPr>
                <w:rFonts w:ascii="Times New Roman" w:cs="Times New Roman" w:eastAsia="Times New Roman" w:hAnsi="Times New Roman"/>
                <w:sz w:val="15"/>
                <w:szCs w:val="15"/>
                <w:color w:val="0000EE"/>
                <w:w w:val="97"/>
              </w:rPr>
              <w:t>DIVIDEND POLICY</w:t>
            </w:r>
          </w:p>
        </w:tc>
        <w:tc>
          <w:tcPr>
            <w:tcW w:w="5820" w:type="dxa"/>
            <w:vAlign w:val="bottom"/>
            <w:gridSpan w:val="19"/>
          </w:tcPr>
          <w:p>
            <w:pPr>
              <w:spacing w:after="0"/>
              <w:rPr>
                <w:sz w:val="13"/>
                <w:szCs w:val="13"/>
                <w:color w:val="auto"/>
              </w:rPr>
            </w:pP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S-7</w:t>
            </w:r>
          </w:p>
        </w:tc>
      </w:tr>
      <w:tr>
        <w:trPr>
          <w:trHeight w:val="157"/>
        </w:trPr>
        <w:tc>
          <w:tcPr>
            <w:tcW w:w="1220" w:type="dxa"/>
            <w:vAlign w:val="bottom"/>
            <w:tcBorders>
              <w:bottom w:val="single" w:sz="8" w:color="0000EE"/>
            </w:tcBorders>
            <w:gridSpan w:val="4"/>
          </w:tcPr>
          <w:p>
            <w:pPr>
              <w:spacing w:after="0" w:line="157" w:lineRule="exact"/>
              <w:rPr>
                <w:sz w:val="20"/>
                <w:szCs w:val="20"/>
                <w:color w:val="auto"/>
              </w:rPr>
            </w:pPr>
            <w:r>
              <w:rPr>
                <w:rFonts w:ascii="Times New Roman" w:cs="Times New Roman" w:eastAsia="Times New Roman" w:hAnsi="Times New Roman"/>
                <w:sz w:val="15"/>
                <w:szCs w:val="15"/>
                <w:color w:val="0000EE"/>
                <w:w w:val="96"/>
              </w:rPr>
              <w:t>CAPITALIZATION</w:t>
            </w:r>
          </w:p>
        </w:tc>
        <w:tc>
          <w:tcPr>
            <w:tcW w:w="5900" w:type="dxa"/>
            <w:vAlign w:val="bottom"/>
            <w:gridSpan w:val="20"/>
          </w:tcPr>
          <w:p>
            <w:pPr>
              <w:spacing w:after="0"/>
              <w:rPr>
                <w:sz w:val="13"/>
                <w:szCs w:val="13"/>
                <w:color w:val="auto"/>
              </w:rPr>
            </w:pP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S-7</w:t>
            </w:r>
          </w:p>
        </w:tc>
      </w:tr>
      <w:tr>
        <w:trPr>
          <w:trHeight w:val="157"/>
        </w:trPr>
        <w:tc>
          <w:tcPr>
            <w:tcW w:w="712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DESCRIPTION OF THE COMMON STOCK</w:t>
            </w: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S-9</w:t>
            </w:r>
          </w:p>
        </w:tc>
      </w:tr>
      <w:tr>
        <w:trPr>
          <w:trHeight w:val="157"/>
        </w:trPr>
        <w:tc>
          <w:tcPr>
            <w:tcW w:w="2740" w:type="dxa"/>
            <w:vAlign w:val="bottom"/>
            <w:tcBorders>
              <w:top w:val="single" w:sz="8" w:color="0000EE"/>
            </w:tcBorders>
            <w:gridSpan w:val="18"/>
          </w:tcPr>
          <w:p>
            <w:pPr>
              <w:spacing w:after="0" w:line="157" w:lineRule="exact"/>
              <w:rPr>
                <w:sz w:val="20"/>
                <w:szCs w:val="20"/>
                <w:color w:val="auto"/>
              </w:rPr>
            </w:pPr>
            <w:r>
              <w:rPr>
                <w:rFonts w:ascii="Times New Roman" w:cs="Times New Roman" w:eastAsia="Times New Roman" w:hAnsi="Times New Roman"/>
                <w:sz w:val="15"/>
                <w:szCs w:val="15"/>
                <w:color w:val="0000EE"/>
              </w:rPr>
              <w:t>DILUTION</w:t>
            </w:r>
          </w:p>
        </w:tc>
        <w:tc>
          <w:tcPr>
            <w:tcW w:w="4380" w:type="dxa"/>
            <w:vAlign w:val="bottom"/>
            <w:gridSpan w:val="6"/>
          </w:tcPr>
          <w:p>
            <w:pPr>
              <w:spacing w:after="0"/>
              <w:rPr>
                <w:sz w:val="13"/>
                <w:szCs w:val="13"/>
                <w:color w:val="auto"/>
              </w:rPr>
            </w:pP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S-9</w:t>
            </w:r>
          </w:p>
        </w:tc>
      </w:tr>
      <w:tr>
        <w:trPr>
          <w:trHeight w:val="20"/>
        </w:trPr>
        <w:tc>
          <w:tcPr>
            <w:tcW w:w="7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r>
      <w:tr>
        <w:trPr>
          <w:trHeight w:val="157"/>
        </w:trPr>
        <w:tc>
          <w:tcPr>
            <w:tcW w:w="5520" w:type="dxa"/>
            <w:vAlign w:val="bottom"/>
            <w:tcBorders>
              <w:bottom w:val="single" w:sz="8" w:color="0000EE"/>
            </w:tcBorders>
            <w:gridSpan w:val="23"/>
          </w:tcPr>
          <w:p>
            <w:pPr>
              <w:spacing w:after="0" w:line="157" w:lineRule="exact"/>
              <w:rPr>
                <w:sz w:val="20"/>
                <w:szCs w:val="20"/>
                <w:color w:val="auto"/>
              </w:rPr>
            </w:pPr>
            <w:r>
              <w:rPr>
                <w:rFonts w:ascii="Times New Roman" w:cs="Times New Roman" w:eastAsia="Times New Roman" w:hAnsi="Times New Roman"/>
                <w:sz w:val="15"/>
                <w:szCs w:val="15"/>
                <w:color w:val="0000EE"/>
                <w:w w:val="97"/>
              </w:rPr>
              <w:t>MATERIAL U.S. FEDERAL INCOME TAX CONSEQUENCES TO NON-U.S. HOLDERS</w:t>
            </w:r>
          </w:p>
        </w:tc>
        <w:tc>
          <w:tcPr>
            <w:tcW w:w="1600" w:type="dxa"/>
            <w:vAlign w:val="bottom"/>
          </w:tcPr>
          <w:p>
            <w:pPr>
              <w:spacing w:after="0"/>
              <w:rPr>
                <w:sz w:val="13"/>
                <w:szCs w:val="13"/>
                <w:color w:val="auto"/>
              </w:rPr>
            </w:pP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S-11</w:t>
            </w:r>
          </w:p>
        </w:tc>
      </w:tr>
      <w:tr>
        <w:trPr>
          <w:trHeight w:val="157"/>
        </w:trPr>
        <w:tc>
          <w:tcPr>
            <w:tcW w:w="712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PLAN OF DISTRIBUTION</w:t>
            </w: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S-14</w:t>
            </w:r>
          </w:p>
        </w:tc>
      </w:tr>
      <w:tr>
        <w:trPr>
          <w:trHeight w:val="157"/>
        </w:trPr>
        <w:tc>
          <w:tcPr>
            <w:tcW w:w="1200" w:type="dxa"/>
            <w:vAlign w:val="bottom"/>
            <w:tcBorders>
              <w:top w:val="single" w:sz="8" w:color="0000EE"/>
              <w:bottom w:val="single" w:sz="8" w:color="0000EE"/>
            </w:tcBorders>
            <w:gridSpan w:val="3"/>
          </w:tcPr>
          <w:p>
            <w:pPr>
              <w:spacing w:after="0" w:line="157" w:lineRule="exact"/>
              <w:rPr>
                <w:sz w:val="20"/>
                <w:szCs w:val="20"/>
                <w:color w:val="auto"/>
              </w:rPr>
            </w:pPr>
            <w:r>
              <w:rPr>
                <w:rFonts w:ascii="Times New Roman" w:cs="Times New Roman" w:eastAsia="Times New Roman" w:hAnsi="Times New Roman"/>
                <w:sz w:val="15"/>
                <w:szCs w:val="15"/>
                <w:color w:val="0000EE"/>
                <w:w w:val="95"/>
              </w:rPr>
              <w:t>LEGAL MATTERS</w:t>
            </w:r>
          </w:p>
        </w:tc>
        <w:tc>
          <w:tcPr>
            <w:tcW w:w="480" w:type="dxa"/>
            <w:vAlign w:val="bottom"/>
            <w:tcBorders>
              <w:top w:val="single" w:sz="8" w:color="0000EE"/>
            </w:tcBorders>
            <w:gridSpan w:val="5"/>
          </w:tcPr>
          <w:p>
            <w:pPr>
              <w:spacing w:after="0"/>
              <w:rPr>
                <w:sz w:val="13"/>
                <w:szCs w:val="13"/>
                <w:color w:val="auto"/>
              </w:rPr>
            </w:pPr>
          </w:p>
        </w:tc>
        <w:tc>
          <w:tcPr>
            <w:tcW w:w="5440" w:type="dxa"/>
            <w:vAlign w:val="bottom"/>
            <w:gridSpan w:val="16"/>
          </w:tcPr>
          <w:p>
            <w:pPr>
              <w:spacing w:after="0"/>
              <w:rPr>
                <w:sz w:val="13"/>
                <w:szCs w:val="13"/>
                <w:color w:val="auto"/>
              </w:rPr>
            </w:pP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S-20</w:t>
            </w:r>
          </w:p>
        </w:tc>
      </w:tr>
      <w:tr>
        <w:trPr>
          <w:trHeight w:val="157"/>
        </w:trPr>
        <w:tc>
          <w:tcPr>
            <w:tcW w:w="700" w:type="dxa"/>
            <w:vAlign w:val="bottom"/>
            <w:tcBorders>
              <w:bottom w:val="single" w:sz="8" w:color="0000EE"/>
            </w:tcBorders>
          </w:tcPr>
          <w:p>
            <w:pPr>
              <w:spacing w:after="0" w:line="157" w:lineRule="exact"/>
              <w:rPr>
                <w:sz w:val="20"/>
                <w:szCs w:val="20"/>
                <w:color w:val="auto"/>
              </w:rPr>
            </w:pPr>
            <w:r>
              <w:rPr>
                <w:rFonts w:ascii="Times New Roman" w:cs="Times New Roman" w:eastAsia="Times New Roman" w:hAnsi="Times New Roman"/>
                <w:sz w:val="15"/>
                <w:szCs w:val="15"/>
                <w:color w:val="0000EE"/>
              </w:rPr>
              <w:t>EXPERTS</w:t>
            </w:r>
          </w:p>
        </w:tc>
        <w:tc>
          <w:tcPr>
            <w:tcW w:w="6420" w:type="dxa"/>
            <w:vAlign w:val="bottom"/>
            <w:gridSpan w:val="23"/>
          </w:tcPr>
          <w:p>
            <w:pPr>
              <w:spacing w:after="0"/>
              <w:rPr>
                <w:sz w:val="13"/>
                <w:szCs w:val="13"/>
                <w:color w:val="auto"/>
              </w:rPr>
            </w:pP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S-20</w:t>
            </w:r>
          </w:p>
        </w:tc>
      </w:tr>
      <w:tr>
        <w:trPr>
          <w:trHeight w:val="157"/>
        </w:trPr>
        <w:tc>
          <w:tcPr>
            <w:tcW w:w="712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INCORPORATION OF CERTAIN INFORMATION BY REFERENCE</w:t>
            </w: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S-21</w:t>
            </w:r>
          </w:p>
        </w:tc>
      </w:tr>
      <w:tr>
        <w:trPr>
          <w:trHeight w:val="301"/>
        </w:trPr>
        <w:tc>
          <w:tcPr>
            <w:tcW w:w="7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89"/>
              </w:rPr>
              <w:t>Page</w:t>
            </w:r>
          </w:p>
        </w:tc>
      </w:tr>
      <w:tr>
        <w:trPr>
          <w:trHeight w:val="345"/>
        </w:trPr>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80" w:type="dxa"/>
            <w:vAlign w:val="bottom"/>
            <w:gridSpan w:val="4"/>
          </w:tcPr>
          <w:p>
            <w:pPr>
              <w:jc w:val="center"/>
              <w:ind w:right="1200"/>
              <w:spacing w:after="0"/>
              <w:rPr>
                <w:sz w:val="20"/>
                <w:szCs w:val="20"/>
                <w:color w:val="auto"/>
              </w:rPr>
            </w:pPr>
            <w:r>
              <w:rPr>
                <w:rFonts w:ascii="Times New Roman" w:cs="Times New Roman" w:eastAsia="Times New Roman" w:hAnsi="Times New Roman"/>
                <w:sz w:val="15"/>
                <w:szCs w:val="15"/>
                <w:b w:val="1"/>
                <w:bCs w:val="1"/>
                <w:color w:val="auto"/>
                <w:w w:val="98"/>
              </w:rPr>
              <w:t>PROSPECTUS</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4"/>
        </w:trPr>
        <w:tc>
          <w:tcPr>
            <w:tcW w:w="18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5"/>
                <w:szCs w:val="15"/>
                <w:color w:val="0000EE"/>
                <w:w w:val="97"/>
              </w:rPr>
              <w:t>ABOUT THIS PROSPECTUS</w:t>
            </w:r>
          </w:p>
        </w:tc>
        <w:tc>
          <w:tcPr>
            <w:tcW w:w="5280" w:type="dxa"/>
            <w:vAlign w:val="bottom"/>
            <w:gridSpan w:val="14"/>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ii</w:t>
            </w:r>
          </w:p>
        </w:tc>
      </w:tr>
      <w:tr>
        <w:trPr>
          <w:trHeight w:val="157"/>
        </w:trPr>
        <w:tc>
          <w:tcPr>
            <w:tcW w:w="1720" w:type="dxa"/>
            <w:vAlign w:val="bottom"/>
            <w:tcBorders>
              <w:bottom w:val="single" w:sz="8" w:color="0000EE"/>
            </w:tcBorders>
            <w:gridSpan w:val="9"/>
          </w:tcPr>
          <w:p>
            <w:pPr>
              <w:spacing w:after="0" w:line="157" w:lineRule="exact"/>
              <w:rPr>
                <w:sz w:val="20"/>
                <w:szCs w:val="20"/>
                <w:color w:val="auto"/>
              </w:rPr>
            </w:pPr>
            <w:r>
              <w:rPr>
                <w:rFonts w:ascii="Times New Roman" w:cs="Times New Roman" w:eastAsia="Times New Roman" w:hAnsi="Times New Roman"/>
                <w:sz w:val="15"/>
                <w:szCs w:val="15"/>
                <w:color w:val="0000EE"/>
                <w:w w:val="97"/>
              </w:rPr>
              <w:t>PROSPECTUS SUMMARY</w:t>
            </w:r>
          </w:p>
        </w:tc>
        <w:tc>
          <w:tcPr>
            <w:tcW w:w="5400" w:type="dxa"/>
            <w:vAlign w:val="bottom"/>
            <w:gridSpan w:val="15"/>
          </w:tcPr>
          <w:p>
            <w:pPr>
              <w:spacing w:after="0"/>
              <w:rPr>
                <w:sz w:val="13"/>
                <w:szCs w:val="13"/>
                <w:color w:val="auto"/>
              </w:rPr>
            </w:pP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w:t>
            </w:r>
          </w:p>
        </w:tc>
      </w:tr>
      <w:tr>
        <w:trPr>
          <w:trHeight w:val="157"/>
        </w:trPr>
        <w:tc>
          <w:tcPr>
            <w:tcW w:w="712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RISK FACTORS</w:t>
            </w: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6</w:t>
            </w: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r>
      <w:tr>
        <w:trPr>
          <w:trHeight w:val="157"/>
        </w:trPr>
        <w:tc>
          <w:tcPr>
            <w:tcW w:w="712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FORWARD-LOOKING STATEMENTS</w:t>
            </w: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7</w:t>
            </w:r>
          </w:p>
        </w:tc>
      </w:tr>
      <w:tr>
        <w:trPr>
          <w:trHeight w:val="157"/>
        </w:trPr>
        <w:tc>
          <w:tcPr>
            <w:tcW w:w="1320" w:type="dxa"/>
            <w:vAlign w:val="bottom"/>
            <w:tcBorders>
              <w:top w:val="single" w:sz="8" w:color="0000EE"/>
              <w:bottom w:val="single" w:sz="8" w:color="0000EE"/>
            </w:tcBorders>
            <w:gridSpan w:val="6"/>
          </w:tcPr>
          <w:p>
            <w:pPr>
              <w:spacing w:after="0" w:line="157" w:lineRule="exact"/>
              <w:rPr>
                <w:sz w:val="20"/>
                <w:szCs w:val="20"/>
                <w:color w:val="auto"/>
              </w:rPr>
            </w:pPr>
            <w:r>
              <w:rPr>
                <w:rFonts w:ascii="Times New Roman" w:cs="Times New Roman" w:eastAsia="Times New Roman" w:hAnsi="Times New Roman"/>
                <w:sz w:val="15"/>
                <w:szCs w:val="15"/>
                <w:color w:val="0000EE"/>
                <w:w w:val="98"/>
              </w:rPr>
              <w:t>USE OF PROCEEDS</w:t>
            </w:r>
          </w:p>
        </w:tc>
        <w:tc>
          <w:tcPr>
            <w:tcW w:w="1080" w:type="dxa"/>
            <w:vAlign w:val="bottom"/>
            <w:tcBorders>
              <w:top w:val="single" w:sz="8" w:color="0000EE"/>
            </w:tcBorders>
            <w:gridSpan w:val="9"/>
          </w:tcPr>
          <w:p>
            <w:pPr>
              <w:spacing w:after="0"/>
              <w:rPr>
                <w:sz w:val="13"/>
                <w:szCs w:val="13"/>
                <w:color w:val="auto"/>
              </w:rPr>
            </w:pPr>
          </w:p>
        </w:tc>
        <w:tc>
          <w:tcPr>
            <w:tcW w:w="4720" w:type="dxa"/>
            <w:vAlign w:val="bottom"/>
            <w:gridSpan w:val="9"/>
          </w:tcPr>
          <w:p>
            <w:pPr>
              <w:spacing w:after="0"/>
              <w:rPr>
                <w:sz w:val="13"/>
                <w:szCs w:val="13"/>
                <w:color w:val="auto"/>
              </w:rPr>
            </w:pP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10</w:t>
            </w:r>
          </w:p>
        </w:tc>
      </w:tr>
      <w:tr>
        <w:trPr>
          <w:trHeight w:val="157"/>
        </w:trPr>
        <w:tc>
          <w:tcPr>
            <w:tcW w:w="2360" w:type="dxa"/>
            <w:vAlign w:val="bottom"/>
            <w:tcBorders>
              <w:bottom w:val="single" w:sz="8" w:color="0000EE"/>
            </w:tcBorders>
            <w:gridSpan w:val="14"/>
          </w:tcPr>
          <w:p>
            <w:pPr>
              <w:spacing w:after="0" w:line="157" w:lineRule="exact"/>
              <w:rPr>
                <w:sz w:val="20"/>
                <w:szCs w:val="20"/>
                <w:color w:val="auto"/>
              </w:rPr>
            </w:pPr>
            <w:r>
              <w:rPr>
                <w:rFonts w:ascii="Times New Roman" w:cs="Times New Roman" w:eastAsia="Times New Roman" w:hAnsi="Times New Roman"/>
                <w:sz w:val="15"/>
                <w:szCs w:val="15"/>
                <w:color w:val="0000EE"/>
                <w:w w:val="97"/>
              </w:rPr>
              <w:t>DESCRIPTION OF CAPITAL STOCK</w:t>
            </w:r>
          </w:p>
        </w:tc>
        <w:tc>
          <w:tcPr>
            <w:tcW w:w="4760" w:type="dxa"/>
            <w:vAlign w:val="bottom"/>
            <w:gridSpan w:val="10"/>
          </w:tcPr>
          <w:p>
            <w:pPr>
              <w:spacing w:after="0"/>
              <w:rPr>
                <w:sz w:val="13"/>
                <w:szCs w:val="13"/>
                <w:color w:val="auto"/>
              </w:rPr>
            </w:pP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10</w:t>
            </w:r>
          </w:p>
        </w:tc>
      </w:tr>
      <w:tr>
        <w:trPr>
          <w:trHeight w:val="157"/>
        </w:trPr>
        <w:tc>
          <w:tcPr>
            <w:tcW w:w="712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DESCRIPTION OF DEBT SECURITIES</w:t>
            </w: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11</w:t>
            </w:r>
          </w:p>
        </w:tc>
      </w:tr>
      <w:tr>
        <w:trPr>
          <w:trHeight w:val="157"/>
        </w:trPr>
        <w:tc>
          <w:tcPr>
            <w:tcW w:w="2040" w:type="dxa"/>
            <w:vAlign w:val="bottom"/>
            <w:tcBorders>
              <w:top w:val="single" w:sz="8" w:color="0000EE"/>
              <w:bottom w:val="single" w:sz="8" w:color="0000EE"/>
            </w:tcBorders>
            <w:gridSpan w:val="11"/>
          </w:tcPr>
          <w:p>
            <w:pPr>
              <w:spacing w:after="0" w:line="157" w:lineRule="exact"/>
              <w:rPr>
                <w:sz w:val="20"/>
                <w:szCs w:val="20"/>
                <w:color w:val="auto"/>
              </w:rPr>
            </w:pPr>
            <w:r>
              <w:rPr>
                <w:rFonts w:ascii="Times New Roman" w:cs="Times New Roman" w:eastAsia="Times New Roman" w:hAnsi="Times New Roman"/>
                <w:sz w:val="15"/>
                <w:szCs w:val="15"/>
                <w:color w:val="0000EE"/>
                <w:w w:val="96"/>
              </w:rPr>
              <w:t>DESCRIPTION OF WARRANTS</w:t>
            </w:r>
          </w:p>
        </w:tc>
        <w:tc>
          <w:tcPr>
            <w:tcW w:w="440" w:type="dxa"/>
            <w:vAlign w:val="bottom"/>
            <w:tcBorders>
              <w:top w:val="single" w:sz="8" w:color="0000EE"/>
            </w:tcBorders>
            <w:gridSpan w:val="5"/>
          </w:tcPr>
          <w:p>
            <w:pPr>
              <w:spacing w:after="0"/>
              <w:rPr>
                <w:sz w:val="13"/>
                <w:szCs w:val="13"/>
                <w:color w:val="auto"/>
              </w:rPr>
            </w:pPr>
          </w:p>
        </w:tc>
        <w:tc>
          <w:tcPr>
            <w:tcW w:w="4640" w:type="dxa"/>
            <w:vAlign w:val="bottom"/>
            <w:gridSpan w:val="8"/>
          </w:tcPr>
          <w:p>
            <w:pPr>
              <w:spacing w:after="0"/>
              <w:rPr>
                <w:sz w:val="13"/>
                <w:szCs w:val="13"/>
                <w:color w:val="auto"/>
              </w:rPr>
            </w:pP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19</w:t>
            </w:r>
          </w:p>
        </w:tc>
      </w:tr>
      <w:tr>
        <w:trPr>
          <w:trHeight w:val="157"/>
        </w:trPr>
        <w:tc>
          <w:tcPr>
            <w:tcW w:w="712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DESCRIPTION OF UNITS</w:t>
            </w: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20</w:t>
            </w:r>
          </w:p>
        </w:tc>
      </w:tr>
      <w:tr>
        <w:trPr>
          <w:trHeight w:val="20"/>
        </w:trPr>
        <w:tc>
          <w:tcPr>
            <w:tcW w:w="166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r>
      <w:tr>
        <w:trPr>
          <w:trHeight w:val="157"/>
        </w:trPr>
        <w:tc>
          <w:tcPr>
            <w:tcW w:w="7120" w:type="dxa"/>
            <w:vAlign w:val="bottom"/>
            <w:gridSpan w:val="24"/>
          </w:tcPr>
          <w:p>
            <w:pPr>
              <w:spacing w:after="0" w:line="157" w:lineRule="exact"/>
              <w:rPr>
                <w:sz w:val="20"/>
                <w:szCs w:val="20"/>
                <w:color w:val="auto"/>
              </w:rPr>
            </w:pPr>
            <w:r>
              <w:rPr>
                <w:rFonts w:ascii="Times New Roman" w:cs="Times New Roman" w:eastAsia="Times New Roman" w:hAnsi="Times New Roman"/>
                <w:sz w:val="15"/>
                <w:szCs w:val="15"/>
                <w:color w:val="0000EE"/>
              </w:rPr>
              <w:t>PLAN OF DISTRIBUTION</w:t>
            </w: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21</w:t>
            </w:r>
          </w:p>
        </w:tc>
      </w:tr>
      <w:tr>
        <w:trPr>
          <w:trHeight w:val="20"/>
        </w:trPr>
        <w:tc>
          <w:tcPr>
            <w:tcW w:w="1680" w:type="dxa"/>
            <w:vAlign w:val="bottom"/>
            <w:gridSpan w:val="8"/>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r>
      <w:tr>
        <w:trPr>
          <w:trHeight w:val="157"/>
        </w:trPr>
        <w:tc>
          <w:tcPr>
            <w:tcW w:w="2120" w:type="dxa"/>
            <w:vAlign w:val="bottom"/>
            <w:tcBorders>
              <w:bottom w:val="single" w:sz="8" w:color="0000EE"/>
            </w:tcBorders>
            <w:gridSpan w:val="12"/>
          </w:tcPr>
          <w:p>
            <w:pPr>
              <w:spacing w:after="0" w:line="157" w:lineRule="exact"/>
              <w:rPr>
                <w:sz w:val="20"/>
                <w:szCs w:val="20"/>
                <w:color w:val="auto"/>
              </w:rPr>
            </w:pPr>
            <w:r>
              <w:rPr>
                <w:rFonts w:ascii="Times New Roman" w:cs="Times New Roman" w:eastAsia="Times New Roman" w:hAnsi="Times New Roman"/>
                <w:sz w:val="15"/>
                <w:szCs w:val="15"/>
                <w:color w:val="0000EE"/>
                <w:w w:val="97"/>
              </w:rPr>
              <w:t>VALIDITY OF THE SECURITIES</w:t>
            </w:r>
          </w:p>
        </w:tc>
        <w:tc>
          <w:tcPr>
            <w:tcW w:w="5000" w:type="dxa"/>
            <w:vAlign w:val="bottom"/>
            <w:gridSpan w:val="12"/>
          </w:tcPr>
          <w:p>
            <w:pPr>
              <w:spacing w:after="0"/>
              <w:rPr>
                <w:sz w:val="13"/>
                <w:szCs w:val="13"/>
                <w:color w:val="auto"/>
              </w:rPr>
            </w:pP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23</w:t>
            </w:r>
          </w:p>
        </w:tc>
      </w:tr>
      <w:tr>
        <w:trPr>
          <w:trHeight w:val="157"/>
        </w:trPr>
        <w:tc>
          <w:tcPr>
            <w:tcW w:w="700" w:type="dxa"/>
            <w:vAlign w:val="bottom"/>
            <w:tcBorders>
              <w:bottom w:val="single" w:sz="8" w:color="0000EE"/>
            </w:tcBorders>
          </w:tcPr>
          <w:p>
            <w:pPr>
              <w:spacing w:after="0" w:line="157" w:lineRule="exact"/>
              <w:rPr>
                <w:sz w:val="20"/>
                <w:szCs w:val="20"/>
                <w:color w:val="auto"/>
              </w:rPr>
            </w:pPr>
            <w:r>
              <w:rPr>
                <w:rFonts w:ascii="Times New Roman" w:cs="Times New Roman" w:eastAsia="Times New Roman" w:hAnsi="Times New Roman"/>
                <w:sz w:val="15"/>
                <w:szCs w:val="15"/>
                <w:color w:val="0000EE"/>
              </w:rPr>
              <w:t>EXPERTS</w:t>
            </w:r>
          </w:p>
        </w:tc>
        <w:tc>
          <w:tcPr>
            <w:tcW w:w="6420" w:type="dxa"/>
            <w:vAlign w:val="bottom"/>
            <w:gridSpan w:val="23"/>
          </w:tcPr>
          <w:p>
            <w:pPr>
              <w:spacing w:after="0"/>
              <w:rPr>
                <w:sz w:val="13"/>
                <w:szCs w:val="13"/>
                <w:color w:val="auto"/>
              </w:rPr>
            </w:pP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24</w:t>
            </w:r>
          </w:p>
        </w:tc>
      </w:tr>
      <w:tr>
        <w:trPr>
          <w:trHeight w:val="157"/>
        </w:trPr>
        <w:tc>
          <w:tcPr>
            <w:tcW w:w="3140" w:type="dxa"/>
            <w:vAlign w:val="bottom"/>
            <w:tcBorders>
              <w:bottom w:val="single" w:sz="8" w:color="0000EE"/>
            </w:tcBorders>
            <w:gridSpan w:val="20"/>
          </w:tcPr>
          <w:p>
            <w:pPr>
              <w:spacing w:after="0" w:line="157" w:lineRule="exact"/>
              <w:rPr>
                <w:sz w:val="20"/>
                <w:szCs w:val="20"/>
                <w:color w:val="auto"/>
              </w:rPr>
            </w:pPr>
            <w:r>
              <w:rPr>
                <w:rFonts w:ascii="Times New Roman" w:cs="Times New Roman" w:eastAsia="Times New Roman" w:hAnsi="Times New Roman"/>
                <w:sz w:val="15"/>
                <w:szCs w:val="15"/>
                <w:color w:val="0000EE"/>
                <w:w w:val="97"/>
              </w:rPr>
              <w:t>WHERE YOU CAN FIND MORE INFORMATION</w:t>
            </w:r>
          </w:p>
        </w:tc>
        <w:tc>
          <w:tcPr>
            <w:tcW w:w="3980" w:type="dxa"/>
            <w:vAlign w:val="bottom"/>
            <w:gridSpan w:val="4"/>
          </w:tcPr>
          <w:p>
            <w:pPr>
              <w:spacing w:after="0"/>
              <w:rPr>
                <w:sz w:val="13"/>
                <w:szCs w:val="13"/>
                <w:color w:val="auto"/>
              </w:rPr>
            </w:pP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25</w:t>
            </w:r>
          </w:p>
        </w:tc>
      </w:tr>
      <w:tr>
        <w:trPr>
          <w:trHeight w:val="157"/>
        </w:trPr>
        <w:tc>
          <w:tcPr>
            <w:tcW w:w="2320" w:type="dxa"/>
            <w:vAlign w:val="bottom"/>
            <w:tcBorders>
              <w:bottom w:val="single" w:sz="8" w:color="0000EE"/>
            </w:tcBorders>
            <w:gridSpan w:val="13"/>
          </w:tcPr>
          <w:p>
            <w:pPr>
              <w:spacing w:after="0" w:line="157" w:lineRule="exact"/>
              <w:rPr>
                <w:sz w:val="20"/>
                <w:szCs w:val="20"/>
                <w:color w:val="auto"/>
              </w:rPr>
            </w:pPr>
            <w:r>
              <w:rPr>
                <w:rFonts w:ascii="Times New Roman" w:cs="Times New Roman" w:eastAsia="Times New Roman" w:hAnsi="Times New Roman"/>
                <w:sz w:val="15"/>
                <w:szCs w:val="15"/>
                <w:color w:val="0000EE"/>
                <w:w w:val="97"/>
              </w:rPr>
              <w:t>INCORPORATION BY REFERENCE</w:t>
            </w:r>
          </w:p>
        </w:tc>
        <w:tc>
          <w:tcPr>
            <w:tcW w:w="4800" w:type="dxa"/>
            <w:vAlign w:val="bottom"/>
            <w:gridSpan w:val="11"/>
          </w:tcPr>
          <w:p>
            <w:pPr>
              <w:spacing w:after="0"/>
              <w:rPr>
                <w:sz w:val="13"/>
                <w:szCs w:val="13"/>
                <w:color w:val="auto"/>
              </w:rPr>
            </w:pPr>
          </w:p>
        </w:tc>
        <w:tc>
          <w:tcPr>
            <w:tcW w:w="19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5"/>
                <w:szCs w:val="15"/>
                <w:color w:val="auto"/>
              </w:rPr>
              <w:t>26</w:t>
            </w:r>
          </w:p>
        </w:tc>
      </w:tr>
    </w:tbl>
    <w:p>
      <w:pPr>
        <w:spacing w:after="0" w:line="12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color w:val="auto"/>
        </w:rPr>
        <w:t>S-i</w:t>
      </w:r>
    </w:p>
    <w:p>
      <w:pPr>
        <w:sectPr>
          <w:pgSz w:w="11900" w:h="16838" w:orient="portrait"/>
          <w:cols w:equalWidth="0" w:num="1">
            <w:col w:w="10160"/>
          </w:cols>
          <w:pgMar w:left="300" w:top="400" w:right="1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ABOUT THIS PROSPECTUS SUPPLEMENT</w:t>
      </w:r>
    </w:p>
    <w:p>
      <w:pPr>
        <w:spacing w:after="0" w:line="184" w:lineRule="exact"/>
        <w:rPr>
          <w:sz w:val="20"/>
          <w:szCs w:val="20"/>
          <w:color w:val="auto"/>
        </w:rPr>
      </w:pPr>
    </w:p>
    <w:p>
      <w:pPr>
        <w:ind w:left="1120" w:firstLine="362"/>
        <w:spacing w:after="0" w:line="250" w:lineRule="auto"/>
        <w:rPr>
          <w:sz w:val="20"/>
          <w:szCs w:val="20"/>
          <w:color w:val="auto"/>
        </w:rPr>
      </w:pPr>
      <w:r>
        <w:rPr>
          <w:rFonts w:ascii="Times New Roman" w:cs="Times New Roman" w:eastAsia="Times New Roman" w:hAnsi="Times New Roman"/>
          <w:sz w:val="15"/>
          <w:szCs w:val="15"/>
          <w:color w:val="auto"/>
        </w:rPr>
        <w:t>This document is in two parts. The first part is this prospectus supplement, which describes the terms of this offering of our Common Stock and also adds to and updates information contained in the accompanying prospectus and the documents incorporated by reference into this prospectus supplement and the accompanying prospectus. The second part consists of a prospectus dated July 3, 2025, included in the registration statement on Form S-3 (No. 333-288361). Since the accompanying prospectus provides general information about us, some of the information may not apply to this offering. This prospectus supplement describes the specific details regarding this offering. Generally, when we refer to the “prospectus,” we are referring to both parts of this document. Additional information is incorporated by reference in this prospectus supplement. If information in this prospectus supplement is inconsistent with the accompanying prospectus, you should rely on this prospectus supplement. You should read this prospectus supplement, the accompanying prospectus and any information incorporated by reference before you make any investment decision.</w:t>
      </w:r>
    </w:p>
    <w:p>
      <w:pPr>
        <w:spacing w:after="0" w:line="158" w:lineRule="exact"/>
        <w:rPr>
          <w:sz w:val="20"/>
          <w:szCs w:val="20"/>
          <w:color w:val="auto"/>
        </w:rPr>
      </w:pPr>
    </w:p>
    <w:p>
      <w:pPr>
        <w:ind w:left="1120" w:right="40" w:firstLine="362"/>
        <w:spacing w:after="0" w:line="252" w:lineRule="auto"/>
        <w:rPr>
          <w:sz w:val="20"/>
          <w:szCs w:val="20"/>
          <w:color w:val="auto"/>
        </w:rPr>
      </w:pPr>
      <w:r>
        <w:rPr>
          <w:rFonts w:ascii="Times New Roman" w:cs="Times New Roman" w:eastAsia="Times New Roman" w:hAnsi="Times New Roman"/>
          <w:sz w:val="15"/>
          <w:szCs w:val="15"/>
          <w:color w:val="auto"/>
        </w:rPr>
        <w:t>Neither we nor the Sales Agents are making an offer to sell the Common Stock in jurisdictions where the offer or sale is not permitted. The distribution of this prospectus supplement and the accompanying prospectus and the offer and sale of our Common Stock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 offer of, or an invitation to purchase, any shares of Common Stock in any jurisdiction in which such offer or invitation would be unlawful.</w:t>
      </w:r>
    </w:p>
    <w:p>
      <w:pPr>
        <w:spacing w:after="0" w:line="153" w:lineRule="exact"/>
        <w:rPr>
          <w:sz w:val="20"/>
          <w:szCs w:val="20"/>
          <w:color w:val="auto"/>
        </w:rPr>
      </w:pPr>
    </w:p>
    <w:p>
      <w:pPr>
        <w:ind w:left="1120" w:firstLine="362"/>
        <w:spacing w:after="0" w:line="276" w:lineRule="auto"/>
        <w:rPr>
          <w:sz w:val="20"/>
          <w:szCs w:val="20"/>
          <w:color w:val="auto"/>
        </w:rPr>
      </w:pPr>
      <w:r>
        <w:rPr>
          <w:rFonts w:ascii="Times New Roman" w:cs="Times New Roman" w:eastAsia="Times New Roman" w:hAnsi="Times New Roman"/>
          <w:sz w:val="14"/>
          <w:szCs w:val="14"/>
          <w:b w:val="1"/>
          <w:bCs w:val="1"/>
          <w:color w:val="auto"/>
        </w:rPr>
        <w:t>You should rely only on information contained in this prospectus supplement, the accompanying prospectus and the documents we incorporate by reference in this prospectus supplement. We have not authorized anyone to provide you with information that is different from that contained in this prospectus supplement. We are not offering to sell or seeking offers to buy shares of Common Stock in jurisdictions where offers and sales are not permitted. The information contained in this prospectus supplement and the accompanying prospectus supplement is accurate only as of their respective dates, regardless of the time of delivery of this prospectus supplement or of any sale of our Common Stock.</w:t>
      </w:r>
    </w:p>
    <w:p>
      <w:pPr>
        <w:spacing w:after="0" w:line="140" w:lineRule="exact"/>
        <w:rPr>
          <w:sz w:val="20"/>
          <w:szCs w:val="20"/>
          <w:color w:val="auto"/>
        </w:rPr>
      </w:pPr>
    </w:p>
    <w:p>
      <w:pPr>
        <w:ind w:left="1120" w:right="120" w:firstLine="362"/>
        <w:spacing w:after="0" w:line="273" w:lineRule="auto"/>
        <w:rPr>
          <w:sz w:val="20"/>
          <w:szCs w:val="20"/>
          <w:color w:val="auto"/>
        </w:rPr>
      </w:pPr>
      <w:r>
        <w:rPr>
          <w:rFonts w:ascii="Times New Roman" w:cs="Times New Roman" w:eastAsia="Times New Roman" w:hAnsi="Times New Roman"/>
          <w:sz w:val="15"/>
          <w:szCs w:val="15"/>
          <w:color w:val="auto"/>
        </w:rPr>
        <w:t>Unless otherwise mentioned or unless the context requires otherwise, all references in this prospectus supplement to the “Company,” “we,” “us,” “our” and “Bakkt” refer to Bakkt Holdings, Inc., a Delaware corporation, and its consolidated subsidiaries.</w:t>
      </w:r>
    </w:p>
    <w:p>
      <w:pPr>
        <w:spacing w:after="0" w:line="140" w:lineRule="exact"/>
        <w:rPr>
          <w:sz w:val="20"/>
          <w:szCs w:val="20"/>
          <w:color w:val="auto"/>
        </w:rPr>
      </w:pPr>
    </w:p>
    <w:p>
      <w:pPr>
        <w:ind w:left="1120" w:right="60" w:firstLine="362"/>
        <w:spacing w:after="0" w:line="253" w:lineRule="auto"/>
        <w:rPr>
          <w:sz w:val="20"/>
          <w:szCs w:val="20"/>
          <w:color w:val="auto"/>
        </w:rPr>
      </w:pPr>
      <w:r>
        <w:rPr>
          <w:rFonts w:ascii="Times New Roman" w:cs="Times New Roman" w:eastAsia="Times New Roman" w:hAnsi="Times New Roman"/>
          <w:sz w:val="15"/>
          <w:szCs w:val="15"/>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the section entitled “Incorporation of Certain Information by Reference.”</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S-ii</w:t>
      </w:r>
    </w:p>
    <w:p>
      <w:pPr>
        <w:sectPr>
          <w:pgSz w:w="11900" w:h="16838" w:orient="portrait"/>
          <w:cols w:equalWidth="0" w:num="1">
            <w:col w:w="10160"/>
          </w:cols>
          <w:pgMar w:left="300" w:top="400" w:right="1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5"/>
          <w:szCs w:val="15"/>
          <w:b w:val="1"/>
          <w:bCs w:val="1"/>
          <w:color w:val="auto"/>
        </w:rPr>
        <w:t>CAUTIONARY STATEMENT REGARDING FORWARD-LOOKING INFORMATION</w:t>
      </w:r>
    </w:p>
    <w:p>
      <w:pPr>
        <w:spacing w:after="0" w:line="184" w:lineRule="exact"/>
        <w:rPr>
          <w:sz w:val="20"/>
          <w:szCs w:val="20"/>
          <w:color w:val="auto"/>
        </w:rPr>
      </w:pPr>
    </w:p>
    <w:p>
      <w:pPr>
        <w:ind w:left="1120" w:right="79" w:firstLine="362"/>
        <w:spacing w:after="0" w:line="249" w:lineRule="auto"/>
        <w:rPr>
          <w:sz w:val="20"/>
          <w:szCs w:val="20"/>
          <w:color w:val="auto"/>
        </w:rPr>
      </w:pPr>
      <w:r>
        <w:rPr>
          <w:rFonts w:ascii="Times New Roman" w:cs="Times New Roman" w:eastAsia="Times New Roman" w:hAnsi="Times New Roman"/>
          <w:sz w:val="15"/>
          <w:szCs w:val="15"/>
          <w:color w:val="auto"/>
        </w:rPr>
        <w:t>This prospectus supplement and the accompanying prospectus, including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that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supplement and the accompanying prospectus may include, for example, statements about:</w:t>
      </w:r>
    </w:p>
    <w:p>
      <w:pPr>
        <w:spacing w:after="0" w:line="83" w:lineRule="exact"/>
        <w:rPr>
          <w:sz w:val="20"/>
          <w:szCs w:val="20"/>
          <w:color w:val="auto"/>
        </w:rPr>
      </w:pPr>
    </w:p>
    <w:p>
      <w:pPr>
        <w:ind w:left="1920" w:hanging="354"/>
        <w:spacing w:after="0"/>
        <w:tabs>
          <w:tab w:leader="none" w:pos="19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offering of shares of Common Stock;</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financial performance and operating results;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market for our products and services;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growth of the digital asset industry and the regulatory environment for digital assets;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impacts from the adoption of our investment policy (“Investment Policy”) and related digital asset treasury strategy; and</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expansion plans, strategic initiatives and opportunities.</w:t>
      </w:r>
    </w:p>
    <w:p>
      <w:pPr>
        <w:spacing w:after="0" w:line="182" w:lineRule="exact"/>
        <w:rPr>
          <w:sz w:val="20"/>
          <w:szCs w:val="20"/>
          <w:color w:val="auto"/>
        </w:rPr>
      </w:pPr>
    </w:p>
    <w:p>
      <w:pPr>
        <w:ind w:left="1120" w:right="179" w:firstLine="362"/>
        <w:spacing w:after="0" w:line="253" w:lineRule="auto"/>
        <w:rPr>
          <w:sz w:val="20"/>
          <w:szCs w:val="20"/>
          <w:color w:val="auto"/>
        </w:rPr>
      </w:pPr>
      <w:r>
        <w:rPr>
          <w:rFonts w:ascii="Times New Roman" w:cs="Times New Roman" w:eastAsia="Times New Roman" w:hAnsi="Times New Roman"/>
          <w:sz w:val="15"/>
          <w:szCs w:val="15"/>
          <w:color w:val="auto"/>
        </w:rPr>
        <w:t>These forward-looking statements are based on information available as of the date they were made and reflect management’s expectations, forecasts and assumptions as of such date,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55" w:lineRule="exact"/>
        <w:rPr>
          <w:sz w:val="20"/>
          <w:szCs w:val="20"/>
          <w:color w:val="auto"/>
        </w:rPr>
      </w:pPr>
    </w:p>
    <w:p>
      <w:pPr>
        <w:jc w:val="both"/>
        <w:ind w:left="1120" w:right="279" w:firstLine="362"/>
        <w:spacing w:after="0" w:line="287" w:lineRule="auto"/>
        <w:rPr>
          <w:sz w:val="20"/>
          <w:szCs w:val="20"/>
          <w:color w:val="auto"/>
        </w:rPr>
      </w:pPr>
      <w:r>
        <w:rPr>
          <w:rFonts w:ascii="Times New Roman" w:cs="Times New Roman" w:eastAsia="Times New Roman" w:hAnsi="Times New Roman"/>
          <w:sz w:val="14"/>
          <w:szCs w:val="14"/>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54" w:lineRule="exact"/>
        <w:rPr>
          <w:sz w:val="20"/>
          <w:szCs w:val="20"/>
          <w:color w:val="auto"/>
        </w:rPr>
      </w:pPr>
    </w:p>
    <w:p>
      <w:pPr>
        <w:ind w:left="1920" w:hanging="354"/>
        <w:spacing w:after="0"/>
        <w:tabs>
          <w:tab w:leader="none" w:pos="19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grow and manage growth profitably;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complete our acquisition of Distributed Technologies Research Global Ltd. (“DTR”);</w:t>
      </w:r>
    </w:p>
    <w:p>
      <w:pPr>
        <w:spacing w:after="0" w:line="104" w:lineRule="exact"/>
        <w:rPr>
          <w:rFonts w:ascii="Times New Roman" w:cs="Times New Roman" w:eastAsia="Times New Roman" w:hAnsi="Times New Roman"/>
          <w:sz w:val="15"/>
          <w:szCs w:val="15"/>
          <w:color w:val="auto"/>
        </w:rPr>
      </w:pPr>
    </w:p>
    <w:p>
      <w:pPr>
        <w:ind w:left="1920" w:right="139" w:hanging="354"/>
        <w:spacing w:after="0" w:line="273" w:lineRule="auto"/>
        <w:tabs>
          <w:tab w:leader="none" w:pos="19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we will be able to successfully integrate our operations with those of DTR, including its infrastructure, and achieve the expected benefits therefrom;</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regulatory environment for digital assets and digital stablecoin payments;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business strategy;</w:t>
      </w:r>
    </w:p>
    <w:p>
      <w:pPr>
        <w:spacing w:after="0" w:line="104" w:lineRule="exact"/>
        <w:rPr>
          <w:rFonts w:ascii="Times New Roman" w:cs="Times New Roman" w:eastAsia="Times New Roman" w:hAnsi="Times New Roman"/>
          <w:sz w:val="15"/>
          <w:szCs w:val="15"/>
          <w:color w:val="auto"/>
        </w:rPr>
      </w:pPr>
    </w:p>
    <w:p>
      <w:pPr>
        <w:ind w:left="1920" w:right="39" w:hanging="354"/>
        <w:spacing w:after="0" w:line="273" w:lineRule="auto"/>
        <w:tabs>
          <w:tab w:leader="none" w:pos="19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adoption of the updated Investment Policy and related treasury strategy, including our ability to successfully consummate acquisitions, integrate or manage investments in potential acquisition targets and investees;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of digital assets, including Bitcoin;</w:t>
      </w:r>
    </w:p>
    <w:p>
      <w:pPr>
        <w:spacing w:after="0" w:line="1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S-iii</w:t>
      </w:r>
    </w:p>
    <w:p>
      <w:pPr>
        <w:sectPr>
          <w:pgSz w:w="11900" w:h="16838" w:orient="portrait"/>
          <w:cols w:equalWidth="0" w:num="1">
            <w:col w:w="10159"/>
          </w:cols>
          <w:pgMar w:left="300" w:top="40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920" w:right="239" w:hanging="354"/>
        <w:spacing w:after="0" w:line="260" w:lineRule="auto"/>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fluctuation of our operating results, including because we may be required to account for its digital assets at fair value;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time the price of our purchase of digital assets pursuant to our strategy;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the market value of digital assets on our ability to satisfy our financial obligations, including any debt financings;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unrealized fair value gains on its digital asset holdings subjecting us to the corporate alternative minimum tax;</w:t>
      </w:r>
    </w:p>
    <w:p>
      <w:pPr>
        <w:spacing w:after="0" w:line="104" w:lineRule="exact"/>
        <w:rPr>
          <w:rFonts w:ascii="Times New Roman" w:cs="Times New Roman" w:eastAsia="Times New Roman" w:hAnsi="Times New Roman"/>
          <w:sz w:val="15"/>
          <w:szCs w:val="15"/>
          <w:color w:val="auto"/>
        </w:rPr>
      </w:pPr>
    </w:p>
    <w:p>
      <w:pPr>
        <w:ind w:left="1920" w:right="79" w:hanging="354"/>
        <w:spacing w:after="0" w:line="287" w:lineRule="auto"/>
        <w:tabs>
          <w:tab w:leader="none" w:pos="1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w:t>
      </w:r>
    </w:p>
    <w:p>
      <w:pPr>
        <w:spacing w:after="0" w:line="54" w:lineRule="exact"/>
        <w:rPr>
          <w:rFonts w:ascii="Times New Roman" w:cs="Times New Roman" w:eastAsia="Times New Roman" w:hAnsi="Times New Roman"/>
          <w:sz w:val="14"/>
          <w:szCs w:val="14"/>
          <w:color w:val="auto"/>
        </w:rPr>
      </w:pPr>
    </w:p>
    <w:p>
      <w:pPr>
        <w:ind w:left="1920" w:hanging="354"/>
        <w:spacing w:after="0"/>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by other Bitcoin treasury companies and the availability of spot-traded products for Bitcoin;</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enhanced regulatory oversight as a result of our Investment Policy and related treasury strategy;</w:t>
      </w:r>
    </w:p>
    <w:p>
      <w:pPr>
        <w:spacing w:after="0" w:line="104" w:lineRule="exact"/>
        <w:rPr>
          <w:rFonts w:ascii="Times New Roman" w:cs="Times New Roman" w:eastAsia="Times New Roman" w:hAnsi="Times New Roman"/>
          <w:sz w:val="15"/>
          <w:szCs w:val="15"/>
          <w:color w:val="auto"/>
        </w:rPr>
      </w:pPr>
    </w:p>
    <w:p>
      <w:pPr>
        <w:ind w:left="1920" w:right="139" w:hanging="354"/>
        <w:spacing w:after="0" w:line="260" w:lineRule="auto"/>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concentration of our expected digital asset holdings relative to non-digital assets;</w:t>
      </w:r>
    </w:p>
    <w:p>
      <w:pPr>
        <w:spacing w:after="0" w:line="104" w:lineRule="exact"/>
        <w:rPr>
          <w:rFonts w:ascii="Times New Roman" w:cs="Times New Roman" w:eastAsia="Times New Roman" w:hAnsi="Times New Roman"/>
          <w:sz w:val="15"/>
          <w:szCs w:val="15"/>
          <w:color w:val="auto"/>
        </w:rPr>
      </w:pPr>
    </w:p>
    <w:p>
      <w:pPr>
        <w:ind w:left="1920" w:right="159" w:hanging="354"/>
        <w:spacing w:after="0" w:line="273" w:lineRule="auto"/>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use our digital asset holdings as a source of liquidity to the same extent as cash and cash equivalents, due to, for example, risks associated with digital assets and other risks inherent to its entirely electronic, virtual form and decentralized network;</w:t>
      </w:r>
    </w:p>
    <w:p>
      <w:pPr>
        <w:spacing w:after="0" w:line="61" w:lineRule="exact"/>
        <w:rPr>
          <w:rFonts w:ascii="Times New Roman" w:cs="Times New Roman" w:eastAsia="Times New Roman" w:hAnsi="Times New Roman"/>
          <w:sz w:val="15"/>
          <w:szCs w:val="15"/>
          <w:color w:val="auto"/>
        </w:rPr>
      </w:pPr>
    </w:p>
    <w:p>
      <w:pPr>
        <w:ind w:left="1920" w:right="159" w:hanging="354"/>
        <w:spacing w:after="0" w:line="273" w:lineRule="auto"/>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or a third-party service provider experiencing a security breach or cyber-attack where unauthorized parties obtain access to our digital assets;</w:t>
      </w:r>
    </w:p>
    <w:p>
      <w:pPr>
        <w:spacing w:after="0" w:line="61" w:lineRule="exact"/>
        <w:rPr>
          <w:rFonts w:ascii="Times New Roman" w:cs="Times New Roman" w:eastAsia="Times New Roman" w:hAnsi="Times New Roman"/>
          <w:sz w:val="15"/>
          <w:szCs w:val="15"/>
          <w:color w:val="auto"/>
        </w:rPr>
      </w:pPr>
    </w:p>
    <w:p>
      <w:pPr>
        <w:ind w:left="1920" w:right="79" w:hanging="354"/>
        <w:spacing w:after="0" w:line="253" w:lineRule="auto"/>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loss of access to or theft or data loss of our digital assets, which could be unrecoverable due to the immutable nature of blockchain transactions; if we elect to hold its digital assets through a third-party custodian, the loss of direct control over our digital assets and dependence on the custodian’s security practices and operational integrity which may lead to the loss of our digital assets as a result of the insolvency of the custodian, theft by employees or insiders of the custodian or if the custodian’s security measures are comprised, including as a result of a cyber-attack;</w:t>
      </w:r>
    </w:p>
    <w:p>
      <w:pPr>
        <w:spacing w:after="0" w:line="77" w:lineRule="exact"/>
        <w:rPr>
          <w:rFonts w:ascii="Times New Roman" w:cs="Times New Roman" w:eastAsia="Times New Roman" w:hAnsi="Times New Roman"/>
          <w:sz w:val="15"/>
          <w:szCs w:val="15"/>
          <w:color w:val="auto"/>
        </w:rPr>
      </w:pPr>
    </w:p>
    <w:p>
      <w:pPr>
        <w:ind w:left="1920" w:right="79" w:hanging="354"/>
        <w:spacing w:after="0" w:line="273" w:lineRule="auto"/>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not being subject to the legal and regulatory protections applicable to investment companies such as mutual funds and exchange-traded funds, or to obligations applicable to investment advisers;</w:t>
      </w:r>
    </w:p>
    <w:p>
      <w:pPr>
        <w:spacing w:after="0" w:line="61" w:lineRule="exact"/>
        <w:rPr>
          <w:rFonts w:ascii="Times New Roman" w:cs="Times New Roman" w:eastAsia="Times New Roman" w:hAnsi="Times New Roman"/>
          <w:sz w:val="15"/>
          <w:szCs w:val="15"/>
          <w:color w:val="auto"/>
        </w:rPr>
      </w:pPr>
    </w:p>
    <w:p>
      <w:pPr>
        <w:ind w:left="1920" w:right="239" w:hanging="354"/>
        <w:spacing w:after="0" w:line="273" w:lineRule="auto"/>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non-performance, breach of contract or other violations by counterparties assisting us in effecting our Investment Policy and related treasury strategy;</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capital requirements and sources and uses of cash, including funds to satisfy our liquidity needs;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raise capital and investments in us, including by our Chief Executive Officer;</w:t>
      </w:r>
    </w:p>
    <w:p>
      <w:pPr>
        <w:spacing w:after="0" w:line="104" w:lineRule="exact"/>
        <w:rPr>
          <w:rFonts w:ascii="Times New Roman" w:cs="Times New Roman" w:eastAsia="Times New Roman" w:hAnsi="Times New Roman"/>
          <w:sz w:val="15"/>
          <w:szCs w:val="15"/>
          <w:color w:val="auto"/>
        </w:rPr>
      </w:pPr>
    </w:p>
    <w:p>
      <w:pPr>
        <w:ind w:left="1920" w:right="379" w:hanging="354"/>
        <w:spacing w:after="0" w:line="273" w:lineRule="auto"/>
        <w:tabs>
          <w:tab w:leader="none" w:pos="19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market in which we compete, including with respect to our competitive landscape, technology evolution or changes in applicable laws or regulations;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S-iv</w:t>
      </w:r>
    </w:p>
    <w:p>
      <w:pPr>
        <w:sectPr>
          <w:pgSz w:w="11900" w:h="16838" w:orient="portrait"/>
          <w:cols w:equalWidth="0" w:num="1">
            <w:col w:w="10159"/>
          </w:cols>
          <w:pgMar w:left="300" w:top="400"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markets that we target;</w:t>
      </w:r>
    </w:p>
    <w:p>
      <w:pPr>
        <w:spacing w:after="0" w:line="104" w:lineRule="exact"/>
        <w:rPr>
          <w:rFonts w:ascii="Times New Roman" w:cs="Times New Roman" w:eastAsia="Times New Roman" w:hAnsi="Times New Roman"/>
          <w:sz w:val="15"/>
          <w:szCs w:val="15"/>
          <w:color w:val="auto"/>
        </w:rPr>
      </w:pPr>
    </w:p>
    <w:p>
      <w:pPr>
        <w:ind w:left="1920" w:right="120" w:hanging="354"/>
        <w:spacing w:after="0" w:line="310" w:lineRule="auto"/>
        <w:tabs>
          <w:tab w:leader="none" w:pos="1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and disruptions in the digital asset, digital payments and stablecoin markets that subject us to additional risks, including the risk that banks may not provide banking services to us and market sentiments regarding digital assets, digital payments and stablecoins;</w:t>
      </w:r>
    </w:p>
    <w:p>
      <w:pPr>
        <w:spacing w:after="0" w:line="38" w:lineRule="exact"/>
        <w:rPr>
          <w:rFonts w:ascii="Times New Roman" w:cs="Times New Roman" w:eastAsia="Times New Roman" w:hAnsi="Times New Roman"/>
          <w:sz w:val="14"/>
          <w:szCs w:val="14"/>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we may be adversely affected by other macroeconomic, geopolitical, business, and/or competitive factors;</w:t>
      </w:r>
    </w:p>
    <w:p>
      <w:pPr>
        <w:spacing w:after="0" w:line="104" w:lineRule="exact"/>
        <w:rPr>
          <w:rFonts w:ascii="Times New Roman" w:cs="Times New Roman" w:eastAsia="Times New Roman" w:hAnsi="Times New Roman"/>
          <w:sz w:val="15"/>
          <w:szCs w:val="15"/>
          <w:color w:val="auto"/>
        </w:rPr>
      </w:pPr>
    </w:p>
    <w:p>
      <w:pPr>
        <w:ind w:left="1920" w:hanging="354"/>
        <w:spacing w:after="0" w:line="273" w:lineRule="auto"/>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launch new services and products, including with our expected commercial partners, or to profitably expand into new markets and services;</w:t>
      </w:r>
    </w:p>
    <w:p>
      <w:pPr>
        <w:spacing w:after="0" w:line="61" w:lineRule="exact"/>
        <w:rPr>
          <w:rFonts w:ascii="Times New Roman" w:cs="Times New Roman" w:eastAsia="Times New Roman" w:hAnsi="Times New Roman"/>
          <w:sz w:val="15"/>
          <w:szCs w:val="15"/>
          <w:color w:val="auto"/>
        </w:rPr>
      </w:pPr>
    </w:p>
    <w:p>
      <w:pPr>
        <w:ind w:left="1920" w:right="80" w:hanging="354"/>
        <w:spacing w:after="0" w:line="273" w:lineRule="auto"/>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execute its growth strategies, including identifying and executing acquisitions and divestitures and our initiatives to add new clients;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reach definitive agreements with our expected commercial counterparties;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comply with extensive government regulations, oversight, licensure and appraisals;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uncertain and evolving regulatory regime governing blockchain technologies, stablecoins, digital payments and digital assets;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and maintain effective internal controls and procedures;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exposure to any liability, protracted and costly litigation or reputational damage relating to our data security;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any goodwill or other intangible assets impairments on our operating results;</w:t>
      </w:r>
    </w:p>
    <w:p>
      <w:pPr>
        <w:spacing w:after="0" w:line="104" w:lineRule="exact"/>
        <w:rPr>
          <w:rFonts w:ascii="Times New Roman" w:cs="Times New Roman" w:eastAsia="Times New Roman" w:hAnsi="Times New Roman"/>
          <w:sz w:val="15"/>
          <w:szCs w:val="15"/>
          <w:color w:val="auto"/>
        </w:rPr>
      </w:pPr>
    </w:p>
    <w:p>
      <w:pPr>
        <w:ind w:left="1920" w:right="200" w:hanging="354"/>
        <w:spacing w:after="0" w:line="273" w:lineRule="auto"/>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as a result of our lack of control over DTR, that DTR will not continue to make available, support or develop technology currently licensed pursuant to the existing commercial agreement with DTR;</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the listing of its securities on NYSE; and</w:t>
      </w:r>
    </w:p>
    <w:p>
      <w:pPr>
        <w:spacing w:after="0" w:line="104" w:lineRule="exact"/>
        <w:rPr>
          <w:rFonts w:ascii="Times New Roman" w:cs="Times New Roman" w:eastAsia="Times New Roman" w:hAnsi="Times New Roman"/>
          <w:sz w:val="15"/>
          <w:szCs w:val="15"/>
          <w:color w:val="auto"/>
        </w:rPr>
      </w:pPr>
    </w:p>
    <w:p>
      <w:pPr>
        <w:ind w:left="1920" w:right="60" w:hanging="354"/>
        <w:spacing w:after="0" w:line="252" w:lineRule="auto"/>
        <w:tabs>
          <w:tab w:leader="none" w:pos="19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indicated in this prospectus supplement and the accompanying prospectus, including those set forth under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and any risk factors described in any amendments or supplements to this prospectus supplement, the accompanying prospectus and in the documents incorporated by reference herein, including our most recent Annual Report on Form 10-K for the year ended December 31, 2024, our quarterly reports on Form 10-Q for the quarter ended March 31, 2025, the quarter ended June 30, 2025 and the quarter ended September 30, 2025, and the risks regarding our adoption of the Investment Policy set forth in Exhibit 99.1 to our Current Report on Form 8-K, filed with the SEC on June 10, 2025.</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S-v</w:t>
      </w:r>
    </w:p>
    <w:p>
      <w:pPr>
        <w:sectPr>
          <w:pgSz w:w="11900" w:h="16838" w:orient="portrait"/>
          <w:cols w:equalWidth="0" w:num="1">
            <w:col w:w="10160"/>
          </w:cols>
          <w:pgMar w:left="300" w:top="400" w:right="1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3876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48020" cy="3876040"/>
                    </a:xfrm>
                    <a:prstGeom prst="rect">
                      <a:avLst/>
                    </a:prstGeom>
                    <a:noFill/>
                  </pic:spPr>
                </pic:pic>
              </a:graphicData>
            </a:graphic>
          </wp:anchor>
        </w:drawing>
      </w:r>
    </w:p>
    <w:p>
      <w:pPr>
        <w:spacing w:after="0" w:line="38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PROSPECTUS SUPPLEMENT SUMMARY</w:t>
      </w:r>
    </w:p>
    <w:p>
      <w:pPr>
        <w:spacing w:after="0" w:line="182" w:lineRule="exact"/>
        <w:rPr>
          <w:sz w:val="20"/>
          <w:szCs w:val="20"/>
          <w:color w:val="auto"/>
        </w:rPr>
      </w:pPr>
    </w:p>
    <w:p>
      <w:pPr>
        <w:ind w:left="1280" w:right="139" w:firstLine="350"/>
        <w:spacing w:after="0" w:line="250" w:lineRule="auto"/>
        <w:rPr>
          <w:sz w:val="20"/>
          <w:szCs w:val="20"/>
          <w:color w:val="auto"/>
        </w:rPr>
      </w:pPr>
      <w:r>
        <w:rPr>
          <w:rFonts w:ascii="Times New Roman" w:cs="Times New Roman" w:eastAsia="Times New Roman" w:hAnsi="Times New Roman"/>
          <w:sz w:val="15"/>
          <w:szCs w:val="15"/>
          <w:i w:val="1"/>
          <w:iCs w:val="1"/>
          <w:color w:val="auto"/>
        </w:rPr>
        <w:t>This summary highlights selected information that is presented in greater detail elsewhere, or incorporated by reference, in this prospectus supplement and the accompanying prospectus. It does not contain all of the information that may be important to you and your investment decision. Before investing in our Common Stock, you should carefully read this entire prospectus supplement, the accompanying prospectus and the documents incorporated herein and therein, including the matters set forth under “Risk Factors” and any risk factors described in any amendments or supplements to this prospectus supplement, the accompanying prospectus and in the documents incorporated by reference herein, including our most recent Annual Report on Form 10-K for the year ended December 31, 2024, our quarterly reports on Form 10-Q for the quarter ended March 31, 2025, the quarter ended June 30, 2025 and the quarter ended September 30, 2025, and the risks regarding our adoption of the Investment Policy set forth in Exhibit 99.1 to our Current Report on Form 8-K, filed with the SEC on June 10, 2025.</w:t>
      </w:r>
    </w:p>
    <w:p>
      <w:pPr>
        <w:spacing w:after="0" w:line="2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Company Overview</w:t>
      </w:r>
    </w:p>
    <w:p>
      <w:pPr>
        <w:spacing w:after="0" w:line="95" w:lineRule="exact"/>
        <w:rPr>
          <w:sz w:val="20"/>
          <w:szCs w:val="20"/>
          <w:color w:val="auto"/>
        </w:rPr>
      </w:pPr>
    </w:p>
    <w:p>
      <w:pPr>
        <w:ind w:left="1280" w:right="659" w:firstLine="350"/>
        <w:spacing w:after="0" w:line="273" w:lineRule="auto"/>
        <w:rPr>
          <w:sz w:val="20"/>
          <w:szCs w:val="20"/>
          <w:color w:val="auto"/>
        </w:rPr>
      </w:pPr>
      <w:r>
        <w:rPr>
          <w:rFonts w:ascii="Times New Roman" w:cs="Times New Roman" w:eastAsia="Times New Roman" w:hAnsi="Times New Roman"/>
          <w:sz w:val="15"/>
          <w:szCs w:val="15"/>
          <w:color w:val="auto"/>
        </w:rPr>
        <w:t>Founded in 2018, Bakkt builds next-generation digital financial infrastructure that enables institutional entry in Bitcoin, tokenization, stablecoin payments and AI-driven finance.</w:t>
      </w:r>
    </w:p>
    <w:p>
      <w:pPr>
        <w:spacing w:after="0" w:line="1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Our solutions include:</w:t>
      </w:r>
    </w:p>
    <w:p>
      <w:pPr>
        <w:spacing w:after="0" w:line="103" w:lineRule="exact"/>
        <w:rPr>
          <w:sz w:val="20"/>
          <w:szCs w:val="20"/>
          <w:color w:val="auto"/>
        </w:rPr>
      </w:pPr>
    </w:p>
    <w:p>
      <w:pPr>
        <w:ind w:left="2040" w:right="439" w:hanging="336"/>
        <w:spacing w:after="0" w:line="313" w:lineRule="auto"/>
        <w:tabs>
          <w:tab w:leader="none" w:pos="2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Bakkt Markets. </w:t>
      </w:r>
      <w:r>
        <w:rPr>
          <w:rFonts w:ascii="Times New Roman" w:cs="Times New Roman" w:eastAsia="Times New Roman" w:hAnsi="Times New Roman"/>
          <w:sz w:val="14"/>
          <w:szCs w:val="14"/>
          <w:color w:val="auto"/>
        </w:rPr>
        <w:t>Bakkt Markets enables institutions to launch secure, compliant, and advanced digital asset brokerage and trading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capabilities through a plug-and-play platform that provides global digital asset capabilities without needing to build in-house.</w:t>
      </w:r>
    </w:p>
    <w:p>
      <w:pPr>
        <w:spacing w:after="0" w:line="34" w:lineRule="exact"/>
        <w:rPr>
          <w:rFonts w:ascii="Times New Roman" w:cs="Times New Roman" w:eastAsia="Times New Roman" w:hAnsi="Times New Roman"/>
          <w:sz w:val="14"/>
          <w:szCs w:val="14"/>
          <w:color w:val="auto"/>
        </w:rPr>
      </w:pPr>
    </w:p>
    <w:p>
      <w:pPr>
        <w:ind w:left="2040" w:right="399" w:hanging="336"/>
        <w:spacing w:after="0" w:line="276" w:lineRule="auto"/>
        <w:tabs>
          <w:tab w:leader="none" w:pos="20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Bakkt Agent. </w:t>
      </w:r>
      <w:r>
        <w:rPr>
          <w:rFonts w:ascii="Times New Roman" w:cs="Times New Roman" w:eastAsia="Times New Roman" w:hAnsi="Times New Roman"/>
          <w:sz w:val="15"/>
          <w:szCs w:val="15"/>
          <w:color w:val="auto"/>
        </w:rPr>
        <w:t>Bakkt Agent uses an intelligent agent swarm to provide institutions with instant access to Bakkt’s key infrastructure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layer, including onboarding, virtual accounts, stablecoin rails, and global payouts.</w:t>
      </w:r>
    </w:p>
    <w:p>
      <w:pPr>
        <w:spacing w:after="0" w:line="57" w:lineRule="exact"/>
        <w:rPr>
          <w:rFonts w:ascii="Times New Roman" w:cs="Times New Roman" w:eastAsia="Times New Roman" w:hAnsi="Times New Roman"/>
          <w:sz w:val="15"/>
          <w:szCs w:val="15"/>
          <w:color w:val="auto"/>
        </w:rPr>
      </w:pPr>
    </w:p>
    <w:p>
      <w:pPr>
        <w:ind w:left="2040" w:right="239" w:hanging="336"/>
        <w:spacing w:after="0" w:line="261" w:lineRule="auto"/>
        <w:tabs>
          <w:tab w:leader="none" w:pos="20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Bakkt Global. </w:t>
      </w:r>
      <w:r>
        <w:rPr>
          <w:rFonts w:ascii="Times New Roman" w:cs="Times New Roman" w:eastAsia="Times New Roman" w:hAnsi="Times New Roman"/>
          <w:sz w:val="15"/>
          <w:szCs w:val="15"/>
          <w:color w:val="auto"/>
        </w:rPr>
        <w:t>Bakkt Global enables geographic diversification into high-growth, liquid markets with high barriers to entry. For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instance, Bakkt has made a significant investment in Bitcoin Japan Corporation (listed on the Tokyo Stock Exchange (TSE: 8105)) to expand institutional access in Japan.</w:t>
      </w:r>
    </w:p>
    <w:p>
      <w:pPr>
        <w:spacing w:after="0" w:line="2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95" w:lineRule="exact"/>
        <w:rPr>
          <w:sz w:val="20"/>
          <w:szCs w:val="20"/>
          <w:color w:val="auto"/>
        </w:rPr>
      </w:pPr>
    </w:p>
    <w:p>
      <w:pPr>
        <w:ind w:left="1280" w:right="159" w:firstLine="350"/>
        <w:spacing w:after="0" w:line="255" w:lineRule="auto"/>
        <w:rPr>
          <w:sz w:val="20"/>
          <w:szCs w:val="20"/>
          <w:color w:val="auto"/>
        </w:rPr>
      </w:pPr>
      <w:r>
        <w:rPr>
          <w:rFonts w:ascii="Times New Roman" w:cs="Times New Roman" w:eastAsia="Times New Roman" w:hAnsi="Times New Roman"/>
          <w:sz w:val="15"/>
          <w:szCs w:val="15"/>
          <w:color w:val="auto"/>
        </w:rPr>
        <w:t xml:space="preserve">Our principal executive offices are located at One Liberty Plaza, One Liberty Street, Suite 305-306, New York, New York 10006. Our telephone number is (678) 534-5849. Our website is </w:t>
      </w:r>
      <w:r>
        <w:rPr>
          <w:rFonts w:ascii="Times New Roman" w:cs="Times New Roman" w:eastAsia="Times New Roman" w:hAnsi="Times New Roman"/>
          <w:sz w:val="15"/>
          <w:szCs w:val="15"/>
          <w:i w:val="1"/>
          <w:iCs w:val="1"/>
          <w:color w:val="auto"/>
        </w:rPr>
        <w:t>https://www.bakkt.com</w:t>
      </w:r>
      <w:r>
        <w:rPr>
          <w:rFonts w:ascii="Times New Roman" w:cs="Times New Roman" w:eastAsia="Times New Roman" w:hAnsi="Times New Roman"/>
          <w:sz w:val="15"/>
          <w:szCs w:val="15"/>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S-1</w:t>
      </w:r>
    </w:p>
    <w:p>
      <w:pPr>
        <w:sectPr>
          <w:pgSz w:w="11900" w:h="16838" w:orient="portrait"/>
          <w:cols w:equalWidth="0" w:num="1">
            <w:col w:w="10159"/>
          </w:cols>
          <w:pgMar w:left="300" w:top="40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Issuer</w:t>
      </w:r>
    </w:p>
    <w:p>
      <w:pPr>
        <w:spacing w:after="0" w:line="2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Common Stock offered by us</w:t>
      </w:r>
    </w:p>
    <w:p>
      <w:pPr>
        <w:spacing w:after="0" w:line="3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Common Stock Outstanding prior to Offering</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Common Stock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Manner of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5"/>
          <w:szCs w:val="15"/>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-640080</wp:posOffset>
            </wp:positionV>
            <wp:extent cx="7196455" cy="5006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500634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Bakkt Holdings, Inc.</w:t>
      </w:r>
    </w:p>
    <w:p>
      <w:pPr>
        <w:spacing w:after="0" w:line="215" w:lineRule="exact"/>
        <w:rPr>
          <w:sz w:val="20"/>
          <w:szCs w:val="20"/>
          <w:color w:val="auto"/>
        </w:rPr>
      </w:pPr>
    </w:p>
    <w:p>
      <w:pPr>
        <w:ind w:right="439"/>
        <w:spacing w:after="0" w:line="273" w:lineRule="auto"/>
        <w:rPr>
          <w:sz w:val="20"/>
          <w:szCs w:val="20"/>
          <w:color w:val="auto"/>
        </w:rPr>
      </w:pPr>
      <w:r>
        <w:rPr>
          <w:rFonts w:ascii="Times New Roman" w:cs="Times New Roman" w:eastAsia="Times New Roman" w:hAnsi="Times New Roman"/>
          <w:sz w:val="15"/>
          <w:szCs w:val="15"/>
          <w:color w:val="auto"/>
        </w:rPr>
        <w:t>        Shares of our Class A common stock, $0.0001 par value per share, having an aggregate offering price of up to $300,000,000.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25,529,359 shares of Common Stock.</w:t>
      </w:r>
    </w:p>
    <w:p>
      <w:pPr>
        <w:spacing w:after="0" w:line="215" w:lineRule="exact"/>
        <w:rPr>
          <w:sz w:val="20"/>
          <w:szCs w:val="20"/>
          <w:color w:val="auto"/>
        </w:rPr>
      </w:pPr>
    </w:p>
    <w:p>
      <w:pPr>
        <w:ind w:right="179"/>
        <w:spacing w:after="0" w:line="247" w:lineRule="auto"/>
        <w:rPr>
          <w:sz w:val="20"/>
          <w:szCs w:val="20"/>
          <w:color w:val="auto"/>
        </w:rPr>
      </w:pPr>
      <w:r>
        <w:rPr>
          <w:rFonts w:ascii="Times New Roman" w:cs="Times New Roman" w:eastAsia="Times New Roman" w:hAnsi="Times New Roman"/>
          <w:sz w:val="15"/>
          <w:szCs w:val="15"/>
          <w:color w:val="auto"/>
        </w:rPr>
        <w:t>39,808,273 shares of Common Stock assuming the sale of up to 14,278,914 shares at a price of $21.01 per share, which was the closing price per share of our Common Stock on the NYSE on January 14, 2026. The actual number of shares of Common Stock issued will vary depending on the sales prices under this offering. The number of shares of our Common Stock to be outstanding immediately after this offering is based on 25,529,359 shares of Common Stock outstanding as of January 14, 2026. This figure excludes, as of that date, 285,615 shares of Common Stock reserved for the exercise of publicly traded warrants currently listed on the NYSE; 2,404,317 shares of Common Stock reserved for outstanding equity awards and the remaining pool of incentive equity available under the our 2021 Omnibus Incentive Plan (the “Omnibus Incentive Plan”); 1,954,866 shares of Common Stock for the exercise of a one-time grant of options to select members of management to purchase shares of the Company’s Common Stock; 1,153,200 shares of Common Stock reserved for the exercise of Class 1 Warrants; 864,650 shares of Common Stock reserved for the exercise of Class 2 Warrants; 815,282 shares of Common Stock reserved for the exercise of an inducement grant provided to Akshay Naheta in connection with his appointment as an officer of the Company; and the shares of Common Stock to be issued to the beneficial owners of DTR shares in connection with the Company’s acquisition of DTR, which will be equal to 31.5% of the aggregate number of shares of the Company’s Common Stock that are issued and outstanding immediately prior to the closing of the Company’s acquisition of DTR (the “DTR Closing”) plus the aggregate number of shares of the Company’s Common Stock issuable upon full exercise or conversion of any options, warrants or other convertible derivative securities that are outstanding immediately prior to the DTR Closing, on an as-converted basis, but excluding any warrants to purchase shares of the Common Stock (such number of shares, the “DTR Acquisition Share Consideration”).</w:t>
      </w:r>
    </w:p>
    <w:p>
      <w:pPr>
        <w:spacing w:after="0" w:line="194" w:lineRule="exact"/>
        <w:rPr>
          <w:sz w:val="20"/>
          <w:szCs w:val="20"/>
          <w:color w:val="auto"/>
        </w:rPr>
      </w:pPr>
    </w:p>
    <w:p>
      <w:pPr>
        <w:jc w:val="both"/>
        <w:ind w:right="159"/>
        <w:spacing w:after="0" w:line="260" w:lineRule="auto"/>
        <w:rPr>
          <w:sz w:val="20"/>
          <w:szCs w:val="20"/>
          <w:color w:val="auto"/>
        </w:rPr>
      </w:pPr>
      <w:r>
        <w:rPr>
          <w:rFonts w:ascii="Times New Roman" w:cs="Times New Roman" w:eastAsia="Times New Roman" w:hAnsi="Times New Roman"/>
          <w:sz w:val="15"/>
          <w:szCs w:val="15"/>
          <w:color w:val="auto"/>
        </w:rPr>
        <w:t>“At the market offering” that may be made from time to time through our Sales Agents. We may also sell shares to one or more of the Sales Agents as principal for their own accounts. See “Plan of Distribution” on page S-13.</w:t>
      </w:r>
    </w:p>
    <w:p>
      <w:pPr>
        <w:spacing w:after="0" w:line="200" w:lineRule="exact"/>
        <w:rPr>
          <w:sz w:val="20"/>
          <w:szCs w:val="20"/>
          <w:color w:val="auto"/>
        </w:rPr>
      </w:pPr>
    </w:p>
    <w:p>
      <w:pPr>
        <w:sectPr>
          <w:pgSz w:w="11900" w:h="16838" w:orient="portrait"/>
          <w:cols w:equalWidth="0" w:num="2">
            <w:col w:w="4260" w:space="320"/>
            <w:col w:w="5579"/>
          </w:cols>
          <w:pgMar w:left="300" w:top="400" w:right="1440" w:bottom="1440" w:gutter="0" w:footer="0" w:header="0"/>
        </w:sectPr>
      </w:pPr>
    </w:p>
    <w:p>
      <w:pPr>
        <w:spacing w:after="0" w:line="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400" w:right="1440"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179705</wp:posOffset>
            </wp:positionV>
            <wp:extent cx="5748020" cy="2482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48020" cy="2482850"/>
                    </a:xfrm>
                    <a:prstGeom prst="rect">
                      <a:avLst/>
                    </a:prstGeom>
                    <a:noFill/>
                  </pic:spPr>
                </pic:pic>
              </a:graphicData>
            </a:graphic>
          </wp:anchor>
        </w:drawing>
      </w:r>
    </w:p>
    <w:p>
      <w:pPr>
        <w:sectPr>
          <w:pgSz w:w="11900" w:h="16838" w:orient="portrait"/>
          <w:cols w:equalWidth="0" w:num="1">
            <w:col w:w="10159"/>
          </w:cols>
          <w:pgMar w:left="300" w:top="400"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both"/>
        <w:ind w:right="279"/>
        <w:spacing w:after="0" w:line="260" w:lineRule="auto"/>
        <w:rPr>
          <w:sz w:val="20"/>
          <w:szCs w:val="20"/>
          <w:color w:val="auto"/>
        </w:rPr>
      </w:pPr>
      <w:r>
        <w:rPr>
          <w:rFonts w:ascii="Times New Roman" w:cs="Times New Roman" w:eastAsia="Times New Roman" w:hAnsi="Times New Roman"/>
          <w:sz w:val="15"/>
          <w:szCs w:val="15"/>
          <w:color w:val="auto"/>
        </w:rPr>
        <w:t>We currently intend to use the net proceeds from this offering, if any, for working capital and for general corporate purposes. See “Use of Proceeds” on page S-6 of this prospectus supplement.</w:t>
      </w:r>
    </w:p>
    <w:p>
      <w:pPr>
        <w:spacing w:after="0" w:line="169" w:lineRule="exact"/>
        <w:rPr>
          <w:sz w:val="20"/>
          <w:szCs w:val="20"/>
          <w:color w:val="auto"/>
        </w:rPr>
      </w:pPr>
    </w:p>
    <w:p>
      <w:pPr>
        <w:sectPr>
          <w:pgSz w:w="11900" w:h="16838" w:orient="portrait"/>
          <w:cols w:equalWidth="0" w:num="2">
            <w:col w:w="3860" w:space="720"/>
            <w:col w:w="5579"/>
          </w:cols>
          <w:pgMar w:left="300" w:top="400" w:right="1440"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20" w:lineRule="exact"/>
        <w:rPr>
          <w:sz w:val="20"/>
          <w:szCs w:val="20"/>
          <w:color w:val="auto"/>
        </w:rPr>
      </w:pPr>
      <w:r>
        <w:rPr>
          <w:sz w:val="20"/>
          <w:szCs w:val="20"/>
          <w:color w:val="auto"/>
        </w:rPr>
        <w:br w:type="column"/>
      </w:r>
    </w:p>
    <w:p>
      <w:pPr>
        <w:ind w:right="199"/>
        <w:spacing w:after="0" w:line="249" w:lineRule="auto"/>
        <w:rPr>
          <w:sz w:val="20"/>
          <w:szCs w:val="20"/>
          <w:color w:val="auto"/>
        </w:rPr>
      </w:pPr>
      <w:r>
        <w:rPr>
          <w:rFonts w:ascii="Times New Roman" w:cs="Times New Roman" w:eastAsia="Times New Roman" w:hAnsi="Times New Roman"/>
          <w:sz w:val="15"/>
          <w:szCs w:val="15"/>
          <w:color w:val="auto"/>
        </w:rPr>
        <w:t>Investing in our Common Stock involves risk, and prospective investors should consider the risks and uncertainties set forth under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in the prospectus supplement and the accompanying prospectus and any risk factors described in any amendments or supplements to this prospectus supplement, the accompanying prospectus and in the documents incorporated by reference herein, including the Company’s most recent Annual Report on Form 10-K for the year ended December 31, 2024, its quarterly reports on Form 10-Q for the quarter ended March 31, 2025, the quarter ended June 30, 2025 and the quarter ended September 30, 2025, and the risks regarding the Company’s adoption of its Investment Policy set forth in Exhibit 99.1 to the Company’s Current Report on Form 8-K, filed with the SEC on June 10, 2025.</w:t>
      </w:r>
    </w:p>
    <w:p>
      <w:pPr>
        <w:spacing w:after="0" w:line="181" w:lineRule="exact"/>
        <w:rPr>
          <w:sz w:val="20"/>
          <w:szCs w:val="20"/>
          <w:color w:val="auto"/>
        </w:rPr>
      </w:pPr>
    </w:p>
    <w:p>
      <w:pPr>
        <w:sectPr>
          <w:pgSz w:w="11900" w:h="16838" w:orient="portrait"/>
          <w:cols w:equalWidth="0" w:num="2">
            <w:col w:w="3860" w:space="720"/>
            <w:col w:w="5579"/>
          </w:cols>
          <w:pgMar w:left="300" w:top="400" w:right="1440"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4"/>
          <w:szCs w:val="14"/>
          <w:b w:val="1"/>
          <w:bCs w:val="1"/>
          <w:color w:val="auto"/>
        </w:rPr>
        <w:t>NYSE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Our Common Stock is listed on the NYSE under the symbol “BKKT”.</w:t>
      </w:r>
    </w:p>
    <w:p>
      <w:pPr>
        <w:spacing w:after="0" w:line="200" w:lineRule="exact"/>
        <w:rPr>
          <w:sz w:val="20"/>
          <w:szCs w:val="20"/>
          <w:color w:val="auto"/>
        </w:rPr>
      </w:pPr>
    </w:p>
    <w:p>
      <w:pPr>
        <w:sectPr>
          <w:pgSz w:w="11900" w:h="16838" w:orient="portrait"/>
          <w:cols w:equalWidth="0" w:num="2">
            <w:col w:w="3860" w:space="720"/>
            <w:col w:w="5579"/>
          </w:cols>
          <w:pgMar w:left="300" w:top="400" w:right="1440" w:bottom="1440" w:gutter="0" w:footer="0" w:header="0"/>
          <w:type w:val="continuous"/>
        </w:sectPr>
      </w:pP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The number of shares of our Common Stock to be outstanding after this offering discussed in this prospectus supplement is based on</w:t>
      </w:r>
    </w:p>
    <w:p>
      <w:pPr>
        <w:spacing w:after="0" w:line="19" w:lineRule="exact"/>
        <w:rPr>
          <w:sz w:val="20"/>
          <w:szCs w:val="20"/>
          <w:color w:val="auto"/>
        </w:rPr>
      </w:pPr>
    </w:p>
    <w:p>
      <w:pPr>
        <w:ind w:left="1280" w:right="159"/>
        <w:spacing w:after="0" w:line="253" w:lineRule="auto"/>
        <w:rPr>
          <w:sz w:val="20"/>
          <w:szCs w:val="20"/>
          <w:color w:val="auto"/>
        </w:rPr>
      </w:pPr>
      <w:r>
        <w:rPr>
          <w:rFonts w:ascii="Times New Roman" w:cs="Times New Roman" w:eastAsia="Times New Roman" w:hAnsi="Times New Roman"/>
          <w:sz w:val="15"/>
          <w:szCs w:val="15"/>
          <w:color w:val="auto"/>
        </w:rPr>
        <w:t>25,529,359 shares of our Common Stock outstanding. See the section entitled “Dilution” beginning on page S-8 of this prospectus supplement for a more detailed discussion of the dilution you could incur if you purchase shares of Common Stock in this offering.</w:t>
      </w:r>
    </w:p>
    <w:p>
      <w:pPr>
        <w:spacing w:after="0" w:line="2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S-3</w:t>
      </w:r>
    </w:p>
    <w:p>
      <w:pPr>
        <w:sectPr>
          <w:pgSz w:w="11900" w:h="16838" w:orient="portrait"/>
          <w:cols w:equalWidth="0" w:num="1">
            <w:col w:w="10159"/>
          </w:cols>
          <w:pgMar w:left="300" w:top="400" w:right="1440"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82" w:lineRule="exact"/>
        <w:rPr>
          <w:sz w:val="20"/>
          <w:szCs w:val="20"/>
          <w:color w:val="auto"/>
        </w:rPr>
      </w:pPr>
    </w:p>
    <w:p>
      <w:pPr>
        <w:ind w:left="1120" w:right="40" w:firstLine="362"/>
        <w:spacing w:after="0" w:line="272" w:lineRule="auto"/>
        <w:rPr>
          <w:sz w:val="20"/>
          <w:szCs w:val="20"/>
          <w:color w:val="auto"/>
        </w:rPr>
      </w:pPr>
      <w:r>
        <w:rPr>
          <w:rFonts w:ascii="Times New Roman" w:cs="Times New Roman" w:eastAsia="Times New Roman" w:hAnsi="Times New Roman"/>
          <w:sz w:val="14"/>
          <w:szCs w:val="14"/>
          <w:i w:val="1"/>
          <w:iCs w:val="1"/>
          <w:color w:val="auto"/>
        </w:rPr>
        <w:t>An investment in our Common Stock involves a high degree of risk. Before investing in our Common Stock, you should carefully read this entire prospectus supplement, the accompanying prospectus and the documents incorporated herein and therein, including the matters set forth under this “Risk Factors” section and any risk factors described in any amendments or supplements to this prospectus supplement, the accompanying prospectus and in the documents incorporated by reference herein, including our most recent Annual Report on Form 10-K for the year ended December 31, 2024, our quarterly reports on Form 10-Q for the quarter ended March 31, 2025, the quarter ended June 30, 2025 and the quarter ended September 30, 2025, and the risks regarding our adoption of the Investment Policy set forth in Exhibit 99.1 to our Current Report on Form 8-K, filed with the SEC on June 10, 2025. Additional risks and uncertainties not presently known to us or that we currently deem immaterial may also affect our operations.</w:t>
      </w:r>
    </w:p>
    <w:p>
      <w:pPr>
        <w:spacing w:after="0" w:line="141" w:lineRule="exact"/>
        <w:rPr>
          <w:sz w:val="20"/>
          <w:szCs w:val="20"/>
          <w:color w:val="auto"/>
        </w:rPr>
      </w:pPr>
    </w:p>
    <w:p>
      <w:pPr>
        <w:ind w:left="1120" w:right="140" w:firstLine="362"/>
        <w:spacing w:after="0" w:line="276" w:lineRule="auto"/>
        <w:rPr>
          <w:sz w:val="20"/>
          <w:szCs w:val="20"/>
          <w:color w:val="auto"/>
        </w:rPr>
      </w:pPr>
      <w:r>
        <w:rPr>
          <w:rFonts w:ascii="Times New Roman" w:cs="Times New Roman" w:eastAsia="Times New Roman" w:hAnsi="Times New Roman"/>
          <w:sz w:val="15"/>
          <w:szCs w:val="15"/>
          <w:i w:val="1"/>
          <w:iCs w:val="1"/>
          <w:color w:val="auto"/>
        </w:rPr>
        <w:t>In connection with the forward-looking statements that appear in this prospectus supplement and the accompanying prospectus, you should also carefully review the cautionary statement referred to under “Forward-Looking Statements” in this prospectus supplement.</w:t>
      </w:r>
    </w:p>
    <w:p>
      <w:pPr>
        <w:spacing w:after="0" w:line="22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Risks Related to this Offering</w:t>
      </w:r>
    </w:p>
    <w:p>
      <w:pPr>
        <w:spacing w:after="0" w:line="9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If you purchase shares of Common Stock in this offering, you may experience immediate dilution of your investment.</w:t>
      </w:r>
    </w:p>
    <w:p>
      <w:pPr>
        <w:spacing w:after="0" w:line="97" w:lineRule="exact"/>
        <w:rPr>
          <w:sz w:val="20"/>
          <w:szCs w:val="20"/>
          <w:color w:val="auto"/>
        </w:rPr>
      </w:pPr>
    </w:p>
    <w:p>
      <w:pPr>
        <w:ind w:left="1120" w:firstLine="362"/>
        <w:spacing w:after="0" w:line="249" w:lineRule="auto"/>
        <w:rPr>
          <w:sz w:val="20"/>
          <w:szCs w:val="20"/>
          <w:color w:val="auto"/>
        </w:rPr>
      </w:pPr>
      <w:r>
        <w:rPr>
          <w:rFonts w:ascii="Times New Roman" w:cs="Times New Roman" w:eastAsia="Times New Roman" w:hAnsi="Times New Roman"/>
          <w:sz w:val="15"/>
          <w:szCs w:val="15"/>
          <w:color w:val="auto"/>
        </w:rPr>
        <w:t>The offering price per share of Common Stock in this offering may exceed the net tangible book value per share of our Common Stock outstanding prior to this offering. Assuming that an aggregate of 14,278,914 shares of our Common Stock are sold during the term of the Sales Agreement with the Sales Agent at a price of $21.01 per share, the last reported sale price of our Common Stock on the NYSE on January 14, 2026, for aggregate net proceeds of approximately $288.7 million, after deducting commissions and estimated aggregate offering expenses payable by us, you will experience immediate dilution of approximately $11.86 per share, representing the difference between our as adjusted net tangible book value per share as of September 30, 2025 after giving effect to this offering and the assumed offering price. The exercise of outstanding options and warrants, and vesting and settlement of restricted stock units, performance-based restricted stock units and other equity incentive awards that may be settled into shares of our Common Stock, and issuance of additional shares of our Common Stock or other securities that are convertible into or exchangeable or exercisable for shares of our Common Stock from time to time, including pursuant to equity-incentive plans, as consideration for acquisitions or otherwise, may result in further dilution of your investment. See the section entitled “Dilution” below for a more detailed illustration of the dilution you would incur if you participate in this offering.</w:t>
      </w:r>
    </w:p>
    <w:p>
      <w:pPr>
        <w:spacing w:after="0" w:line="244" w:lineRule="exact"/>
        <w:rPr>
          <w:sz w:val="20"/>
          <w:szCs w:val="20"/>
          <w:color w:val="auto"/>
        </w:rPr>
      </w:pPr>
    </w:p>
    <w:p>
      <w:pPr>
        <w:ind w:left="1120" w:right="52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The actual number of shares of Common Stock we will issue under the Sales Agreement and the aggregate net proceeds resulting from such issuances, at any one time or in total, is uncertain.</w:t>
      </w:r>
    </w:p>
    <w:p>
      <w:pPr>
        <w:spacing w:after="0" w:line="48" w:lineRule="exact"/>
        <w:rPr>
          <w:sz w:val="20"/>
          <w:szCs w:val="20"/>
          <w:color w:val="auto"/>
        </w:rPr>
      </w:pPr>
    </w:p>
    <w:p>
      <w:pPr>
        <w:ind w:left="1120" w:right="80" w:firstLine="362"/>
        <w:spacing w:after="0" w:line="271" w:lineRule="auto"/>
        <w:rPr>
          <w:sz w:val="20"/>
          <w:szCs w:val="20"/>
          <w:color w:val="auto"/>
        </w:rPr>
      </w:pPr>
      <w:r>
        <w:rPr>
          <w:rFonts w:ascii="Times New Roman" w:cs="Times New Roman" w:eastAsia="Times New Roman" w:hAnsi="Times New Roman"/>
          <w:sz w:val="14"/>
          <w:szCs w:val="14"/>
          <w:color w:val="auto"/>
        </w:rPr>
        <w:t>Subject to certain limitations in the Sales Agreement and compliance with applicable law, we have the discretion to deliver a placement notice to the Sales Agents at any time throughout the term of the Sales Agreement. The number and per share price of the shares of Common Stock that are sold by the Sales Agents after delivering a placement notice will fluctuate based upon a number of factors, including the market price per share of our Common Stock during the sales period, any limits we set with the Sales Agents in the applicable placement notice and the demand for our Common Stock. Because the number of shares that are sold through the Sales Agents and the price per share of each share of Common Stock sold in this offering will fluctuate based on the market price per share of our Common Stock during the sales period, it is not possible at this stage to predict the number of shares of our Common Stock that will be ultimately issued or the aggregate net proceeds to be raised in connection with sales under this offering.</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S-4</w:t>
      </w:r>
    </w:p>
    <w:p>
      <w:pPr>
        <w:sectPr>
          <w:pgSz w:w="11900" w:h="16838" w:orient="portrait"/>
          <w:cols w:equalWidth="0" w:num="1">
            <w:col w:w="10160"/>
          </w:cols>
          <w:pgMar w:left="300" w:top="400" w:right="1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58" w:lineRule="exact"/>
        <w:rPr>
          <w:sz w:val="20"/>
          <w:szCs w:val="20"/>
          <w:color w:val="auto"/>
        </w:rPr>
      </w:pPr>
    </w:p>
    <w:p>
      <w:pPr>
        <w:ind w:left="1120" w:right="159"/>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The Common Stock offered hereby will be sold in “at the market offerings,” and investors who buy shares of our Common Stock at different times will likely pay different prices.</w:t>
      </w:r>
    </w:p>
    <w:p>
      <w:pPr>
        <w:spacing w:after="0" w:line="48" w:lineRule="exact"/>
        <w:rPr>
          <w:sz w:val="20"/>
          <w:szCs w:val="20"/>
          <w:color w:val="auto"/>
        </w:rPr>
      </w:pPr>
    </w:p>
    <w:p>
      <w:pPr>
        <w:ind w:left="1120" w:right="119" w:firstLine="362"/>
        <w:spacing w:after="0" w:line="255" w:lineRule="auto"/>
        <w:rPr>
          <w:sz w:val="20"/>
          <w:szCs w:val="20"/>
          <w:color w:val="auto"/>
        </w:rPr>
      </w:pPr>
      <w:r>
        <w:rPr>
          <w:rFonts w:ascii="Times New Roman" w:cs="Times New Roman" w:eastAsia="Times New Roman" w:hAnsi="Times New Roman"/>
          <w:sz w:val="15"/>
          <w:szCs w:val="15"/>
          <w:color w:val="auto"/>
        </w:rPr>
        <w:t>Investors who purchase shares of our Common Stock in this offering at different times will likely pay different prices, and so may experience different levels of dilution and different outcomes in their investment results. We will have discretion, subject to market demand, to vary the timing, prices, and numbers of shares of our Common Stock sold, and there is no minimum or maximum sales price. Investors may experience a decline in the value of their shares of our Common Stock as a result of share sales made at prices lower than the prices they paid.</w:t>
      </w:r>
    </w:p>
    <w:p>
      <w:pPr>
        <w:spacing w:after="0" w:line="238" w:lineRule="exact"/>
        <w:rPr>
          <w:sz w:val="20"/>
          <w:szCs w:val="20"/>
          <w:color w:val="auto"/>
        </w:rPr>
      </w:pPr>
    </w:p>
    <w:p>
      <w:pPr>
        <w:ind w:left="1120" w:right="19"/>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We may issue Common Stock as consideration for strategic acquisitions or investments, including the DTR Acquisition, which may result in dilution of your investment.</w:t>
      </w:r>
    </w:p>
    <w:p>
      <w:pPr>
        <w:spacing w:after="0" w:line="48" w:lineRule="exact"/>
        <w:rPr>
          <w:sz w:val="20"/>
          <w:szCs w:val="20"/>
          <w:color w:val="auto"/>
        </w:rPr>
      </w:pPr>
    </w:p>
    <w:p>
      <w:pPr>
        <w:ind w:left="1120" w:right="159" w:firstLine="362"/>
        <w:spacing w:after="0" w:line="252" w:lineRule="auto"/>
        <w:rPr>
          <w:sz w:val="20"/>
          <w:szCs w:val="20"/>
          <w:color w:val="auto"/>
        </w:rPr>
      </w:pPr>
      <w:r>
        <w:rPr>
          <w:rFonts w:ascii="Times New Roman" w:cs="Times New Roman" w:eastAsia="Times New Roman" w:hAnsi="Times New Roman"/>
          <w:sz w:val="15"/>
          <w:szCs w:val="15"/>
          <w:color w:val="auto"/>
        </w:rPr>
        <w:t>We may issue shares of our Common Stock or other securities from time to time as consideration for, or to finance, future acquisitions, investments, debt-for-equity exchanges or for other capital needs. We cannot predict the size of future issuances of our Common Stock or the effect, if any, that future sales and issuances of Common Stock would have on the market price of our Common Stock. If any such acquisition or investment is significant, the number of shares of Common Stock or the number or aggregate principal amount, as the case may be, of other securities that we may issue may in turn be substantial and may result in additional dilution to our shareholders. We may also grant registration rights covering shares of our Common Stock or other securities that we may issue in connection with any such acquisitions and investments.</w:t>
      </w:r>
    </w:p>
    <w:p>
      <w:pPr>
        <w:spacing w:after="0" w:line="155" w:lineRule="exact"/>
        <w:rPr>
          <w:sz w:val="20"/>
          <w:szCs w:val="20"/>
          <w:color w:val="auto"/>
        </w:rPr>
      </w:pPr>
    </w:p>
    <w:p>
      <w:pPr>
        <w:ind w:left="1120" w:right="39" w:firstLine="362"/>
        <w:spacing w:after="0" w:line="273" w:lineRule="auto"/>
        <w:rPr>
          <w:sz w:val="20"/>
          <w:szCs w:val="20"/>
          <w:color w:val="auto"/>
        </w:rPr>
      </w:pPr>
      <w:r>
        <w:rPr>
          <w:rFonts w:ascii="Times New Roman" w:cs="Times New Roman" w:eastAsia="Times New Roman" w:hAnsi="Times New Roman"/>
          <w:sz w:val="14"/>
          <w:szCs w:val="14"/>
          <w:color w:val="auto"/>
        </w:rPr>
        <w:t>For example, on January 11, 2026, Bakkt Opco Holdings, LLC (“Opco”), a Delaware limited liability company and wholly owned subsidiary of the Company, entered into a Share Purchase Agreement (the “Purchase Agreement”) by and among Opco, the Company, DTR, and Akshay Naheta (Mr. Naheta or the “Seller”). Pursuant to the terms and subject to the conditions set forth in the Purchase Agreement, the Company will acquire DTR (the “DTR Acquisition”) by issuing to the DTR Holders (as defined below) the DTR Acquisition Share Consideration to the Seller and other beneficial owners of DTR shares (the “DTR Holders”). The DTR Acquisition is subject to the approval of the Company’s shareholders. If the DTR Acquisition is approved by the Company’s shareholders, the DTR Acquisition Share Consideration will be issued and your investment will be diluted.</w:t>
      </w:r>
    </w:p>
    <w:p>
      <w:pPr>
        <w:spacing w:after="0" w:line="227" w:lineRule="exact"/>
        <w:rPr>
          <w:sz w:val="20"/>
          <w:szCs w:val="20"/>
          <w:color w:val="auto"/>
        </w:rPr>
      </w:pPr>
    </w:p>
    <w:p>
      <w:pPr>
        <w:ind w:left="1120" w:right="239"/>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Our management will have broad discretion over the use of the net proceeds from this offering, you may not agree with how we use the proceeds, and the proceeds may not be invested successfully.</w:t>
      </w:r>
    </w:p>
    <w:p>
      <w:pPr>
        <w:spacing w:after="0" w:line="48" w:lineRule="exact"/>
        <w:rPr>
          <w:sz w:val="20"/>
          <w:szCs w:val="20"/>
          <w:color w:val="auto"/>
        </w:rPr>
      </w:pPr>
    </w:p>
    <w:p>
      <w:pPr>
        <w:ind w:left="1120" w:right="19" w:firstLine="362"/>
        <w:spacing w:after="0" w:line="251" w:lineRule="auto"/>
        <w:rPr>
          <w:sz w:val="20"/>
          <w:szCs w:val="20"/>
          <w:color w:val="auto"/>
        </w:rPr>
      </w:pPr>
      <w:r>
        <w:rPr>
          <w:rFonts w:ascii="Times New Roman" w:cs="Times New Roman" w:eastAsia="Times New Roman" w:hAnsi="Times New Roman"/>
          <w:sz w:val="15"/>
          <w:szCs w:val="15"/>
          <w:color w:val="auto"/>
        </w:rPr>
        <w:t>We currently intend to use the net proceeds from this Offering for working capital and for general corporate purposes. Our management will have broad discretion over the use and investment of these net proceeds and could spend the proceeds in ways that do not improve our results of operations or enhance the value of our Common Stock. Accordingly, you will have to rely upon the judgment of our management with respect to the use of these net proceeds, with only limited information concerning management’s specific intentions. You will not have the opportunity, as part of your investment decision, to assess whether we will use the net proceeds from this offering appropriately. If we do not invest or apply the net proceeds, if any, from this offering or our existing cash in ways that enhance stockholder value, we may fail to achieve expected results, which could cause the price per share of our Common Stock to decline.</w:t>
      </w:r>
    </w:p>
    <w:p>
      <w:pPr>
        <w:spacing w:after="0" w:line="240" w:lineRule="exact"/>
        <w:rPr>
          <w:sz w:val="20"/>
          <w:szCs w:val="20"/>
          <w:color w:val="auto"/>
        </w:rPr>
      </w:pPr>
    </w:p>
    <w:p>
      <w:pPr>
        <w:ind w:left="1120" w:right="259"/>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We may need additional capital, and any additional capital we seek may not be available in the amount or at the time we need it, or on terms that would be acceptable to us.</w:t>
      </w:r>
    </w:p>
    <w:p>
      <w:pPr>
        <w:spacing w:after="0" w:line="48" w:lineRule="exact"/>
        <w:rPr>
          <w:sz w:val="20"/>
          <w:szCs w:val="20"/>
          <w:color w:val="auto"/>
        </w:rPr>
      </w:pPr>
    </w:p>
    <w:p>
      <w:pPr>
        <w:ind w:left="1120" w:right="79" w:firstLine="362"/>
        <w:spacing w:after="0" w:line="255" w:lineRule="auto"/>
        <w:rPr>
          <w:sz w:val="20"/>
          <w:szCs w:val="20"/>
          <w:color w:val="auto"/>
        </w:rPr>
      </w:pPr>
      <w:r>
        <w:rPr>
          <w:rFonts w:ascii="Times New Roman" w:cs="Times New Roman" w:eastAsia="Times New Roman" w:hAnsi="Times New Roman"/>
          <w:sz w:val="15"/>
          <w:szCs w:val="15"/>
          <w:color w:val="auto"/>
        </w:rPr>
        <w:t>We may need to raise funds in the future to execute our business plan. We may seek to raise additional capital to fund or expand our business, pursue strategic investments, and take advantage of financing or other opportunities that we believe to be in our best interests and the interests of our stockholders. Additional capital may be raised through the sale of common or preferred equity or convertible debt securities, entry into debt facilities or other third-party funding arrangements. The sale of equity and convertible debt securities may result</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S-5</w:t>
      </w:r>
    </w:p>
    <w:p>
      <w:pPr>
        <w:sectPr>
          <w:pgSz w:w="11900" w:h="16838" w:orient="portrait"/>
          <w:cols w:equalWidth="0" w:num="1">
            <w:col w:w="10159"/>
          </w:cols>
          <w:pgMar w:left="300" w:top="400"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60"/>
        <w:spacing w:after="0" w:line="255" w:lineRule="auto"/>
        <w:rPr>
          <w:sz w:val="20"/>
          <w:szCs w:val="20"/>
          <w:color w:val="auto"/>
        </w:rPr>
      </w:pPr>
      <w:r>
        <w:rPr>
          <w:rFonts w:ascii="Times New Roman" w:cs="Times New Roman" w:eastAsia="Times New Roman" w:hAnsi="Times New Roman"/>
          <w:sz w:val="15"/>
          <w:szCs w:val="15"/>
          <w:color w:val="auto"/>
        </w:rPr>
        <w:t>in dilution to our stockholders and those securities may have rights senior to those of our Common Stock. Agreements entered into in connection with such capital raising activities could contain covenants that would restrict our operations or require us to relinquish certain rights. Additional capital may not be available on reasonable terms, or at all. If we cannot timely raise any needed funds, we may be forced to reduce our operating expenses, which could adversely affect our ability to implement our long-term strategic roadmap and grow our business.</w:t>
      </w:r>
    </w:p>
    <w:p>
      <w:pPr>
        <w:spacing w:after="0" w:line="23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The market price of our securities may be volatile.</w:t>
      </w:r>
    </w:p>
    <w:p>
      <w:pPr>
        <w:spacing w:after="0" w:line="97" w:lineRule="exact"/>
        <w:rPr>
          <w:sz w:val="20"/>
          <w:szCs w:val="20"/>
          <w:color w:val="auto"/>
        </w:rPr>
      </w:pPr>
    </w:p>
    <w:p>
      <w:pPr>
        <w:ind w:left="1120" w:firstLine="362"/>
        <w:spacing w:after="0" w:line="250" w:lineRule="auto"/>
        <w:rPr>
          <w:sz w:val="20"/>
          <w:szCs w:val="20"/>
          <w:color w:val="auto"/>
        </w:rPr>
      </w:pPr>
      <w:r>
        <w:rPr>
          <w:rFonts w:ascii="Times New Roman" w:cs="Times New Roman" w:eastAsia="Times New Roman" w:hAnsi="Times New Roman"/>
          <w:sz w:val="15"/>
          <w:szCs w:val="15"/>
          <w:color w:val="auto"/>
        </w:rPr>
        <w:t>The trading market for our securities has in the past been and could in the future be impacted by market volatility. During the 12 months ended January 16, 2026, the market price of our Common Stock has ranged from a high of $49.79 per share to a low of $6.81 per share. This market volatility could reduce the market price of our securities without regard to our operating performance. In addition, the trading price of our Common Stock could change significantly in response to actual or anticipated variations in our quarterly operating results, announcements by us or our competitors, factors affecting the digital asset industry generally, changes in national or regional economic conditions, changes in securities analysts’ estimates for us or our competitors’ or industry’s future performance or general market conditions, making it more difficult for our securities to be sold at a favorable price or at all. The market price of our Common Stock could also be reduced by general market price declines or market volatility in the future or future declines or volatility in the prices of stocks for companies in our industry.</w:t>
      </w:r>
    </w:p>
    <w:p>
      <w:pPr>
        <w:spacing w:after="0" w:line="243" w:lineRule="exact"/>
        <w:rPr>
          <w:sz w:val="20"/>
          <w:szCs w:val="20"/>
          <w:color w:val="auto"/>
        </w:rPr>
      </w:pPr>
    </w:p>
    <w:p>
      <w:pPr>
        <w:ind w:left="1120" w:right="120"/>
        <w:spacing w:after="0" w:line="278" w:lineRule="auto"/>
        <w:rPr>
          <w:sz w:val="20"/>
          <w:szCs w:val="20"/>
          <w:color w:val="auto"/>
        </w:rPr>
      </w:pPr>
      <w:r>
        <w:rPr>
          <w:rFonts w:ascii="Times New Roman" w:cs="Times New Roman" w:eastAsia="Times New Roman" w:hAnsi="Times New Roman"/>
          <w:sz w:val="15"/>
          <w:szCs w:val="15"/>
          <w:b w:val="1"/>
          <w:bCs w:val="1"/>
          <w:i w:val="1"/>
          <w:iCs w:val="1"/>
          <w:color w:val="auto"/>
        </w:rPr>
        <w:t>Because we do not anticipate paying any cash dividends on our capital stock in the foreseeable future, capital appreciation, if any, will be your sole source of gain.</w:t>
      </w:r>
    </w:p>
    <w:p>
      <w:pPr>
        <w:spacing w:after="0" w:line="48" w:lineRule="exact"/>
        <w:rPr>
          <w:sz w:val="20"/>
          <w:szCs w:val="20"/>
          <w:color w:val="auto"/>
        </w:rPr>
      </w:pPr>
    </w:p>
    <w:p>
      <w:pPr>
        <w:ind w:left="1120" w:right="100" w:firstLine="362"/>
        <w:spacing w:after="0" w:line="260" w:lineRule="auto"/>
        <w:rPr>
          <w:sz w:val="20"/>
          <w:szCs w:val="20"/>
          <w:color w:val="auto"/>
        </w:rPr>
      </w:pPr>
      <w:r>
        <w:rPr>
          <w:rFonts w:ascii="Times New Roman" w:cs="Times New Roman" w:eastAsia="Times New Roman" w:hAnsi="Times New Roman"/>
          <w:sz w:val="15"/>
          <w:szCs w:val="15"/>
          <w:color w:val="auto"/>
        </w:rPr>
        <w:t>We have never declared or paid cash dividends on our capital stock. We anticipate that we will retain our earnings, if any, for future growth and therefore do not anticipate paying cash dividends in the future. As a result, only appreciation of the price of our Common Stock will provide a return to stockholders.</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S-6</w:t>
      </w:r>
    </w:p>
    <w:p>
      <w:pPr>
        <w:sectPr>
          <w:pgSz w:w="11900" w:h="16838" w:orient="portrait"/>
          <w:cols w:equalWidth="0" w:num="1">
            <w:col w:w="10160"/>
          </w:cols>
          <w:pgMar w:left="300" w:top="400" w:right="1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84" w:lineRule="exact"/>
        <w:rPr>
          <w:sz w:val="20"/>
          <w:szCs w:val="20"/>
          <w:color w:val="auto"/>
        </w:rPr>
      </w:pPr>
    </w:p>
    <w:p>
      <w:pPr>
        <w:ind w:left="1120" w:right="60" w:firstLine="362"/>
        <w:spacing w:after="0" w:line="253" w:lineRule="auto"/>
        <w:rPr>
          <w:sz w:val="20"/>
          <w:szCs w:val="20"/>
          <w:color w:val="auto"/>
        </w:rPr>
      </w:pPr>
      <w:r>
        <w:rPr>
          <w:rFonts w:ascii="Times New Roman" w:cs="Times New Roman" w:eastAsia="Times New Roman" w:hAnsi="Times New Roman"/>
          <w:sz w:val="15"/>
          <w:szCs w:val="15"/>
          <w:color w:val="auto"/>
        </w:rPr>
        <w:t>We may issue and sell shares of our Common Stock having aggregate sales proceeds of up to $300,000,000 from time to time pursuant to the Sales Agreement. The amount of proceeds from this offering will depend upon the number of shares of our Common Stock sold and the market price at which they are sold. Because there is no minimum offering amount required as a condition to close this offering, the actual total public offering amount, commissions and proceeds to us, if any, are not determinable at this time. There can be no assurance that we will sell any shares of Common Stock under or fully utilize the Sales Agreement as a source of financing.</w:t>
      </w:r>
    </w:p>
    <w:p>
      <w:pPr>
        <w:spacing w:after="0" w:line="15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We currently intend to use the net proceeds from this offering, if any, for working capital and for general corporate purposes.</w:t>
      </w:r>
    </w:p>
    <w:p>
      <w:pPr>
        <w:spacing w:after="0" w:line="182" w:lineRule="exact"/>
        <w:rPr>
          <w:sz w:val="20"/>
          <w:szCs w:val="20"/>
          <w:color w:val="auto"/>
        </w:rPr>
      </w:pPr>
    </w:p>
    <w:p>
      <w:pPr>
        <w:ind w:left="1120" w:firstLine="362"/>
        <w:spacing w:after="0" w:line="260" w:lineRule="auto"/>
        <w:rPr>
          <w:sz w:val="20"/>
          <w:szCs w:val="20"/>
          <w:color w:val="auto"/>
        </w:rPr>
      </w:pPr>
      <w:r>
        <w:rPr>
          <w:rFonts w:ascii="Times New Roman" w:cs="Times New Roman" w:eastAsia="Times New Roman" w:hAnsi="Times New Roman"/>
          <w:sz w:val="15"/>
          <w:szCs w:val="15"/>
          <w:color w:val="auto"/>
        </w:rPr>
        <w:t>As of the date of this prospectus supplement, we cannot specify with certainty all of the particular uses of the proceeds from this offering. Accordingly, we will retain broad discretion over the use of such proceeds. Pending the use of the net proceeds from this offering as described above, we intend to invest the net proceeds in short-term, investment-grade securities.</w:t>
      </w:r>
    </w:p>
    <w:p>
      <w:pPr>
        <w:spacing w:after="0" w:line="324"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84" w:lineRule="exact"/>
        <w:rPr>
          <w:sz w:val="20"/>
          <w:szCs w:val="20"/>
          <w:color w:val="auto"/>
        </w:rPr>
      </w:pPr>
    </w:p>
    <w:p>
      <w:pPr>
        <w:ind w:left="1120" w:right="100" w:firstLine="362"/>
        <w:spacing w:after="0" w:line="255" w:lineRule="auto"/>
        <w:rPr>
          <w:sz w:val="20"/>
          <w:szCs w:val="20"/>
          <w:color w:val="auto"/>
        </w:rPr>
      </w:pPr>
      <w:r>
        <w:rPr>
          <w:rFonts w:ascii="Times New Roman" w:cs="Times New Roman" w:eastAsia="Times New Roman" w:hAnsi="Times New Roman"/>
          <w:sz w:val="15"/>
          <w:szCs w:val="15"/>
          <w:color w:val="auto"/>
        </w:rPr>
        <w:t>We have never declared or paid cash dividends on our capital stock. We currently intend to retain our future earnings, if any, for use in our business and therefore do not anticipate paying cash dividends in the foreseeable future. Payment of future dividends, if any, will be at the discretion of our Board of Directors after taking into account various factors, including our financial condition, operating results, current and anticipated cash needs and plans for expansion.</w:t>
      </w:r>
    </w:p>
    <w:p>
      <w:pPr>
        <w:spacing w:after="0" w:line="329"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CAPITALIZATION</w:t>
      </w:r>
    </w:p>
    <w:p>
      <w:pPr>
        <w:spacing w:after="0" w:line="184" w:lineRule="exact"/>
        <w:rPr>
          <w:sz w:val="20"/>
          <w:szCs w:val="20"/>
          <w:color w:val="auto"/>
        </w:rPr>
      </w:pPr>
    </w:p>
    <w:p>
      <w:pPr>
        <w:ind w:left="1120" w:right="20" w:firstLine="362"/>
        <w:spacing w:after="0" w:line="273" w:lineRule="auto"/>
        <w:rPr>
          <w:sz w:val="20"/>
          <w:szCs w:val="20"/>
          <w:color w:val="auto"/>
        </w:rPr>
      </w:pPr>
      <w:r>
        <w:rPr>
          <w:rFonts w:ascii="Times New Roman" w:cs="Times New Roman" w:eastAsia="Times New Roman" w:hAnsi="Times New Roman"/>
          <w:sz w:val="14"/>
          <w:szCs w:val="14"/>
          <w:color w:val="auto"/>
        </w:rPr>
        <w:t>The Sales Agreement provides that we may offer and sell up to 14,278,914 shares of our Common Stock from time to time through the Sales Agents for the offer and sale of such Common Stock. The table below assumes that we will sell 14,278,914 shares available under the Sales Agreement at a price of $21.01 per share (the last reported sale price per share of our Common Stock on January 14, 2026) but there is no guarantee that there will be any sales of our Common Stock pursuant to this prospectus supplement and the accompanying prospectus. Actual sales, if any, of our Common Stock under this prospectus supplement and the accompanying prospectus may be less than as set forth in the table below. In addition, the price per share of any such sale may be greater or less than $21.01, depending on the market price of our Common Stock at the time of any such sale.</w:t>
      </w:r>
    </w:p>
    <w:p>
      <w:pPr>
        <w:spacing w:after="0" w:line="14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following table sets forth our capitalization as of September 30, 2025:</w:t>
      </w:r>
    </w:p>
    <w:p>
      <w:pPr>
        <w:spacing w:after="0" w:line="105" w:lineRule="exact"/>
        <w:rPr>
          <w:sz w:val="20"/>
          <w:szCs w:val="20"/>
          <w:color w:val="auto"/>
        </w:rPr>
      </w:pPr>
    </w:p>
    <w:p>
      <w:pPr>
        <w:ind w:left="1920" w:hanging="354"/>
        <w:spacing w:after="0"/>
        <w:tabs>
          <w:tab w:leader="none" w:pos="19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an actual basis; and</w:t>
      </w:r>
    </w:p>
    <w:p>
      <w:pPr>
        <w:spacing w:after="0" w:line="104" w:lineRule="exact"/>
        <w:rPr>
          <w:rFonts w:ascii="Times New Roman" w:cs="Times New Roman" w:eastAsia="Times New Roman" w:hAnsi="Times New Roman"/>
          <w:sz w:val="15"/>
          <w:szCs w:val="15"/>
          <w:color w:val="auto"/>
        </w:rPr>
      </w:pPr>
    </w:p>
    <w:p>
      <w:pPr>
        <w:ind w:left="1920" w:right="80" w:hanging="354"/>
        <w:spacing w:after="0" w:line="251" w:lineRule="auto"/>
        <w:tabs>
          <w:tab w:leader="none" w:pos="19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pro forma basis to give effect to (i) the assumed sale of up to 14,278,914 shares of our Common Stock in this offering at an assumed public offering price of $21.01 per share (the last reported closing price of our Common Stock on January 14, 2026), (ii) 2,000,000 shares of Common Stock issued upon the exercise of a one-time grant of options to select members of management; (iii) 1,619,143 shares issued upon the exercise of an inducement grant provided to Akshay Naheta in connection with his appointment as an officer of the Company; (iv) 1,118,592 shares of Common Stock issued under the Company’s Omnibus Incentive Plan; and (v) the conversion and exchange of all the Company’s outstanding shares of Class V common stock, par value $0.0001 per share (“Class V Common Stock”), into shares of Common Stock in connection with an internal reorganization.</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S-7</w:t>
      </w:r>
    </w:p>
    <w:p>
      <w:pPr>
        <w:sectPr>
          <w:pgSz w:w="11900" w:h="16838" w:orient="portrait"/>
          <w:cols w:equalWidth="0" w:num="1">
            <w:col w:w="10160"/>
          </w:cols>
          <w:pgMar w:left="300" w:top="400" w:right="1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0" w:lineRule="exact"/>
        <w:rPr>
          <w:sz w:val="20"/>
          <w:szCs w:val="20"/>
          <w:color w:val="auto"/>
        </w:rPr>
      </w:pPr>
    </w:p>
    <w:p>
      <w:pPr>
        <w:spacing w:after="0" w:line="256" w:lineRule="exact"/>
        <w:rPr>
          <w:sz w:val="20"/>
          <w:szCs w:val="20"/>
          <w:color w:val="auto"/>
        </w:rPr>
      </w:pPr>
    </w:p>
    <w:tbl>
      <w:tblPr>
        <w:tblLayout w:type="fixed"/>
        <w:tblInd w:w="220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As of September 30, 2025</w:t>
            </w:r>
          </w:p>
        </w:tc>
      </w:tr>
      <w:tr>
        <w:trPr>
          <w:trHeight w:val="113"/>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ind w:right="371"/>
              <w:spacing w:after="0" w:line="113" w:lineRule="exact"/>
              <w:rPr>
                <w:sz w:val="20"/>
                <w:szCs w:val="20"/>
                <w:color w:val="auto"/>
              </w:rPr>
            </w:pPr>
            <w:r>
              <w:rPr>
                <w:rFonts w:ascii="Times New Roman" w:cs="Times New Roman" w:eastAsia="Times New Roman" w:hAnsi="Times New Roman"/>
                <w:sz w:val="12"/>
                <w:szCs w:val="12"/>
                <w:b w:val="1"/>
                <w:bCs w:val="1"/>
                <w:color w:val="auto"/>
              </w:rPr>
              <w:t>Actual</w:t>
            </w:r>
          </w:p>
        </w:tc>
        <w:tc>
          <w:tcPr>
            <w:tcW w:w="94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b w:val="1"/>
                <w:bCs w:val="1"/>
                <w:color w:val="auto"/>
              </w:rPr>
              <w:t>As Adjusted</w:t>
            </w:r>
          </w:p>
        </w:tc>
        <w:tc>
          <w:tcPr>
            <w:tcW w:w="80" w:type="dxa"/>
            <w:vAlign w:val="bottom"/>
          </w:tcPr>
          <w:p>
            <w:pPr>
              <w:spacing w:after="0"/>
              <w:rPr>
                <w:sz w:val="9"/>
                <w:szCs w:val="9"/>
                <w:color w:val="auto"/>
              </w:rPr>
            </w:pPr>
          </w:p>
        </w:tc>
      </w:tr>
      <w:tr>
        <w:trPr>
          <w:trHeight w:val="93"/>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780" w:type="dxa"/>
            <w:vAlign w:val="bottom"/>
            <w:gridSpan w:val="2"/>
          </w:tcPr>
          <w:p>
            <w:pPr>
              <w:jc w:val="center"/>
              <w:ind w:right="7"/>
              <w:spacing w:after="0" w:line="94" w:lineRule="exact"/>
              <w:rPr>
                <w:sz w:val="20"/>
                <w:szCs w:val="20"/>
                <w:color w:val="auto"/>
              </w:rPr>
            </w:pPr>
            <w:r>
              <w:rPr>
                <w:rFonts w:ascii="Times New Roman" w:cs="Times New Roman" w:eastAsia="Times New Roman" w:hAnsi="Times New Roman"/>
                <w:sz w:val="9"/>
                <w:szCs w:val="9"/>
                <w:b w:val="1"/>
                <w:bCs w:val="1"/>
                <w:color w:val="auto"/>
              </w:rPr>
              <w:t>(in thousands of U.S. dollars,</w:t>
            </w:r>
          </w:p>
        </w:tc>
        <w:tc>
          <w:tcPr>
            <w:tcW w:w="80" w:type="dxa"/>
            <w:vAlign w:val="bottom"/>
          </w:tcPr>
          <w:p>
            <w:pPr>
              <w:spacing w:after="0"/>
              <w:rPr>
                <w:sz w:val="8"/>
                <w:szCs w:val="8"/>
                <w:color w:val="auto"/>
              </w:rPr>
            </w:pPr>
          </w:p>
        </w:tc>
      </w:tr>
      <w:tr>
        <w:trPr>
          <w:trHeight w:val="141"/>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6"/>
              </w:rPr>
              <w:t>except share data)</w:t>
            </w:r>
          </w:p>
        </w:tc>
      </w:tr>
      <w:tr>
        <w:trPr>
          <w:trHeight w:val="177"/>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5"/>
                <w:szCs w:val="15"/>
                <w:color w:val="auto"/>
              </w:rPr>
              <w:t>58,319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367,019</w:t>
            </w:r>
          </w:p>
        </w:tc>
        <w:tc>
          <w:tcPr>
            <w:tcW w:w="80" w:type="dxa"/>
            <w:vAlign w:val="bottom"/>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4680" w:type="dxa"/>
            <w:vAlign w:val="bottom"/>
          </w:tcPr>
          <w:p>
            <w:pPr>
              <w:spacing w:after="0" w:line="178" w:lineRule="exact"/>
              <w:rPr>
                <w:sz w:val="20"/>
                <w:szCs w:val="20"/>
                <w:color w:val="auto"/>
              </w:rPr>
            </w:pPr>
            <w:r>
              <w:rPr>
                <w:rFonts w:ascii="Times New Roman" w:cs="Times New Roman" w:eastAsia="Times New Roman" w:hAnsi="Times New Roman"/>
                <w:sz w:val="14"/>
                <w:szCs w:val="14"/>
                <w:color w:val="auto"/>
              </w:rPr>
              <w:t>Restricted cash</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5"/>
                <w:szCs w:val="15"/>
                <w:color w:val="auto"/>
              </w:rPr>
              <w:t>6,117</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6,117</w:t>
            </w:r>
          </w:p>
        </w:tc>
        <w:tc>
          <w:tcPr>
            <w:tcW w:w="8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4680" w:type="dxa"/>
            <w:vAlign w:val="bottom"/>
          </w:tcPr>
          <w:p>
            <w:pPr>
              <w:ind w:left="280"/>
              <w:spacing w:after="0" w:line="163" w:lineRule="exact"/>
              <w:rPr>
                <w:sz w:val="20"/>
                <w:szCs w:val="20"/>
                <w:color w:val="auto"/>
              </w:rPr>
            </w:pPr>
            <w:r>
              <w:rPr>
                <w:rFonts w:ascii="Times New Roman" w:cs="Times New Roman" w:eastAsia="Times New Roman" w:hAnsi="Times New Roman"/>
                <w:sz w:val="15"/>
                <w:szCs w:val="15"/>
                <w:color w:val="auto"/>
              </w:rPr>
              <w:t>Class A Common Stock ($0.0001 par value, 560,000,000 shares</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46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authorized, 16,466,495 shares issued and outstanding as of</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46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September 30, 2025 and 42,637,709 shares pro forma as of the date</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46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of this prospectus supplement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5"/>
                <w:szCs w:val="15"/>
                <w:color w:val="auto"/>
              </w:rPr>
              <w:t>2</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4680" w:type="dxa"/>
            <w:vAlign w:val="bottom"/>
            <w:shd w:val="clear" w:color="auto" w:fill="CCEEFF"/>
          </w:tcPr>
          <w:p>
            <w:pPr>
              <w:ind w:left="280"/>
              <w:spacing w:after="0" w:line="163" w:lineRule="exact"/>
              <w:rPr>
                <w:sz w:val="20"/>
                <w:szCs w:val="20"/>
                <w:color w:val="auto"/>
              </w:rPr>
            </w:pPr>
            <w:r>
              <w:rPr>
                <w:rFonts w:ascii="Times New Roman" w:cs="Times New Roman" w:eastAsia="Times New Roman" w:hAnsi="Times New Roman"/>
                <w:sz w:val="15"/>
                <w:szCs w:val="15"/>
                <w:color w:val="auto"/>
              </w:rPr>
              <w:t>Class V Common Stock ($0.0001 par value, 10,000,000 shares</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authorized, 7,174,575 shares issued and outstanding as of</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September 30, 2025 and 0 shares pro forma as of the date of this</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4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prospectus supplement</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5"/>
                <w:szCs w:val="15"/>
                <w:color w:val="auto"/>
              </w:rPr>
              <w:t>1</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r>
      <w:tr>
        <w:trPr>
          <w:trHeight w:val="177"/>
        </w:trPr>
        <w:tc>
          <w:tcPr>
            <w:tcW w:w="20" w:type="dxa"/>
            <w:vAlign w:val="bottom"/>
          </w:tcPr>
          <w:p>
            <w:pPr>
              <w:spacing w:after="0"/>
              <w:rPr>
                <w:sz w:val="15"/>
                <w:szCs w:val="15"/>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5"/>
                <w:szCs w:val="15"/>
                <w:color w:val="auto"/>
              </w:rPr>
              <w:t>934,896</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1,296,969</w:t>
            </w:r>
          </w:p>
        </w:tc>
        <w:tc>
          <w:tcPr>
            <w:tcW w:w="8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4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5"/>
                <w:szCs w:val="15"/>
                <w:color w:val="auto"/>
              </w:rPr>
              <w:t>(603)</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(603)</w:t>
            </w:r>
          </w:p>
        </w:tc>
      </w:tr>
      <w:tr>
        <w:trPr>
          <w:trHeight w:val="177"/>
        </w:trPr>
        <w:tc>
          <w:tcPr>
            <w:tcW w:w="20" w:type="dxa"/>
            <w:vAlign w:val="bottom"/>
          </w:tcPr>
          <w:p>
            <w:pPr>
              <w:spacing w:after="0"/>
              <w:rPr>
                <w:sz w:val="15"/>
                <w:szCs w:val="15"/>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Accumulated deficit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ind w:right="171"/>
              <w:spacing w:after="0"/>
              <w:rPr>
                <w:sz w:val="20"/>
                <w:szCs w:val="20"/>
                <w:color w:val="auto"/>
              </w:rPr>
            </w:pPr>
            <w:r>
              <w:rPr>
                <w:rFonts w:ascii="Times New Roman" w:cs="Times New Roman" w:eastAsia="Times New Roman" w:hAnsi="Times New Roman"/>
                <w:sz w:val="15"/>
                <w:szCs w:val="15"/>
                <w:color w:val="auto"/>
                <w:w w:val="98"/>
              </w:rPr>
              <w:t>(819,902)</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(859,106)</w:t>
            </w:r>
          </w:p>
        </w:tc>
      </w:tr>
      <w:tr>
        <w:trPr>
          <w:trHeight w:val="177"/>
        </w:trPr>
        <w:tc>
          <w:tcPr>
            <w:tcW w:w="20" w:type="dxa"/>
            <w:vAlign w:val="bottom"/>
          </w:tcPr>
          <w:p>
            <w:pPr>
              <w:spacing w:after="0"/>
              <w:rPr>
                <w:sz w:val="15"/>
                <w:szCs w:val="15"/>
                <w:color w:val="auto"/>
              </w:rPr>
            </w:pPr>
          </w:p>
        </w:tc>
        <w:tc>
          <w:tcPr>
            <w:tcW w:w="4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5"/>
                <w:szCs w:val="15"/>
                <w:color w:val="auto"/>
              </w:rPr>
              <w:t>114,394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437,264</w:t>
            </w:r>
          </w:p>
        </w:tc>
        <w:tc>
          <w:tcPr>
            <w:tcW w:w="80" w:type="dxa"/>
            <w:vAlign w:val="bottom"/>
            <w:shd w:val="clear" w:color="auto" w:fill="CCEEFF"/>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468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Non-controlling interest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5"/>
                <w:szCs w:val="15"/>
                <w:color w:val="auto"/>
              </w:rPr>
              <w:t>14,170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r>
      <w:tr>
        <w:trPr>
          <w:trHeight w:val="177"/>
        </w:trPr>
        <w:tc>
          <w:tcPr>
            <w:tcW w:w="20" w:type="dxa"/>
            <w:vAlign w:val="bottom"/>
          </w:tcPr>
          <w:p>
            <w:pPr>
              <w:spacing w:after="0"/>
              <w:rPr>
                <w:sz w:val="15"/>
                <w:szCs w:val="15"/>
                <w:color w:val="auto"/>
              </w:rPr>
            </w:pPr>
          </w:p>
        </w:tc>
        <w:tc>
          <w:tcPr>
            <w:tcW w:w="4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Total equity</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5"/>
                <w:szCs w:val="15"/>
                <w:color w:val="auto"/>
              </w:rPr>
              <w:t>128,564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437,264</w:t>
            </w:r>
          </w:p>
        </w:tc>
        <w:tc>
          <w:tcPr>
            <w:tcW w:w="80" w:type="dxa"/>
            <w:vAlign w:val="bottom"/>
            <w:shd w:val="clear" w:color="auto" w:fill="CCEEFF"/>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capitalization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5"/>
                <w:szCs w:val="15"/>
                <w:color w:val="auto"/>
              </w:rPr>
              <w:t>193,000</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810,400</w:t>
            </w: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60325</wp:posOffset>
            </wp:positionV>
            <wp:extent cx="62611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6110" cy="6985"/>
                    </a:xfrm>
                    <a:prstGeom prst="rect">
                      <a:avLst/>
                    </a:prstGeom>
                    <a:noFill/>
                  </pic:spPr>
                </pic:pic>
              </a:graphicData>
            </a:graphic>
          </wp:anchor>
        </w:drawing>
      </w:r>
    </w:p>
    <w:p>
      <w:pPr>
        <w:spacing w:after="0" w:line="104" w:lineRule="exact"/>
        <w:rPr>
          <w:sz w:val="20"/>
          <w:szCs w:val="20"/>
          <w:color w:val="auto"/>
        </w:rPr>
      </w:pPr>
    </w:p>
    <w:p>
      <w:pPr>
        <w:ind w:left="1480" w:right="20" w:hanging="358"/>
        <w:spacing w:after="0" w:line="273" w:lineRule="auto"/>
        <w:tabs>
          <w:tab w:leader="none" w:pos="14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Restricted cash is held to satisfy certain minimum capital requirements pursuant to regulatory requirements, or as collateral for insurance contracts and our purchasing card facility.</w:t>
      </w:r>
    </w:p>
    <w:p>
      <w:pPr>
        <w:spacing w:after="0" w:line="140" w:lineRule="exact"/>
        <w:rPr>
          <w:sz w:val="20"/>
          <w:szCs w:val="20"/>
          <w:color w:val="auto"/>
        </w:rPr>
      </w:pPr>
    </w:p>
    <w:p>
      <w:pPr>
        <w:ind w:left="1120" w:firstLine="362"/>
        <w:spacing w:after="0" w:line="250" w:lineRule="auto"/>
        <w:rPr>
          <w:sz w:val="20"/>
          <w:szCs w:val="20"/>
          <w:color w:val="auto"/>
        </w:rPr>
      </w:pPr>
      <w:r>
        <w:rPr>
          <w:rFonts w:ascii="Times New Roman" w:cs="Times New Roman" w:eastAsia="Times New Roman" w:hAnsi="Times New Roman"/>
          <w:sz w:val="15"/>
          <w:szCs w:val="15"/>
          <w:color w:val="auto"/>
        </w:rPr>
        <w:t>The number of shares of our Common Stock to be outstanding immediately after this offering is based on 25,529,359 shares of Common Stock outstanding as of January 14, 2026. This figure excludes, as of that date, 285,615 shares of Common Stock reserved for the exercise of publicly traded warrants currently listed on the NYSE; 2,404,317 shares of Common Stock reserved for outstanding equity awards and the remaining pool of incentive equity available under the Omnibus Incentive Plan; 1,954,866 shares of Common Stock for the exercise of a one-time grant of options to select members of management to purchase shares of the Company’s Common Stock; 1,153,200 shares of Common Stock reserved for the exercise of Class 1 Warrants; 864,650 shares of Common Stock reserved for the exercise of Class 2 Warrants; 815,282 shares of Common Stock reserved for the exercise of an inducement grant provided to Akshay Naheta in connection with his appointment as an officer of the Company; and the DTR Acquisition Share Consideration.</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S-8</w:t>
      </w:r>
    </w:p>
    <w:p>
      <w:pPr>
        <w:sectPr>
          <w:pgSz w:w="11900" w:h="16838" w:orient="portrait"/>
          <w:cols w:equalWidth="0" w:num="1">
            <w:col w:w="10160"/>
          </w:cols>
          <w:pgMar w:left="300" w:top="400" w:right="1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5"/>
          <w:szCs w:val="15"/>
          <w:b w:val="1"/>
          <w:bCs w:val="1"/>
          <w:color w:val="auto"/>
        </w:rPr>
        <w:t>DESCRIPTION OF THE COMMON STOCK</w:t>
      </w:r>
    </w:p>
    <w:p>
      <w:pPr>
        <w:spacing w:after="0" w:line="184" w:lineRule="exact"/>
        <w:rPr>
          <w:sz w:val="20"/>
          <w:szCs w:val="20"/>
          <w:color w:val="auto"/>
        </w:rPr>
      </w:pPr>
    </w:p>
    <w:p>
      <w:pPr>
        <w:ind w:left="1120" w:right="140" w:firstLine="362"/>
        <w:spacing w:after="0" w:line="273" w:lineRule="auto"/>
        <w:rPr>
          <w:sz w:val="20"/>
          <w:szCs w:val="20"/>
          <w:color w:val="auto"/>
        </w:rPr>
      </w:pPr>
      <w:r>
        <w:rPr>
          <w:rFonts w:ascii="Times New Roman" w:cs="Times New Roman" w:eastAsia="Times New Roman" w:hAnsi="Times New Roman"/>
          <w:sz w:val="15"/>
          <w:szCs w:val="15"/>
          <w:color w:val="auto"/>
        </w:rPr>
        <w:t>The material terms and provisions of our Common Stock are described in the “Description of Securities” attached as Exhibit 99.1 to our Current Report on Form 8-K12B filed on November 3, 2025 and are incorporated herein by reference.</w:t>
      </w:r>
    </w:p>
    <w:p>
      <w:pPr>
        <w:spacing w:after="0" w:line="31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5"/>
          <w:szCs w:val="15"/>
          <w:b w:val="1"/>
          <w:bCs w:val="1"/>
          <w:color w:val="auto"/>
        </w:rPr>
        <w:t>DILUTION</w:t>
      </w:r>
    </w:p>
    <w:p>
      <w:pPr>
        <w:spacing w:after="0" w:line="184" w:lineRule="exact"/>
        <w:rPr>
          <w:sz w:val="20"/>
          <w:szCs w:val="20"/>
          <w:color w:val="auto"/>
        </w:rPr>
      </w:pPr>
    </w:p>
    <w:p>
      <w:pPr>
        <w:ind w:left="1120" w:right="100" w:firstLine="362"/>
        <w:spacing w:after="0" w:line="252" w:lineRule="auto"/>
        <w:rPr>
          <w:sz w:val="20"/>
          <w:szCs w:val="20"/>
          <w:color w:val="auto"/>
        </w:rPr>
      </w:pPr>
      <w:r>
        <w:rPr>
          <w:rFonts w:ascii="Times New Roman" w:cs="Times New Roman" w:eastAsia="Times New Roman" w:hAnsi="Times New Roman"/>
          <w:sz w:val="15"/>
          <w:szCs w:val="15"/>
          <w:color w:val="auto"/>
        </w:rPr>
        <w:t>If you purchase shares of Common Stock in this offering, your ownership interest will be diluted to the extent of the difference between the offering price per share of Common Stock and the as adjusted net tangible book value per share of our Common Stock after this offering. Our net tangible book value as of September 30, 2025 was approximately $58.4 million, or $2.47 per share of the aggregate of our outstanding shares of Common Stock and our outstanding shares of Class V Common Stock. “Net tangible book value” is total assets minus the sum of liabilities, goodwill, intangible assets and operating leases. “Net tangible book value per share” is net tangible book value divided by the total number of shares of Common Stock and Class V Common Stock outstanding.</w:t>
      </w:r>
    </w:p>
    <w:p>
      <w:pPr>
        <w:spacing w:after="0" w:line="155" w:lineRule="exact"/>
        <w:rPr>
          <w:sz w:val="20"/>
          <w:szCs w:val="20"/>
          <w:color w:val="auto"/>
        </w:rPr>
      </w:pPr>
    </w:p>
    <w:p>
      <w:pPr>
        <w:ind w:left="1120" w:right="40" w:firstLine="362"/>
        <w:spacing w:after="0" w:line="252" w:lineRule="auto"/>
        <w:rPr>
          <w:sz w:val="20"/>
          <w:szCs w:val="20"/>
          <w:color w:val="auto"/>
        </w:rPr>
      </w:pPr>
      <w:r>
        <w:rPr>
          <w:rFonts w:ascii="Times New Roman" w:cs="Times New Roman" w:eastAsia="Times New Roman" w:hAnsi="Times New Roman"/>
          <w:sz w:val="15"/>
          <w:szCs w:val="15"/>
          <w:color w:val="auto"/>
        </w:rPr>
        <w:t>After giving effect to the assumed sale by us of an aggregate of $300,000,000 in shares of Common Stock in this offering at an assumed offering price of $21.01 per share, which was the last reported sale price of our Common Stock on the NYSE on January 14, 2026, and after deducting estimated commissions and offering expenses payable by us, our as adjusted net tangible book value as of September 30, 2025 would have been approximately $347.1 million, or $9.15 per share of Common Stock. This represents an immediate increase in the net tangible book value of $6.68 per share to our existing stockholders and an immediate dilution in the net tangible book value of $11.86 per share of Common Stock to investors purchasing Common Stock in this offering. The following table illustrates this calculation on a per share basis:</w:t>
      </w:r>
    </w:p>
    <w:p>
      <w:pPr>
        <w:spacing w:after="0" w:line="191" w:lineRule="exact"/>
        <w:rPr>
          <w:sz w:val="20"/>
          <w:szCs w:val="20"/>
          <w:color w:val="auto"/>
        </w:rPr>
      </w:pPr>
    </w:p>
    <w:tbl>
      <w:tblPr>
        <w:tblLayout w:type="fixed"/>
        <w:tblInd w:w="2580" w:type="dxa"/>
        <w:tblCellMar>
          <w:top w:w="0" w:type="dxa"/>
          <w:left w:w="0" w:type="dxa"/>
          <w:bottom w:w="0" w:type="dxa"/>
          <w:right w:w="0" w:type="dxa"/>
        </w:tblCellMar>
      </w:tblPr>
      <w:tr>
        <w:trPr>
          <w:trHeight w:val="177"/>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Assumed offering price per share of Common Stock</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8"/>
              </w:rPr>
              <w:t>21.01</w:t>
            </w:r>
          </w:p>
        </w:tc>
        <w:tc>
          <w:tcPr>
            <w:tcW w:w="40" w:type="dxa"/>
            <w:vAlign w:val="bottom"/>
            <w:shd w:val="clear" w:color="auto" w:fill="CCEEFF"/>
          </w:tcPr>
          <w:p>
            <w:pPr>
              <w:spacing w:after="0"/>
              <w:rPr>
                <w:sz w:val="15"/>
                <w:szCs w:val="15"/>
                <w:color w:val="auto"/>
              </w:rPr>
            </w:pPr>
          </w:p>
        </w:tc>
      </w:tr>
      <w:tr>
        <w:trPr>
          <w:trHeight w:val="177"/>
        </w:trPr>
        <w:tc>
          <w:tcPr>
            <w:tcW w:w="5480" w:type="dxa"/>
            <w:vAlign w:val="bottom"/>
          </w:tcPr>
          <w:p>
            <w:pPr>
              <w:spacing w:after="0"/>
              <w:rPr>
                <w:sz w:val="20"/>
                <w:szCs w:val="20"/>
                <w:color w:val="auto"/>
              </w:rPr>
            </w:pPr>
            <w:r>
              <w:rPr>
                <w:rFonts w:ascii="Times New Roman" w:cs="Times New Roman" w:eastAsia="Times New Roman" w:hAnsi="Times New Roman"/>
                <w:sz w:val="15"/>
                <w:szCs w:val="15"/>
                <w:color w:val="auto"/>
              </w:rPr>
              <w:t>Net tangible book value per share as of September 30, 2025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40" w:type="dxa"/>
            <w:vAlign w:val="bottom"/>
          </w:tcPr>
          <w:p>
            <w:pPr>
              <w:spacing w:after="0"/>
              <w:rPr>
                <w:sz w:val="15"/>
                <w:szCs w:val="15"/>
                <w:color w:val="auto"/>
              </w:rPr>
            </w:pPr>
          </w:p>
        </w:tc>
      </w:tr>
      <w:tr>
        <w:trPr>
          <w:trHeight w:val="177"/>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Increase in net tangible book value per share attributable to this offering</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40" w:type="dxa"/>
            <w:vAlign w:val="bottom"/>
            <w:shd w:val="clear" w:color="auto" w:fill="CCEEFF"/>
          </w:tcPr>
          <w:p>
            <w:pPr>
              <w:spacing w:after="0"/>
              <w:rPr>
                <w:sz w:val="15"/>
                <w:szCs w:val="15"/>
                <w:color w:val="auto"/>
              </w:rPr>
            </w:pPr>
          </w:p>
        </w:tc>
      </w:tr>
      <w:tr>
        <w:trPr>
          <w:trHeight w:val="177"/>
        </w:trPr>
        <w:tc>
          <w:tcPr>
            <w:tcW w:w="5480" w:type="dxa"/>
            <w:vAlign w:val="bottom"/>
          </w:tcPr>
          <w:p>
            <w:pPr>
              <w:spacing w:after="0"/>
              <w:rPr>
                <w:sz w:val="20"/>
                <w:szCs w:val="20"/>
                <w:color w:val="auto"/>
              </w:rPr>
            </w:pPr>
            <w:r>
              <w:rPr>
                <w:rFonts w:ascii="Times New Roman" w:cs="Times New Roman" w:eastAsia="Times New Roman" w:hAnsi="Times New Roman"/>
                <w:sz w:val="15"/>
                <w:szCs w:val="15"/>
                <w:color w:val="auto"/>
              </w:rPr>
              <w:t>Net tangible book value per share as of September 30, 2025 as adjusted after this offering</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9.15</w:t>
            </w:r>
          </w:p>
        </w:tc>
        <w:tc>
          <w:tcPr>
            <w:tcW w:w="40" w:type="dxa"/>
            <w:vAlign w:val="bottom"/>
          </w:tcPr>
          <w:p>
            <w:pPr>
              <w:spacing w:after="0"/>
              <w:rPr>
                <w:sz w:val="15"/>
                <w:szCs w:val="15"/>
                <w:color w:val="auto"/>
              </w:rPr>
            </w:pPr>
          </w:p>
        </w:tc>
      </w:tr>
      <w:tr>
        <w:trPr>
          <w:trHeight w:val="177"/>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Dilution per share to new investors participating in this offering</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88"/>
              </w:rPr>
              <w:t>11.86</w:t>
            </w:r>
          </w:p>
        </w:tc>
        <w:tc>
          <w:tcPr>
            <w:tcW w:w="40" w:type="dxa"/>
            <w:vAlign w:val="bottom"/>
            <w:shd w:val="clear" w:color="auto" w:fill="CCEEFF"/>
          </w:tcPr>
          <w:p>
            <w:pPr>
              <w:spacing w:after="0"/>
              <w:rPr>
                <w:sz w:val="15"/>
                <w:szCs w:val="15"/>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4" w:lineRule="exact"/>
        <w:rPr>
          <w:sz w:val="20"/>
          <w:szCs w:val="20"/>
          <w:color w:val="auto"/>
        </w:rPr>
      </w:pPr>
    </w:p>
    <w:p>
      <w:pPr>
        <w:ind w:left="1120" w:firstLine="362"/>
        <w:spacing w:after="0" w:line="249" w:lineRule="auto"/>
        <w:rPr>
          <w:sz w:val="20"/>
          <w:szCs w:val="20"/>
          <w:color w:val="auto"/>
        </w:rPr>
      </w:pPr>
      <w:r>
        <w:rPr>
          <w:rFonts w:ascii="Times New Roman" w:cs="Times New Roman" w:eastAsia="Times New Roman" w:hAnsi="Times New Roman"/>
          <w:sz w:val="15"/>
          <w:szCs w:val="15"/>
          <w:color w:val="auto"/>
        </w:rPr>
        <w:t>The table above assumes for illustrative purposes that an aggregate of $300,000,000 in shares of our Common Stock are sold at a price of $21.01 per share, which was the last reported sale price of our Common Stock on the NYSE on January 14, 2026. The shares sold in this offering, if any, will be sold from time to time at various prices. An increase of $1.00 per share in the price at which the shares of our Common Stock are sold from the assumed offering price of $21.01 per share shown in the table above, assuming all of our Common Stock in the aggregate amount of $300,000,000 is sold at that price, would increase our as adjusted net tangible book value per share after the offering to $9.52 per share and would increase the dilution in the net tangible book value per share to investors purchasing Common Stock in this offering to $12.49 per share. A decrease of $1.00 per share in the price at which the shares of our Common Stock are sold from the assumed offering price of $21.01 per share shown in the table above, assuming all of our Common Stock in the aggregate amount of $300,000,000 is sold at that price, would decrease our net tangible book value per share after the offering to $8.79 per share and would decrease the dilution in the net tangible book value per share to investors purchasing Common Stock in this offering to $11.22 per share.</w:t>
      </w:r>
    </w:p>
    <w:p>
      <w:pPr>
        <w:spacing w:after="0" w:line="161" w:lineRule="exact"/>
        <w:rPr>
          <w:sz w:val="20"/>
          <w:szCs w:val="20"/>
          <w:color w:val="auto"/>
        </w:rPr>
      </w:pPr>
    </w:p>
    <w:p>
      <w:pPr>
        <w:jc w:val="both"/>
        <w:ind w:left="1120" w:right="140" w:firstLine="362"/>
        <w:spacing w:after="0" w:line="260" w:lineRule="auto"/>
        <w:rPr>
          <w:sz w:val="20"/>
          <w:szCs w:val="20"/>
          <w:color w:val="auto"/>
        </w:rPr>
      </w:pPr>
      <w:r>
        <w:rPr>
          <w:rFonts w:ascii="Times New Roman" w:cs="Times New Roman" w:eastAsia="Times New Roman" w:hAnsi="Times New Roman"/>
          <w:sz w:val="15"/>
          <w:szCs w:val="15"/>
          <w:color w:val="auto"/>
        </w:rPr>
        <w:t>The number of shares of our Common Stock to be outstanding immediately after this offering is based on 25,529,359 shares of Common Stock outstanding as of January 14, 2026. This figure excludes, as of that date, 285,615 shares of Common Stock reserved for the exercise of publicly traded warrants currently listed on the</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S-9</w:t>
      </w:r>
    </w:p>
    <w:p>
      <w:pPr>
        <w:sectPr>
          <w:pgSz w:w="11900" w:h="16838" w:orient="portrait"/>
          <w:cols w:equalWidth="0" w:num="1">
            <w:col w:w="10160"/>
          </w:cols>
          <w:pgMar w:left="300" w:top="400" w:right="1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59"/>
        <w:spacing w:after="0" w:line="253" w:lineRule="auto"/>
        <w:rPr>
          <w:sz w:val="20"/>
          <w:szCs w:val="20"/>
          <w:color w:val="auto"/>
        </w:rPr>
      </w:pPr>
      <w:r>
        <w:rPr>
          <w:rFonts w:ascii="Times New Roman" w:cs="Times New Roman" w:eastAsia="Times New Roman" w:hAnsi="Times New Roman"/>
          <w:sz w:val="15"/>
          <w:szCs w:val="15"/>
          <w:color w:val="auto"/>
        </w:rPr>
        <w:t>NYSE; 2,404,317 shares of Common Stock reserved for outstanding equity awards and the remaining pool of incentive equity available under the Omnibus Incentive Plan; 1,954,866 shares of Common Stock for the exercise of a one-time grant of options to select members of management to purchase shares of the Company’s Common Stock; 1,153,200 shares of Common Stock reserved for the exercise of Class 1 Warrants; 864,650 shares of Common Stock reserved for the exercise of Class 2 Warrants; 815,282 shares of Common Stock reserved for the exercise of an inducement grant provided to Akshay Naheta in connection with his appointment as an officer of the Company; and the DTR Acquisition Share Consideration.</w:t>
      </w:r>
    </w:p>
    <w:p>
      <w:pPr>
        <w:spacing w:after="0" w:line="155" w:lineRule="exact"/>
        <w:rPr>
          <w:sz w:val="20"/>
          <w:szCs w:val="20"/>
          <w:color w:val="auto"/>
        </w:rPr>
      </w:pPr>
    </w:p>
    <w:p>
      <w:pPr>
        <w:jc w:val="both"/>
        <w:ind w:left="1120" w:right="19" w:firstLine="362"/>
        <w:spacing w:after="0" w:line="260" w:lineRule="auto"/>
        <w:rPr>
          <w:sz w:val="20"/>
          <w:szCs w:val="20"/>
          <w:color w:val="auto"/>
        </w:rPr>
      </w:pPr>
      <w:r>
        <w:rPr>
          <w:rFonts w:ascii="Times New Roman" w:cs="Times New Roman" w:eastAsia="Times New Roman" w:hAnsi="Times New Roman"/>
          <w:sz w:val="15"/>
          <w:szCs w:val="15"/>
          <w:color w:val="auto"/>
        </w:rPr>
        <w:t>To the extent that any outstanding options or warrants are exercised, restricted stock units or performance-based restricted stock units and vest and are settled, and other equity incentive awards that may be settled into shares of our Common Stock are issued in the future at a price less than the public offering price, there will be further dilution to the investors.</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S-10</w:t>
      </w:r>
    </w:p>
    <w:p>
      <w:pPr>
        <w:sectPr>
          <w:pgSz w:w="11900" w:h="16838" w:orient="portrait"/>
          <w:cols w:equalWidth="0" w:num="1">
            <w:col w:w="10159"/>
          </w:cols>
          <w:pgMar w:left="300" w:top="400"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MATERIAL UNITED STATES FEDERAL INCOME TAX CONSEQUENCES TO NON-U.S. HOLDERS OF OUR COMMON STOCK</w:t>
      </w:r>
    </w:p>
    <w:p>
      <w:pPr>
        <w:spacing w:after="0" w:line="196" w:lineRule="exact"/>
        <w:rPr>
          <w:sz w:val="20"/>
          <w:szCs w:val="20"/>
          <w:color w:val="auto"/>
        </w:rPr>
      </w:pPr>
    </w:p>
    <w:p>
      <w:pPr>
        <w:ind w:left="1120" w:right="239" w:firstLine="362"/>
        <w:spacing w:after="0" w:line="273" w:lineRule="auto"/>
        <w:rPr>
          <w:sz w:val="20"/>
          <w:szCs w:val="20"/>
          <w:color w:val="auto"/>
        </w:rPr>
      </w:pPr>
      <w:r>
        <w:rPr>
          <w:rFonts w:ascii="Times New Roman" w:cs="Times New Roman" w:eastAsia="Times New Roman" w:hAnsi="Times New Roman"/>
          <w:sz w:val="15"/>
          <w:szCs w:val="15"/>
          <w:color w:val="auto"/>
        </w:rPr>
        <w:t>This section summarizes certain United States federal income tax consequences of the ownership and disposition of our Common Stock issued pursuant to this offering by a non-U.S. holder. You are a non-U.S. holder if you are, for United States federal income tax purposes:</w:t>
      </w:r>
    </w:p>
    <w:p>
      <w:pPr>
        <w:spacing w:after="0" w:line="62" w:lineRule="exact"/>
        <w:rPr>
          <w:sz w:val="20"/>
          <w:szCs w:val="20"/>
          <w:color w:val="auto"/>
        </w:rPr>
      </w:pPr>
    </w:p>
    <w:p>
      <w:pPr>
        <w:ind w:left="1920" w:hanging="354"/>
        <w:spacing w:after="0"/>
        <w:tabs>
          <w:tab w:leader="none" w:pos="19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nonresident alien individual,</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foreign corporation, or</w:t>
      </w:r>
    </w:p>
    <w:p>
      <w:pPr>
        <w:spacing w:after="0" w:line="104" w:lineRule="exact"/>
        <w:rPr>
          <w:rFonts w:ascii="Times New Roman" w:cs="Times New Roman" w:eastAsia="Times New Roman" w:hAnsi="Times New Roman"/>
          <w:sz w:val="15"/>
          <w:szCs w:val="15"/>
          <w:color w:val="auto"/>
        </w:rPr>
      </w:pPr>
    </w:p>
    <w:p>
      <w:pPr>
        <w:ind w:left="1920" w:right="279" w:hanging="354"/>
        <w:spacing w:after="0" w:line="273" w:lineRule="auto"/>
        <w:tabs>
          <w:tab w:leader="none" w:pos="19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or trust that in either case is not subject to United States federal income tax on a net income basis on income or gain from our Common Stock.</w:t>
      </w:r>
    </w:p>
    <w:p>
      <w:pPr>
        <w:spacing w:after="0" w:line="140" w:lineRule="exact"/>
        <w:rPr>
          <w:sz w:val="20"/>
          <w:szCs w:val="20"/>
          <w:color w:val="auto"/>
        </w:rPr>
      </w:pPr>
    </w:p>
    <w:p>
      <w:pPr>
        <w:ind w:left="1120" w:right="39" w:firstLine="362"/>
        <w:spacing w:after="0" w:line="255" w:lineRule="auto"/>
        <w:rPr>
          <w:sz w:val="20"/>
          <w:szCs w:val="20"/>
          <w:color w:val="auto"/>
        </w:rPr>
      </w:pPr>
      <w:r>
        <w:rPr>
          <w:rFonts w:ascii="Times New Roman" w:cs="Times New Roman" w:eastAsia="Times New Roman" w:hAnsi="Times New Roman"/>
          <w:sz w:val="15"/>
          <w:szCs w:val="15"/>
          <w:color w:val="auto"/>
        </w:rPr>
        <w:t>This section does not consider the specific facts and circumstances that may be relevant to a particular non-U.S. holder and does not address the treatment of a non-U.S. holder under the laws of any state, local or foreign taxing jurisdiction. This section is based on the tax laws of the United States, including the Internal Revenue Code of 1986, as amended (the “Code”), existing and proposed regulations, and administrative and judicial interpretations, all as currently in effect. These laws are subject to change, possibly on a retroactive basis.</w:t>
      </w:r>
    </w:p>
    <w:p>
      <w:pPr>
        <w:spacing w:after="0" w:line="153" w:lineRule="exact"/>
        <w:rPr>
          <w:sz w:val="20"/>
          <w:szCs w:val="20"/>
          <w:color w:val="auto"/>
        </w:rPr>
      </w:pPr>
    </w:p>
    <w:p>
      <w:pPr>
        <w:ind w:left="1120" w:right="59" w:firstLine="362"/>
        <w:spacing w:after="0" w:line="255" w:lineRule="auto"/>
        <w:rPr>
          <w:sz w:val="20"/>
          <w:szCs w:val="20"/>
          <w:color w:val="auto"/>
        </w:rPr>
      </w:pPr>
      <w:r>
        <w:rPr>
          <w:rFonts w:ascii="Times New Roman" w:cs="Times New Roman" w:eastAsia="Times New Roman" w:hAnsi="Times New Roman"/>
          <w:sz w:val="15"/>
          <w:szCs w:val="15"/>
          <w:color w:val="auto"/>
        </w:rPr>
        <w:t>If an entity or arrangement that is treated as a partnership for United States federal income tax purposes holds our Common Stock, the United States federal income tax treatment of a partner will generally depend on the status of the partner and the tax treatment of the partnership. A partner in a partnership holding our Common Stock should consult its tax advisor with regard to the United States federal income tax treatment of an investment in our Common Stock.</w:t>
      </w:r>
    </w:p>
    <w:p>
      <w:pPr>
        <w:spacing w:after="0" w:line="151" w:lineRule="exact"/>
        <w:rPr>
          <w:sz w:val="20"/>
          <w:szCs w:val="20"/>
          <w:color w:val="auto"/>
        </w:rPr>
      </w:pPr>
    </w:p>
    <w:p>
      <w:pPr>
        <w:ind w:left="1120" w:right="99" w:firstLine="362"/>
        <w:spacing w:after="0" w:line="256" w:lineRule="auto"/>
        <w:rPr>
          <w:sz w:val="20"/>
          <w:szCs w:val="20"/>
          <w:color w:val="auto"/>
        </w:rPr>
      </w:pPr>
      <w:r>
        <w:rPr>
          <w:rFonts w:ascii="Times New Roman" w:cs="Times New Roman" w:eastAsia="Times New Roman" w:hAnsi="Times New Roman"/>
          <w:sz w:val="15"/>
          <w:szCs w:val="15"/>
          <w:b w:val="1"/>
          <w:bCs w:val="1"/>
          <w:color w:val="auto"/>
        </w:rPr>
        <w:t>PROSPECTIVE INVESTORS SHOULD CONSULT THEIR TAX ADVISORS REGARDING THE PARTICULAR U.S. FEDERAL INCOME TAX CONSEQUENCES TO THEM OF ACQUIRING, OWNING AND DISPOSING OF OUR COMMON STOCK, AS WELL AS ANY TAX CONSEQUENCES ARISING UNDER ANY STATE, LOCAL OR NON-U.S. TAX LAWS AND ANY U.S. FEDERAL NON-INCOME TAX LAWS, OR UNDER ANY APPLICABLE INCOME TAX TREATY.</w:t>
      </w:r>
    </w:p>
    <w:p>
      <w:pPr>
        <w:spacing w:after="0" w:line="23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Dividends</w:t>
      </w:r>
    </w:p>
    <w:p>
      <w:pPr>
        <w:spacing w:after="0" w:line="95" w:lineRule="exact"/>
        <w:rPr>
          <w:sz w:val="20"/>
          <w:szCs w:val="20"/>
          <w:color w:val="auto"/>
        </w:rPr>
      </w:pPr>
    </w:p>
    <w:p>
      <w:pPr>
        <w:ind w:left="1120" w:right="59" w:firstLine="362"/>
        <w:spacing w:after="0" w:line="271" w:lineRule="auto"/>
        <w:rPr>
          <w:sz w:val="20"/>
          <w:szCs w:val="20"/>
          <w:color w:val="auto"/>
        </w:rPr>
      </w:pPr>
      <w:r>
        <w:rPr>
          <w:rFonts w:ascii="Times New Roman" w:cs="Times New Roman" w:eastAsia="Times New Roman" w:hAnsi="Times New Roman"/>
          <w:sz w:val="14"/>
          <w:szCs w:val="14"/>
          <w:color w:val="auto"/>
        </w:rPr>
        <w:t>As described in the section titled “Dividend Policy,” we do not anticipate declaring or paying any dividends to holders of our Common Stock in the foreseeable future. However, if we make a distribution of cash or other property (other than certain distributions of our stock) in respect of our Common Stock, the distribution generally will be treated as a dividend to the extent of our current or accumulated earnings and profits, as determined under United States federal income tax principles. Any portion of a distribution that exceeds our current and accumulated earnings and profits will generally be treated first as a tax-free return of capital, on a share-by-share basis, to the extent of your tax basis in our Common Stock (and will reduce your basis in such Common Stock), and, to the extent such portion exceeds your tax basis in our Common Stock, the excess will be treated as gain from the taxable disposition of our Common stock, the tax treatment of which is discussed below under “Gain on Disposition of our Common Stock.”</w:t>
      </w:r>
    </w:p>
    <w:p>
      <w:pPr>
        <w:spacing w:after="0" w:line="146" w:lineRule="exact"/>
        <w:rPr>
          <w:sz w:val="20"/>
          <w:szCs w:val="20"/>
          <w:color w:val="auto"/>
        </w:rPr>
      </w:pPr>
    </w:p>
    <w:p>
      <w:pPr>
        <w:ind w:left="1120" w:right="99" w:firstLine="362"/>
        <w:spacing w:after="0" w:line="255" w:lineRule="auto"/>
        <w:rPr>
          <w:sz w:val="20"/>
          <w:szCs w:val="20"/>
          <w:color w:val="auto"/>
        </w:rPr>
      </w:pPr>
      <w:r>
        <w:rPr>
          <w:rFonts w:ascii="Times New Roman" w:cs="Times New Roman" w:eastAsia="Times New Roman" w:hAnsi="Times New Roman"/>
          <w:sz w:val="15"/>
          <w:szCs w:val="15"/>
          <w:color w:val="auto"/>
        </w:rPr>
        <w:t>Except as described below, dividends paid to you on our Common Stock are subject to withholding of United States federal income tax at a 30% rate or at a lower rate if you are eligible for the benefits of an income tax treaty that provides for a lower rate. Even if you are eligible for a lower treaty rate, the financial institution or other withholding agent will generally be required to withhold at a 30% rate (rather than the lower treaty rate) on dividend payments to you, unless you have furnished to the financial institution or other withholding agent:</w:t>
      </w:r>
    </w:p>
    <w:p>
      <w:pPr>
        <w:spacing w:after="0" w:line="76" w:lineRule="exact"/>
        <w:rPr>
          <w:sz w:val="20"/>
          <w:szCs w:val="20"/>
          <w:color w:val="auto"/>
        </w:rPr>
      </w:pPr>
    </w:p>
    <w:p>
      <w:pPr>
        <w:ind w:left="1920" w:right="219" w:hanging="354"/>
        <w:spacing w:after="0" w:line="273" w:lineRule="auto"/>
        <w:tabs>
          <w:tab w:leader="none" w:pos="19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valid Internal Revenue Service (“IRS”) Form W-8 or an acceptable substitute form upon which you certify, under penalties of perjury, your status as a non-United States person and your entitlement to the lower treaty rate with respect to such payments, or</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S-11</w:t>
      </w:r>
    </w:p>
    <w:p>
      <w:pPr>
        <w:sectPr>
          <w:pgSz w:w="11900" w:h="16838" w:orient="portrait"/>
          <w:cols w:equalWidth="0" w:num="1">
            <w:col w:w="10159"/>
          </w:cols>
          <w:pgMar w:left="300" w:top="400"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jc w:val="both"/>
        <w:ind w:left="1920" w:right="299" w:hanging="354"/>
        <w:spacing w:after="0" w:line="260" w:lineRule="auto"/>
        <w:tabs>
          <w:tab w:leader="none" w:pos="19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payments made outside the United States to an offshore account (generally, an account maintained by you at an office or branch of a bank or other financial institution at any location outside the United States), other documentary evidence establishing your entitlement to the lower treaty rate in accordance with U.S. Treasury regulations.</w:t>
      </w:r>
    </w:p>
    <w:p>
      <w:pPr>
        <w:spacing w:after="0" w:line="149" w:lineRule="exact"/>
        <w:rPr>
          <w:sz w:val="20"/>
          <w:szCs w:val="20"/>
          <w:color w:val="auto"/>
        </w:rPr>
      </w:pPr>
    </w:p>
    <w:p>
      <w:pPr>
        <w:ind w:left="1120" w:right="479" w:firstLine="362"/>
        <w:spacing w:after="0" w:line="273" w:lineRule="auto"/>
        <w:rPr>
          <w:sz w:val="20"/>
          <w:szCs w:val="20"/>
          <w:color w:val="auto"/>
        </w:rPr>
      </w:pPr>
      <w:r>
        <w:rPr>
          <w:rFonts w:ascii="Times New Roman" w:cs="Times New Roman" w:eastAsia="Times New Roman" w:hAnsi="Times New Roman"/>
          <w:sz w:val="15"/>
          <w:szCs w:val="15"/>
          <w:color w:val="auto"/>
        </w:rPr>
        <w:t>If you are eligible for a reduced rate of United States withholding tax under a tax treaty, you may generally obtain a refund of any amounts withheld in excess of that rate by filing a refund claim with the United States IRS.</w:t>
      </w:r>
    </w:p>
    <w:p>
      <w:pPr>
        <w:spacing w:after="0" w:line="140" w:lineRule="exact"/>
        <w:rPr>
          <w:sz w:val="20"/>
          <w:szCs w:val="20"/>
          <w:color w:val="auto"/>
        </w:rPr>
      </w:pPr>
    </w:p>
    <w:p>
      <w:pPr>
        <w:ind w:left="1120" w:right="79" w:firstLine="362"/>
        <w:spacing w:after="0" w:line="255" w:lineRule="auto"/>
        <w:rPr>
          <w:sz w:val="20"/>
          <w:szCs w:val="20"/>
          <w:color w:val="auto"/>
        </w:rPr>
      </w:pPr>
      <w:r>
        <w:rPr>
          <w:rFonts w:ascii="Times New Roman" w:cs="Times New Roman" w:eastAsia="Times New Roman" w:hAnsi="Times New Roman"/>
          <w:sz w:val="15"/>
          <w:szCs w:val="15"/>
          <w:color w:val="auto"/>
        </w:rPr>
        <w:t>If dividends paid to you are “effectively connected” with your conduct of a trade or business within the United States, and, if required by a tax treaty, the dividends are attributable to a permanent establishment or fixed base that you maintain in the United States, withholding agents are generally not required to withhold tax from the dividends, provided that you have furnished to the withholding agent a valid IRS Form W-8ECI or an acceptable substitute form upon which you represent, under penalties of perjury, that:</w:t>
      </w:r>
    </w:p>
    <w:p>
      <w:pPr>
        <w:spacing w:after="0" w:line="76" w:lineRule="exact"/>
        <w:rPr>
          <w:sz w:val="20"/>
          <w:szCs w:val="20"/>
          <w:color w:val="auto"/>
        </w:rPr>
      </w:pPr>
    </w:p>
    <w:p>
      <w:pPr>
        <w:ind w:left="1920" w:hanging="354"/>
        <w:spacing w:after="0"/>
        <w:tabs>
          <w:tab w:leader="none" w:pos="19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are a non-United States person, and</w:t>
      </w:r>
    </w:p>
    <w:p>
      <w:pPr>
        <w:spacing w:after="0" w:line="104" w:lineRule="exact"/>
        <w:rPr>
          <w:rFonts w:ascii="Times New Roman" w:cs="Times New Roman" w:eastAsia="Times New Roman" w:hAnsi="Times New Roman"/>
          <w:sz w:val="15"/>
          <w:szCs w:val="15"/>
          <w:color w:val="auto"/>
        </w:rPr>
      </w:pPr>
    </w:p>
    <w:p>
      <w:pPr>
        <w:ind w:left="1920" w:right="159" w:hanging="354"/>
        <w:spacing w:after="0" w:line="273" w:lineRule="auto"/>
        <w:tabs>
          <w:tab w:leader="none" w:pos="19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dividends are effectively connected with your conduct of a trade or business within the United States and are includible in your gross income.</w:t>
      </w:r>
    </w:p>
    <w:p>
      <w:pPr>
        <w:spacing w:after="0" w:line="1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“Effectively connected” dividends are taxed at rates applicable to United States persons.</w:t>
      </w:r>
    </w:p>
    <w:p>
      <w:pPr>
        <w:spacing w:after="0" w:line="182" w:lineRule="exact"/>
        <w:rPr>
          <w:sz w:val="20"/>
          <w:szCs w:val="20"/>
          <w:color w:val="auto"/>
        </w:rPr>
      </w:pPr>
    </w:p>
    <w:p>
      <w:pPr>
        <w:ind w:left="1120" w:right="19" w:firstLine="362"/>
        <w:spacing w:after="0" w:line="260" w:lineRule="auto"/>
        <w:rPr>
          <w:sz w:val="20"/>
          <w:szCs w:val="20"/>
          <w:color w:val="auto"/>
        </w:rPr>
      </w:pPr>
      <w:r>
        <w:rPr>
          <w:rFonts w:ascii="Times New Roman" w:cs="Times New Roman" w:eastAsia="Times New Roman" w:hAnsi="Times New Roman"/>
          <w:sz w:val="15"/>
          <w:szCs w:val="15"/>
          <w:color w:val="auto"/>
        </w:rPr>
        <w:t>If you are a corporate non-U.S. holder for U.S. federal income tax purposes, “effectively connected” dividends that you receive may, under certain circumstances, be subject to an additional “branch profits tax” at a 30% rate or at a lower rate if you are eligible for the benefits of an income tax treaty that provides for a lower rate.</w:t>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Gain on Disposition of our Common Stock</w:t>
      </w:r>
    </w:p>
    <w:p>
      <w:pPr>
        <w:spacing w:after="0" w:line="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You generally will not be subject to United States federal income tax on gain that you recognize on a disposition of our Common Stock unless:</w:t>
      </w:r>
    </w:p>
    <w:p>
      <w:pPr>
        <w:spacing w:after="0" w:line="105" w:lineRule="exact"/>
        <w:rPr>
          <w:sz w:val="20"/>
          <w:szCs w:val="20"/>
          <w:color w:val="auto"/>
        </w:rPr>
      </w:pPr>
    </w:p>
    <w:p>
      <w:pPr>
        <w:jc w:val="both"/>
        <w:ind w:left="1920" w:right="139" w:hanging="354"/>
        <w:spacing w:after="0" w:line="260" w:lineRule="auto"/>
        <w:tabs>
          <w:tab w:leader="none" w:pos="19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gain is effectively connected with your conduct of a trade or business in the United States, and the gain is attributable to a permanent establishment or fixed base that you maintain in the United States, if that is required by an applicable income tax treaty as a condition for subjecting you to United States taxation on a net income basis,</w:t>
      </w:r>
    </w:p>
    <w:p>
      <w:pPr>
        <w:spacing w:after="0" w:line="71" w:lineRule="exact"/>
        <w:rPr>
          <w:rFonts w:ascii="Times New Roman" w:cs="Times New Roman" w:eastAsia="Times New Roman" w:hAnsi="Times New Roman"/>
          <w:sz w:val="15"/>
          <w:szCs w:val="15"/>
          <w:color w:val="auto"/>
        </w:rPr>
      </w:pPr>
    </w:p>
    <w:p>
      <w:pPr>
        <w:ind w:left="1920" w:right="659" w:hanging="354"/>
        <w:spacing w:after="0" w:line="273" w:lineRule="auto"/>
        <w:tabs>
          <w:tab w:leader="none" w:pos="19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are an individual, you hold our Common Stock as a capital asset, you are present in the United States for a period or periods aggregating to 183 or more days in the taxable year of the sale and certain other conditions exist, or</w:t>
      </w:r>
    </w:p>
    <w:p>
      <w:pPr>
        <w:spacing w:after="0" w:line="61" w:lineRule="exact"/>
        <w:rPr>
          <w:rFonts w:ascii="Times New Roman" w:cs="Times New Roman" w:eastAsia="Times New Roman" w:hAnsi="Times New Roman"/>
          <w:sz w:val="15"/>
          <w:szCs w:val="15"/>
          <w:color w:val="auto"/>
        </w:rPr>
      </w:pPr>
    </w:p>
    <w:p>
      <w:pPr>
        <w:ind w:left="1920" w:right="79" w:hanging="354"/>
        <w:spacing w:after="0" w:line="252" w:lineRule="auto"/>
        <w:tabs>
          <w:tab w:leader="none" w:pos="19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or have been a “United States real property holding corporation” (as described below), at any time within the five-year period preceding the disposition or your holding period, whichever period is shorter, you are not eligible for a treaty exemption, and either (i) our Common Stock is not regularly traded on an established securities market (within the meaning of the applicable Treasury Regulations) during the calendar year in which the sale or disposition occurs or (ii) you owned or are deemed to have owned due to the application of constructive ownership rules, at any time within the five-year period preceding the disposition or your holding period in our Common Stock, whichever period is shorter, more than 5% of our Common Stock.</w:t>
      </w:r>
    </w:p>
    <w:p>
      <w:pPr>
        <w:spacing w:after="0" w:line="155" w:lineRule="exact"/>
        <w:rPr>
          <w:sz w:val="20"/>
          <w:szCs w:val="20"/>
          <w:color w:val="auto"/>
        </w:rPr>
      </w:pPr>
    </w:p>
    <w:p>
      <w:pPr>
        <w:ind w:left="1120" w:right="79" w:firstLine="362"/>
        <w:spacing w:after="0" w:line="287" w:lineRule="auto"/>
        <w:rPr>
          <w:sz w:val="20"/>
          <w:szCs w:val="20"/>
          <w:color w:val="auto"/>
        </w:rPr>
      </w:pPr>
      <w:r>
        <w:rPr>
          <w:rFonts w:ascii="Times New Roman" w:cs="Times New Roman" w:eastAsia="Times New Roman" w:hAnsi="Times New Roman"/>
          <w:sz w:val="14"/>
          <w:szCs w:val="14"/>
          <w:color w:val="auto"/>
        </w:rPr>
        <w:t>If the gain from the taxable disposition of shares of our Common Stock is effectively connected with your conduct of a trade or business in the United States (and, if required by a tax treaty, the gain is attributable to a permanent establishment or fixed base that you maintain in the United States), you will be subject to tax on the net gain derived from the sale at rates applicable to United States persons. If you are a corporate non-U.S. holder</w:t>
      </w:r>
    </w:p>
    <w:p>
      <w:pPr>
        <w:spacing w:after="0" w:line="7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S-12</w:t>
      </w:r>
    </w:p>
    <w:p>
      <w:pPr>
        <w:sectPr>
          <w:pgSz w:w="11900" w:h="16838" w:orient="portrait"/>
          <w:cols w:equalWidth="0" w:num="1">
            <w:col w:w="10159"/>
          </w:cols>
          <w:pgMar w:left="300" w:top="400"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spacing w:after="0" w:line="253" w:lineRule="auto"/>
        <w:rPr>
          <w:sz w:val="20"/>
          <w:szCs w:val="20"/>
          <w:color w:val="auto"/>
        </w:rPr>
      </w:pPr>
      <w:r>
        <w:rPr>
          <w:rFonts w:ascii="Times New Roman" w:cs="Times New Roman" w:eastAsia="Times New Roman" w:hAnsi="Times New Roman"/>
          <w:sz w:val="15"/>
          <w:szCs w:val="15"/>
          <w:color w:val="auto"/>
        </w:rPr>
        <w:t>for U.S. federal income tax purposes, “effectively connected” gains that you recognize may also, under certain circumstances, be subject to an additional “branch profits tax” at a 30% rate or at a lower rate if you are eligible for the benefits of an income tax treaty that provides for a lower rate. If you are an individual non-U.S. holder described in the second bullet point immediately above, you will be subject to a flat 30% tax (unless an applicable income tax treaty provides otherwise) on the gain derived from the sale, which may be offset by United States source capital losses, even though you are not considered a resident of the United States.</w:t>
      </w:r>
    </w:p>
    <w:p>
      <w:pPr>
        <w:spacing w:after="0" w:line="155" w:lineRule="exact"/>
        <w:rPr>
          <w:sz w:val="20"/>
          <w:szCs w:val="20"/>
          <w:color w:val="auto"/>
        </w:rPr>
      </w:pPr>
    </w:p>
    <w:p>
      <w:pPr>
        <w:ind w:left="1120" w:firstLine="362"/>
        <w:spacing w:after="0" w:line="252" w:lineRule="auto"/>
        <w:rPr>
          <w:sz w:val="20"/>
          <w:szCs w:val="20"/>
          <w:color w:val="auto"/>
        </w:rPr>
      </w:pPr>
      <w:r>
        <w:rPr>
          <w:rFonts w:ascii="Times New Roman" w:cs="Times New Roman" w:eastAsia="Times New Roman" w:hAnsi="Times New Roman"/>
          <w:sz w:val="15"/>
          <w:szCs w:val="15"/>
          <w:color w:val="auto"/>
        </w:rPr>
        <w:t>If the third bullet point above applies to you, then gain you realize will be subject to U.S. federal income tax at generally applicable U.S. federal income tax rates. In addition, a buyer may be required to withhold U.S. federal income tax at a rate of 15% of the amount realized upon such disposition. We will be a United States real property holding corporation at any time that the fair market value of our “United States real property interests,” as defined in the Code and applicable Treasury Regulations, equals or exceeds 50% of the aggregate fair market value of our worldwide real property interests and our other assets used or held for use in a trade or business (all as determined for the U.S. federal income tax purposes). We believe that we are not, and do not anticipate becoming in the foreseeable future, a United States real property holding corporation.</w:t>
      </w:r>
    </w:p>
    <w:p>
      <w:pPr>
        <w:spacing w:after="0" w:line="2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FATCA Withholding</w:t>
      </w:r>
    </w:p>
    <w:p>
      <w:pPr>
        <w:spacing w:after="0" w:line="95" w:lineRule="exact"/>
        <w:rPr>
          <w:sz w:val="20"/>
          <w:szCs w:val="20"/>
          <w:color w:val="auto"/>
        </w:rPr>
      </w:pPr>
    </w:p>
    <w:p>
      <w:pPr>
        <w:ind w:left="1120" w:right="100" w:firstLine="362"/>
        <w:spacing w:after="0" w:line="268" w:lineRule="auto"/>
        <w:rPr>
          <w:sz w:val="20"/>
          <w:szCs w:val="20"/>
          <w:color w:val="auto"/>
        </w:rPr>
      </w:pPr>
      <w:r>
        <w:rPr>
          <w:rFonts w:ascii="Times New Roman" w:cs="Times New Roman" w:eastAsia="Times New Roman" w:hAnsi="Times New Roman"/>
          <w:sz w:val="14"/>
          <w:szCs w:val="14"/>
          <w:color w:val="auto"/>
        </w:rPr>
        <w:t>Pursuant to sections 1471 through 1474 of the Code, commonly known as the Foreign Account Tax Compliance Act (“FATCA”), a 30% withholding tax (“FATCA withholding”) may be imposed on certain payments to you or to certain foreign financial institutions, investment funds and other non-U.S. persons receiving payments on your behalf if you or such persons fail to comply with certain information reporting requirements. Payments of dividends that you receive in respect of our Common Stock could be affected by this withholding if you are subject to the FATCA information reporting requirements and fail to comply with them or if you hold our Common Stock through a non-U.S. person (e.g., a foreign bank or broker) that fails to comply with these requirements (even if payments to you would not otherwise have been subject to FATCA withholding). FATCA withholding was scheduled to apply to gross proceeds from the disposition of property that produces U.S.-source dividends (such as our Common Stock) beginning on January 1, 2019. However, Treasury Regulations were proposed which, if finalized in their present form, would eliminate the U.S. federal withholding tax of 30% applicable to the gross proceeds of a sale or other disposition of our Common Stock. Although the proposed Treasury Regulations are not final, taxpayers may generally rely on the proposed Treasury Regulations until final Treasury Regulations are issued. You should consult your own tax advisors regarding the relevant U.S. law and other official guidance on FATCA withholding.</w:t>
      </w:r>
    </w:p>
    <w:p>
      <w:pPr>
        <w:spacing w:after="0" w:line="23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Information Reporting and Backup Withholding</w:t>
      </w:r>
    </w:p>
    <w:p>
      <w:pPr>
        <w:spacing w:after="0" w:line="95" w:lineRule="exact"/>
        <w:rPr>
          <w:sz w:val="20"/>
          <w:szCs w:val="20"/>
          <w:color w:val="auto"/>
        </w:rPr>
      </w:pPr>
    </w:p>
    <w:p>
      <w:pPr>
        <w:ind w:left="1120" w:right="80" w:firstLine="362"/>
        <w:spacing w:after="0" w:line="253" w:lineRule="auto"/>
        <w:rPr>
          <w:sz w:val="20"/>
          <w:szCs w:val="20"/>
          <w:color w:val="auto"/>
        </w:rPr>
      </w:pPr>
      <w:r>
        <w:rPr>
          <w:rFonts w:ascii="Times New Roman" w:cs="Times New Roman" w:eastAsia="Times New Roman" w:hAnsi="Times New Roman"/>
          <w:sz w:val="15"/>
          <w:szCs w:val="15"/>
          <w:color w:val="auto"/>
        </w:rPr>
        <w:t>Withholding agents are generally required to report payments of dividends on our Common Stock on IRS Form 1042-S even if the payments are exempt from withholding. You are otherwise generally exempt from backup withholding and information reporting requirements with respect to dividend payments and the payment of the proceeds from the sale of our Common Stock effected at a United States office of a broker provided that either (i) you have furnished a valid IRS Form W-8 or other documentation upon which the payor or broker may rely to treat the payments as made to a non-United States person, or (ii) you otherwise establish an exemption.</w:t>
      </w:r>
    </w:p>
    <w:p>
      <w:pPr>
        <w:spacing w:after="0" w:line="155" w:lineRule="exact"/>
        <w:rPr>
          <w:sz w:val="20"/>
          <w:szCs w:val="20"/>
          <w:color w:val="auto"/>
        </w:rPr>
      </w:pPr>
    </w:p>
    <w:p>
      <w:pPr>
        <w:ind w:left="1120" w:right="20" w:firstLine="362"/>
        <w:spacing w:after="0" w:line="279" w:lineRule="auto"/>
        <w:rPr>
          <w:sz w:val="20"/>
          <w:szCs w:val="20"/>
          <w:color w:val="auto"/>
        </w:rPr>
      </w:pPr>
      <w:r>
        <w:rPr>
          <w:rFonts w:ascii="Times New Roman" w:cs="Times New Roman" w:eastAsia="Times New Roman" w:hAnsi="Times New Roman"/>
          <w:sz w:val="14"/>
          <w:szCs w:val="14"/>
          <w:color w:val="auto"/>
        </w:rPr>
        <w:t>Payment of the proceeds from the sale of our Common Stock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38" w:lineRule="exact"/>
        <w:rPr>
          <w:sz w:val="20"/>
          <w:szCs w:val="20"/>
          <w:color w:val="auto"/>
        </w:rPr>
      </w:pPr>
    </w:p>
    <w:p>
      <w:pPr>
        <w:ind w:left="1120" w:right="100" w:firstLine="362"/>
        <w:spacing w:after="0" w:line="260" w:lineRule="auto"/>
        <w:rPr>
          <w:sz w:val="20"/>
          <w:szCs w:val="20"/>
          <w:color w:val="auto"/>
        </w:rPr>
      </w:pPr>
      <w:r>
        <w:rPr>
          <w:rFonts w:ascii="Times New Roman" w:cs="Times New Roman" w:eastAsia="Times New Roman" w:hAnsi="Times New Roman"/>
          <w:sz w:val="15"/>
          <w:szCs w:val="15"/>
          <w:color w:val="auto"/>
        </w:rPr>
        <w:t>Backup withholding is not an additional tax. The amount of any backup withholding from a payment to a non-U.S. holder will be allowed as a credit against such non-U.S. holder’s U.S. federal income tax liability and may entitle such holder to a refund, provided that the required information is timely furnished to the IRS.</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S-13</w:t>
      </w:r>
    </w:p>
    <w:p>
      <w:pPr>
        <w:sectPr>
          <w:pgSz w:w="11900" w:h="16838" w:orient="portrait"/>
          <w:cols w:equalWidth="0" w:num="1">
            <w:col w:w="10160"/>
          </w:cols>
          <w:pgMar w:left="300" w:top="400" w:right="1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8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95" w:lineRule="exact"/>
        <w:rPr>
          <w:sz w:val="20"/>
          <w:szCs w:val="20"/>
          <w:color w:val="auto"/>
        </w:rPr>
      </w:pPr>
    </w:p>
    <w:p>
      <w:pPr>
        <w:ind w:left="1120" w:right="40" w:firstLine="362"/>
        <w:spacing w:after="0" w:line="251" w:lineRule="auto"/>
        <w:rPr>
          <w:sz w:val="20"/>
          <w:szCs w:val="20"/>
          <w:color w:val="auto"/>
        </w:rPr>
      </w:pPr>
      <w:r>
        <w:rPr>
          <w:rFonts w:ascii="Times New Roman" w:cs="Times New Roman" w:eastAsia="Times New Roman" w:hAnsi="Times New Roman"/>
          <w:sz w:val="15"/>
          <w:szCs w:val="15"/>
          <w:color w:val="auto"/>
        </w:rPr>
        <w:t>We have entered into a Sales Agreement with The Benchmark Company, LLC, Virtu Americas LLC, Clear Street LLC, Cohen &amp; Company Capital Markets, a division of Cohen &amp; Company Securities, LLC, Macquarie Capital (USA) Inc., Rosenblatt Securities Inc. and Roth Capital Partners, LLC, pursuant to which we may issue and sell from time to time shares of our Common Stock having an aggregate offering price of up to $300,000,000 through the Sales Agents, acting as our agents, or directly to one or more Sales Agents, acting as principals. A copy of the Sales Agreement will be filed as an exhibit to a Current Report on Form 8-K and will be incorporated by reference into this prospectus supplement. If we sell our Common Stock to any Sales Agent, acting as principal, we will enter into a separate agreement setting forth the terms of such transaction and, to the extent required by applicable law, we will describe this agreement in a separate prospectus supplement or pricing supplement.</w:t>
      </w:r>
    </w:p>
    <w:p>
      <w:pPr>
        <w:spacing w:after="0" w:line="156" w:lineRule="exact"/>
        <w:rPr>
          <w:sz w:val="20"/>
          <w:szCs w:val="20"/>
          <w:color w:val="auto"/>
        </w:rPr>
      </w:pPr>
    </w:p>
    <w:p>
      <w:pPr>
        <w:ind w:left="1120" w:right="140" w:firstLine="362"/>
        <w:spacing w:after="0" w:line="253" w:lineRule="auto"/>
        <w:rPr>
          <w:sz w:val="20"/>
          <w:szCs w:val="20"/>
          <w:color w:val="auto"/>
        </w:rPr>
      </w:pPr>
      <w:r>
        <w:rPr>
          <w:rFonts w:ascii="Times New Roman" w:cs="Times New Roman" w:eastAsia="Times New Roman" w:hAnsi="Times New Roman"/>
          <w:sz w:val="15"/>
          <w:szCs w:val="15"/>
          <w:color w:val="auto"/>
        </w:rPr>
        <w:t>Sales, if any, of our Common Stock under the Sales Agreement may be made in sales deemed to be “at-the-market offerings” as defined in Rule 415(a)(4) promulgated under the Securities Act, including by means of ordinary brokers’ transactions, to or through a market maker, on or through the NYSE or any other market venue where the securities may be traded, in the over-the-counter market, in privately negotiated transactions (including block transactions), or through a combination of any such methods of sale. The Sales Agents may also sell our Common Stock by any other method permitted by law.</w:t>
      </w:r>
    </w:p>
    <w:p>
      <w:pPr>
        <w:spacing w:after="0" w:line="155" w:lineRule="exact"/>
        <w:rPr>
          <w:sz w:val="20"/>
          <w:szCs w:val="20"/>
          <w:color w:val="auto"/>
        </w:rPr>
      </w:pPr>
    </w:p>
    <w:p>
      <w:pPr>
        <w:ind w:left="1120" w:right="60" w:firstLine="362"/>
        <w:spacing w:after="0" w:line="260" w:lineRule="auto"/>
        <w:rPr>
          <w:sz w:val="20"/>
          <w:szCs w:val="20"/>
          <w:color w:val="auto"/>
        </w:rPr>
      </w:pPr>
      <w:r>
        <w:rPr>
          <w:rFonts w:ascii="Times New Roman" w:cs="Times New Roman" w:eastAsia="Times New Roman" w:hAnsi="Times New Roman"/>
          <w:sz w:val="15"/>
          <w:szCs w:val="15"/>
          <w:color w:val="auto"/>
        </w:rPr>
        <w:t>The shares of Common Stock may be sold at market prices prevailing at the time of sale, at prices related to such prevailing market prices or at negotiated prices. We cannot predict the number of shares of our Common Stock that we may sell under the Sales Agreement on the NYSE or any other trading market for our Common Stock in the United States, or if any Common Stock will be sold at all.</w:t>
      </w:r>
    </w:p>
    <w:p>
      <w:pPr>
        <w:spacing w:after="0" w:line="149" w:lineRule="exact"/>
        <w:rPr>
          <w:sz w:val="20"/>
          <w:szCs w:val="20"/>
          <w:color w:val="auto"/>
        </w:rPr>
      </w:pPr>
    </w:p>
    <w:p>
      <w:pPr>
        <w:ind w:left="1120" w:firstLine="362"/>
        <w:spacing w:after="0" w:line="253" w:lineRule="auto"/>
        <w:rPr>
          <w:sz w:val="20"/>
          <w:szCs w:val="20"/>
          <w:color w:val="auto"/>
        </w:rPr>
      </w:pPr>
      <w:r>
        <w:rPr>
          <w:rFonts w:ascii="Times New Roman" w:cs="Times New Roman" w:eastAsia="Times New Roman" w:hAnsi="Times New Roman"/>
          <w:sz w:val="15"/>
          <w:szCs w:val="15"/>
          <w:color w:val="auto"/>
        </w:rPr>
        <w:t>Upon receipt of written instructions from us and subject to the terms and conditions of the Sales Agreement, the applicable Sales Agent will use its commercially reasonable efforts consistent with its normal sales and trading practices to sell on our behalf the shares of our Common Stock. We will instruct a Sales Agent as to the maximum amount of Common Stock to be sold by such Sales Agent pursuant to such instructions. We may instruct such Sales Agent not to sell any Common Stock if the sales cannot be effected at or above the price designated by us in any such instruction. We or any Sales Agent, with respect to itself only, may suspend the offering of our Common Stock by notifying the other party.</w:t>
      </w:r>
    </w:p>
    <w:p>
      <w:pPr>
        <w:spacing w:after="0" w:line="155" w:lineRule="exact"/>
        <w:rPr>
          <w:sz w:val="20"/>
          <w:szCs w:val="20"/>
          <w:color w:val="auto"/>
        </w:rPr>
      </w:pPr>
    </w:p>
    <w:p>
      <w:pPr>
        <w:ind w:left="1120" w:right="40" w:firstLine="362"/>
        <w:spacing w:after="0" w:line="253" w:lineRule="auto"/>
        <w:rPr>
          <w:sz w:val="20"/>
          <w:szCs w:val="20"/>
          <w:color w:val="auto"/>
        </w:rPr>
      </w:pPr>
      <w:r>
        <w:rPr>
          <w:rFonts w:ascii="Times New Roman" w:cs="Times New Roman" w:eastAsia="Times New Roman" w:hAnsi="Times New Roman"/>
          <w:sz w:val="15"/>
          <w:szCs w:val="15"/>
          <w:color w:val="auto"/>
        </w:rPr>
        <w:t>A Sales Agent will provide to us written confirmation no later than the opening of the trading day on the NYSE following the trading day on which shares of Common Stock are sold under the Sales Agreement. Each confirmation will include the number of shares of Common Stock sold on the preceding day, the net proceeds to us and the compensation payable by us to the applicable Sales Agent. We will report at least quarterly the number of shares of Common Stock sold through the Sales Agents under the Sales Agreement, the net proceeds to us (before expenses) and the compensation paid by us to the Sales Agents in connection with the sales of shares of Common Stock.</w:t>
      </w:r>
    </w:p>
    <w:p>
      <w:pPr>
        <w:spacing w:after="0" w:line="155" w:lineRule="exact"/>
        <w:rPr>
          <w:sz w:val="20"/>
          <w:szCs w:val="20"/>
          <w:color w:val="auto"/>
        </w:rPr>
      </w:pPr>
    </w:p>
    <w:p>
      <w:pPr>
        <w:ind w:left="1120" w:firstLine="362"/>
        <w:spacing w:after="0" w:line="250" w:lineRule="auto"/>
        <w:rPr>
          <w:sz w:val="20"/>
          <w:szCs w:val="20"/>
          <w:color w:val="auto"/>
        </w:rPr>
      </w:pPr>
      <w:r>
        <w:rPr>
          <w:rFonts w:ascii="Times New Roman" w:cs="Times New Roman" w:eastAsia="Times New Roman" w:hAnsi="Times New Roman"/>
          <w:sz w:val="15"/>
          <w:szCs w:val="15"/>
          <w:color w:val="auto"/>
        </w:rPr>
        <w:t>We will pay each Sales Agent commissions for its services in acting as agent and/or principal in the sale of our Common Stock. Each Sales Agent will be entitled to compensation that will not exceed, but may be lower than, a commission rate of up to 3% of the gross sales price per share of Common Stock sold to or through such agent under the Sales Agreement. Because there is no minimum offering amount required as a condition to close this offering, the actual total public offering amount, commissions and proceeds to us, if any, are not determinable at this time. We have also agreed to reimburse the Sales Agents for certain specified expenses, including the fees and expenses of their legal counsel in an amount not to exceed $75,000 in connection with the execution of the Sales Agreement and $10,000 per calendar quarter thereafter and certain ongoing expenses. We estimate that the total expenses for the offering, excluding compensation and reimbursements payable to the Sales Agents under the terms of the Sales Agreement, will be approximately $2,300,000.</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S-14</w:t>
      </w:r>
    </w:p>
    <w:p>
      <w:pPr>
        <w:sectPr>
          <w:pgSz w:w="11900" w:h="16838" w:orient="portrait"/>
          <w:cols w:equalWidth="0" w:num="1">
            <w:col w:w="10160"/>
          </w:cols>
          <w:pgMar w:left="300" w:top="400" w:right="1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100" w:firstLine="362"/>
        <w:spacing w:after="0" w:line="279" w:lineRule="auto"/>
        <w:rPr>
          <w:sz w:val="20"/>
          <w:szCs w:val="20"/>
          <w:color w:val="auto"/>
        </w:rPr>
      </w:pPr>
      <w:r>
        <w:rPr>
          <w:rFonts w:ascii="Times New Roman" w:cs="Times New Roman" w:eastAsia="Times New Roman" w:hAnsi="Times New Roman"/>
          <w:sz w:val="14"/>
          <w:szCs w:val="14"/>
          <w:color w:val="auto"/>
        </w:rPr>
        <w:t>Settlement of any sales of Common Stock will occur on the first trading day following the date on which such sales were made, or on some other date that is agreed upon by us and the Sales Agents in connection with a particular transaction, in return for payment of the net proceeds to us. There is no arrangement for funds to be received in an escrow, trust or similar arrangement. Sales of our Common Stock as contemplated in this prospectus supplement will be settled through the facilities of The Depository Trust Company or by such other means as we and the Sales Agents may agree.</w:t>
      </w:r>
    </w:p>
    <w:p>
      <w:pPr>
        <w:spacing w:after="0" w:line="138" w:lineRule="exact"/>
        <w:rPr>
          <w:sz w:val="20"/>
          <w:szCs w:val="20"/>
          <w:color w:val="auto"/>
        </w:rPr>
      </w:pPr>
    </w:p>
    <w:p>
      <w:pPr>
        <w:ind w:left="1120" w:firstLine="362"/>
        <w:spacing w:after="0" w:line="253" w:lineRule="auto"/>
        <w:rPr>
          <w:sz w:val="20"/>
          <w:szCs w:val="20"/>
          <w:color w:val="auto"/>
        </w:rPr>
      </w:pPr>
      <w:r>
        <w:rPr>
          <w:rFonts w:ascii="Times New Roman" w:cs="Times New Roman" w:eastAsia="Times New Roman" w:hAnsi="Times New Roman"/>
          <w:sz w:val="15"/>
          <w:szCs w:val="15"/>
          <w:color w:val="auto"/>
        </w:rPr>
        <w:t>We or the Sales Agents may suspend the offering upon notice and subject to other conditions. The offering of our Common Stock pursuant to the Sales Agreement will terminate upon the earlier of (i) the sale of all of the shares of our Common Stock subject to the Sales Agreement and (ii) the termination of the Sales Agreement by us or the Sales Agents as provided therein. This prospectus supplement and the accompanying prospectus may be made available in electronic format on a website maintained by the Sales Agents, and the Sales Agents may distribute this prospectus supplement and the accompanying prospectus electronically.</w:t>
      </w:r>
    </w:p>
    <w:p>
      <w:pPr>
        <w:spacing w:after="0" w:line="155" w:lineRule="exact"/>
        <w:rPr>
          <w:sz w:val="20"/>
          <w:szCs w:val="20"/>
          <w:color w:val="auto"/>
        </w:rPr>
      </w:pPr>
    </w:p>
    <w:p>
      <w:pPr>
        <w:ind w:left="1120" w:right="80" w:firstLine="362"/>
        <w:spacing w:after="0" w:line="253" w:lineRule="auto"/>
        <w:rPr>
          <w:sz w:val="20"/>
          <w:szCs w:val="20"/>
          <w:color w:val="auto"/>
        </w:rPr>
      </w:pPr>
      <w:r>
        <w:rPr>
          <w:rFonts w:ascii="Times New Roman" w:cs="Times New Roman" w:eastAsia="Times New Roman" w:hAnsi="Times New Roman"/>
          <w:sz w:val="15"/>
          <w:szCs w:val="15"/>
          <w:color w:val="auto"/>
        </w:rPr>
        <w:t>The Sales Agents will use commercially reasonable efforts, consistent with their sales and trading practices, to sell on our behalf all of the shares of our Common Stock requested to be sold by us under the terms and subject to the conditions set forth in the Sales Agreement. In connection with the sale of the shares of Common Stock on our behalf, each of the Sales Agents will be deemed to be an “underwriter” within the meaning of the Securities Act, and the compensation paid to each of the Sales Agents will be deemed to be underwriting commissions or discounts. We have agreed to provide indemnification and contribution to the Sales Agents against certain liabilities, including civil liabilities under the Securities Act.</w:t>
      </w:r>
    </w:p>
    <w:p>
      <w:pPr>
        <w:spacing w:after="0" w:line="155" w:lineRule="exact"/>
        <w:rPr>
          <w:sz w:val="20"/>
          <w:szCs w:val="20"/>
          <w:color w:val="auto"/>
        </w:rPr>
      </w:pPr>
    </w:p>
    <w:p>
      <w:pPr>
        <w:ind w:left="1120" w:right="140" w:firstLine="362"/>
        <w:spacing w:after="0" w:line="260" w:lineRule="auto"/>
        <w:rPr>
          <w:sz w:val="20"/>
          <w:szCs w:val="20"/>
          <w:color w:val="auto"/>
        </w:rPr>
      </w:pPr>
      <w:r>
        <w:rPr>
          <w:rFonts w:ascii="Times New Roman" w:cs="Times New Roman" w:eastAsia="Times New Roman" w:hAnsi="Times New Roman"/>
          <w:sz w:val="15"/>
          <w:szCs w:val="15"/>
          <w:color w:val="auto"/>
        </w:rPr>
        <w:t>We may engage in investment banking, brokerage and other dealings with the Sales Agents and their affiliates in the ordinary course of business and we expect that the Sales Agents and their affiliates will receive customary fees and commissions for their services in connection with these transactions.</w:t>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Other Activities and Relationships</w:t>
      </w:r>
    </w:p>
    <w:p>
      <w:pPr>
        <w:spacing w:after="0" w:line="95" w:lineRule="exact"/>
        <w:rPr>
          <w:sz w:val="20"/>
          <w:szCs w:val="20"/>
          <w:color w:val="auto"/>
        </w:rPr>
      </w:pPr>
    </w:p>
    <w:p>
      <w:pPr>
        <w:ind w:left="1120" w:right="220" w:firstLine="362"/>
        <w:spacing w:after="0" w:line="253" w:lineRule="auto"/>
        <w:rPr>
          <w:sz w:val="20"/>
          <w:szCs w:val="20"/>
          <w:color w:val="auto"/>
        </w:rPr>
      </w:pPr>
      <w:r>
        <w:rPr>
          <w:rFonts w:ascii="Times New Roman" w:cs="Times New Roman" w:eastAsia="Times New Roman" w:hAnsi="Times New Roman"/>
          <w:sz w:val="15"/>
          <w:szCs w:val="15"/>
          <w:color w:val="auto"/>
        </w:rPr>
        <w:t>The Sales Agents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Sales Agents and certain of their respective affiliates have, from time to time, provided, and may in the future provide, a variety of these services to us and to persons and entities with relationships with us, for which they received or will receive customary fees and expenses.</w:t>
      </w:r>
    </w:p>
    <w:p>
      <w:pPr>
        <w:spacing w:after="0" w:line="155" w:lineRule="exact"/>
        <w:rPr>
          <w:sz w:val="20"/>
          <w:szCs w:val="20"/>
          <w:color w:val="auto"/>
        </w:rPr>
      </w:pPr>
    </w:p>
    <w:p>
      <w:pPr>
        <w:ind w:left="1120" w:right="40" w:firstLine="362"/>
        <w:spacing w:after="0" w:line="251" w:lineRule="auto"/>
        <w:rPr>
          <w:sz w:val="20"/>
          <w:szCs w:val="20"/>
          <w:color w:val="auto"/>
        </w:rPr>
      </w:pPr>
      <w:r>
        <w:rPr>
          <w:rFonts w:ascii="Times New Roman" w:cs="Times New Roman" w:eastAsia="Times New Roman" w:hAnsi="Times New Roman"/>
          <w:sz w:val="15"/>
          <w:szCs w:val="15"/>
          <w:color w:val="auto"/>
        </w:rPr>
        <w:t>In the ordinary course of their various business activities, the Sales Agents and their respective affiliates, officers, directors and employees may purchase, sell or hold a broad array of investments and actively trade securities, derivatives, loans, commodities, currencies, credit default swaps and other financial instruments for their own accounts and for the accounts of their customers, and such investment and trading activities may involve or relate to our assets, securities and/or instruments (directly, as collateral securing other obligations or otherwise) and/or persons and entities with relationships with us. The Sales Agents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Listing</w:t>
      </w:r>
    </w:p>
    <w:p>
      <w:pPr>
        <w:spacing w:after="0" w:line="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Our Common Stock is listed on NYSE under the symbol “BKKT”.</w:t>
      </w:r>
    </w:p>
    <w:p>
      <w:pPr>
        <w:spacing w:after="0" w:line="26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95" w:lineRule="exact"/>
        <w:rPr>
          <w:sz w:val="20"/>
          <w:szCs w:val="20"/>
          <w:color w:val="auto"/>
        </w:rPr>
      </w:pPr>
    </w:p>
    <w:p>
      <w:pPr>
        <w:ind w:left="1120" w:right="60" w:firstLine="362"/>
        <w:spacing w:after="0" w:line="273" w:lineRule="auto"/>
        <w:rPr>
          <w:sz w:val="20"/>
          <w:szCs w:val="20"/>
          <w:color w:val="auto"/>
        </w:rPr>
      </w:pPr>
      <w:r>
        <w:rPr>
          <w:rFonts w:ascii="Times New Roman" w:cs="Times New Roman" w:eastAsia="Times New Roman" w:hAnsi="Times New Roman"/>
          <w:sz w:val="15"/>
          <w:szCs w:val="15"/>
          <w:color w:val="auto"/>
        </w:rPr>
        <w:t>The transfer agent and registrar for our Common Stock is Equiniti Trust Company. Its mailing address is 28 Liberty Street, 53rd Floor, New York, NY 10005 and its telephone number is (800) 937-5449.</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S-15</w:t>
      </w:r>
    </w:p>
    <w:p>
      <w:pPr>
        <w:sectPr>
          <w:pgSz w:w="11900" w:h="16838" w:orient="portrait"/>
          <w:cols w:equalWidth="0" w:num="1">
            <w:col w:w="10160"/>
          </w:cols>
          <w:pgMar w:left="300" w:top="400" w:right="1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Selling Restrictions</w:t>
      </w:r>
    </w:p>
    <w:p>
      <w:pPr>
        <w:spacing w:after="0" w:line="95" w:lineRule="exact"/>
        <w:rPr>
          <w:sz w:val="20"/>
          <w:szCs w:val="20"/>
          <w:color w:val="auto"/>
        </w:rPr>
      </w:pPr>
    </w:p>
    <w:p>
      <w:pPr>
        <w:ind w:left="1120" w:right="119" w:firstLine="362"/>
        <w:spacing w:after="0" w:line="270" w:lineRule="auto"/>
        <w:rPr>
          <w:sz w:val="20"/>
          <w:szCs w:val="20"/>
          <w:color w:val="auto"/>
        </w:rPr>
      </w:pPr>
      <w:r>
        <w:rPr>
          <w:rFonts w:ascii="Times New Roman" w:cs="Times New Roman" w:eastAsia="Times New Roman" w:hAnsi="Times New Roman"/>
          <w:sz w:val="14"/>
          <w:szCs w:val="14"/>
          <w:color w:val="auto"/>
        </w:rPr>
        <w:t>Other than in the United States, no action has been taken by us or the Sales Agents that would permit a public offering of the shares of Common Stock offered by this prospectus supplement and the accompanying prospectus in any jurisdiction where action for that purpose is required. The shares of Common Stock offered by this prospectus supplement may not be offered or sold, directly or indirectly, nor may this prospectus supplement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shares of Common Stock offered by this prospectus supplement in any jurisdiction in which such an offer or a solicitation is unlawful.</w:t>
      </w:r>
    </w:p>
    <w:p>
      <w:pPr>
        <w:spacing w:after="0" w:line="147" w:lineRule="exact"/>
        <w:rPr>
          <w:sz w:val="20"/>
          <w:szCs w:val="20"/>
          <w:color w:val="auto"/>
        </w:rPr>
      </w:pPr>
    </w:p>
    <w:p>
      <w:pPr>
        <w:ind w:left="1120" w:right="299" w:firstLine="362"/>
        <w:spacing w:after="0" w:line="273" w:lineRule="auto"/>
        <w:rPr>
          <w:sz w:val="20"/>
          <w:szCs w:val="20"/>
          <w:color w:val="auto"/>
        </w:rPr>
      </w:pPr>
      <w:r>
        <w:rPr>
          <w:rFonts w:ascii="Times New Roman" w:cs="Times New Roman" w:eastAsia="Times New Roman" w:hAnsi="Times New Roman"/>
          <w:sz w:val="15"/>
          <w:szCs w:val="15"/>
          <w:color w:val="auto"/>
        </w:rPr>
        <w:t>You should be aware that the laws and practices of certain countries require investors to pay stamp taxes and other charges in connection with purchases of securities.</w:t>
      </w:r>
    </w:p>
    <w:p>
      <w:pPr>
        <w:spacing w:after="0" w:line="2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Notice to Prospective Investors in the European Economic Area</w:t>
      </w:r>
    </w:p>
    <w:p>
      <w:pPr>
        <w:spacing w:after="0" w:line="95" w:lineRule="exact"/>
        <w:rPr>
          <w:sz w:val="20"/>
          <w:szCs w:val="20"/>
          <w:color w:val="auto"/>
        </w:rPr>
      </w:pPr>
    </w:p>
    <w:p>
      <w:pPr>
        <w:ind w:left="1120" w:right="19" w:firstLine="362"/>
        <w:spacing w:after="0" w:line="253" w:lineRule="auto"/>
        <w:rPr>
          <w:sz w:val="20"/>
          <w:szCs w:val="20"/>
          <w:color w:val="auto"/>
        </w:rPr>
      </w:pPr>
      <w:r>
        <w:rPr>
          <w:rFonts w:ascii="Times New Roman" w:cs="Times New Roman" w:eastAsia="Times New Roman" w:hAnsi="Times New Roman"/>
          <w:sz w:val="15"/>
          <w:szCs w:val="15"/>
          <w:color w:val="auto"/>
        </w:rPr>
        <w:t>In relation to each Member State of the European Economic Area (each, a “Relevant State”), no shares of Common Stock have been offered or will be offered pursuant to the offering to the public in that Relevant State prior to the publication of a prospectus in relation to the offering which has been approved by the competent authority in that Relevant State or, where appropriate, approved in another Relevant State and notified to the competent authority in that Relevant State, all in accordance with the Prospectus Regulation, except that shares of Common Stock may be offered to the public in that Relevant State at any time:</w:t>
      </w:r>
    </w:p>
    <w:p>
      <w:pPr>
        <w:spacing w:after="0" w:line="77" w:lineRule="exact"/>
        <w:rPr>
          <w:sz w:val="20"/>
          <w:szCs w:val="20"/>
          <w:color w:val="auto"/>
        </w:rPr>
      </w:pPr>
    </w:p>
    <w:p>
      <w:pPr>
        <w:ind w:left="1920" w:hanging="443"/>
        <w:spacing w:after="0"/>
        <w:tabs>
          <w:tab w:leader="none" w:pos="19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under Article 2 of the Prospectus Regulation;</w:t>
      </w:r>
    </w:p>
    <w:p>
      <w:pPr>
        <w:spacing w:after="0" w:line="104" w:lineRule="exact"/>
        <w:rPr>
          <w:rFonts w:ascii="Times New Roman" w:cs="Times New Roman" w:eastAsia="Times New Roman" w:hAnsi="Times New Roman"/>
          <w:sz w:val="15"/>
          <w:szCs w:val="15"/>
          <w:color w:val="auto"/>
        </w:rPr>
      </w:pPr>
    </w:p>
    <w:p>
      <w:pPr>
        <w:ind w:left="1920" w:right="119" w:hanging="443"/>
        <w:spacing w:after="0" w:line="273" w:lineRule="auto"/>
        <w:tabs>
          <w:tab w:leader="none" w:pos="19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under Article 2 of the Prospectus Regulation), subject to obtaining the prior consent of the applicable Sales Agent(s) for any such offer; or</w:t>
      </w:r>
    </w:p>
    <w:p>
      <w:pPr>
        <w:spacing w:after="0" w:line="61" w:lineRule="exact"/>
        <w:rPr>
          <w:rFonts w:ascii="Times New Roman" w:cs="Times New Roman" w:eastAsia="Times New Roman" w:hAnsi="Times New Roman"/>
          <w:sz w:val="15"/>
          <w:szCs w:val="15"/>
          <w:color w:val="auto"/>
        </w:rPr>
      </w:pPr>
    </w:p>
    <w:p>
      <w:pPr>
        <w:ind w:left="1920" w:hanging="443"/>
        <w:spacing w:after="0"/>
        <w:tabs>
          <w:tab w:leader="none" w:pos="19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Article 1(4) of the Prospectus Regulation,</w:t>
      </w:r>
    </w:p>
    <w:p>
      <w:pPr>
        <w:spacing w:after="0" w:line="182" w:lineRule="exact"/>
        <w:rPr>
          <w:sz w:val="20"/>
          <w:szCs w:val="20"/>
          <w:color w:val="auto"/>
        </w:rPr>
      </w:pPr>
    </w:p>
    <w:p>
      <w:pPr>
        <w:ind w:left="1120" w:right="19"/>
        <w:spacing w:after="0" w:line="273" w:lineRule="auto"/>
        <w:rPr>
          <w:sz w:val="20"/>
          <w:szCs w:val="20"/>
          <w:color w:val="auto"/>
        </w:rPr>
      </w:pPr>
      <w:r>
        <w:rPr>
          <w:rFonts w:ascii="Times New Roman" w:cs="Times New Roman" w:eastAsia="Times New Roman" w:hAnsi="Times New Roman"/>
          <w:sz w:val="15"/>
          <w:szCs w:val="15"/>
          <w:color w:val="auto"/>
        </w:rPr>
        <w:t>provided that no such offer of securities shall require us or the Sales Agents to publish a prospectus pursuant to Article 3 of the Prospectus Regulation or supplement a prospectus pursuant to Article 23 of the Prospectus Regulation.</w:t>
      </w:r>
    </w:p>
    <w:p>
      <w:pPr>
        <w:spacing w:after="0" w:line="140" w:lineRule="exact"/>
        <w:rPr>
          <w:sz w:val="20"/>
          <w:szCs w:val="20"/>
          <w:color w:val="auto"/>
        </w:rPr>
      </w:pPr>
    </w:p>
    <w:p>
      <w:pPr>
        <w:ind w:left="1120" w:right="159" w:firstLine="362"/>
        <w:spacing w:after="0" w:line="253" w:lineRule="auto"/>
        <w:rPr>
          <w:sz w:val="20"/>
          <w:szCs w:val="20"/>
          <w:color w:val="auto"/>
        </w:rPr>
      </w:pPr>
      <w:r>
        <w:rPr>
          <w:rFonts w:ascii="Times New Roman" w:cs="Times New Roman" w:eastAsia="Times New Roman" w:hAnsi="Times New Roman"/>
          <w:sz w:val="15"/>
          <w:szCs w:val="15"/>
          <w:color w:val="auto"/>
        </w:rPr>
        <w:t>In the case of any shares being offered to a financial intermediary as that term is used in Article 1(4) of the EU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applicable Sales Agent(s) has been obtained to each such proposed offer or resale.</w:t>
      </w:r>
    </w:p>
    <w:p>
      <w:pPr>
        <w:spacing w:after="0" w:line="155" w:lineRule="exact"/>
        <w:rPr>
          <w:sz w:val="20"/>
          <w:szCs w:val="20"/>
          <w:color w:val="auto"/>
        </w:rPr>
      </w:pPr>
    </w:p>
    <w:p>
      <w:pPr>
        <w:ind w:left="1120" w:right="219" w:firstLine="362"/>
        <w:spacing w:after="0" w:line="260" w:lineRule="auto"/>
        <w:rPr>
          <w:sz w:val="20"/>
          <w:szCs w:val="20"/>
          <w:color w:val="auto"/>
        </w:rPr>
      </w:pPr>
      <w:r>
        <w:rPr>
          <w:rFonts w:ascii="Times New Roman" w:cs="Times New Roman" w:eastAsia="Times New Roman" w:hAnsi="Times New Roman"/>
          <w:sz w:val="15"/>
          <w:szCs w:val="15"/>
          <w:color w:val="auto"/>
        </w:rPr>
        <w:t>We, the Sales Agents and their affiliates will rely upon the truth and accuracy of the foregoing representations, warranties and agreements. Notwithstanding the above, a person who is not a “qualified investor” and who has notified the applicable Sales Agent(s) of such fact in writing may, with the prior consent of the applicable Sales Agent(s), be permitted to acquire shares in the offer.</w:t>
      </w:r>
    </w:p>
    <w:p>
      <w:pPr>
        <w:spacing w:after="0" w:line="149" w:lineRule="exact"/>
        <w:rPr>
          <w:sz w:val="20"/>
          <w:szCs w:val="20"/>
          <w:color w:val="auto"/>
        </w:rPr>
      </w:pPr>
    </w:p>
    <w:p>
      <w:pPr>
        <w:ind w:left="1120" w:right="379" w:firstLine="362"/>
        <w:spacing w:after="0" w:line="255" w:lineRule="auto"/>
        <w:rPr>
          <w:sz w:val="20"/>
          <w:szCs w:val="20"/>
          <w:color w:val="auto"/>
        </w:rPr>
      </w:pPr>
      <w:r>
        <w:rPr>
          <w:rFonts w:ascii="Times New Roman" w:cs="Times New Roman" w:eastAsia="Times New Roman" w:hAnsi="Times New Roman"/>
          <w:sz w:val="15"/>
          <w:szCs w:val="15"/>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S-16</w:t>
      </w:r>
    </w:p>
    <w:p>
      <w:pPr>
        <w:sectPr>
          <w:pgSz w:w="11900" w:h="16838" w:orient="portrait"/>
          <w:cols w:equalWidth="0" w:num="1">
            <w:col w:w="10159"/>
          </w:cols>
          <w:pgMar w:left="300" w:top="400"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United Kingdom</w:t>
      </w:r>
    </w:p>
    <w:p>
      <w:pPr>
        <w:spacing w:after="0" w:line="95" w:lineRule="exact"/>
        <w:rPr>
          <w:sz w:val="20"/>
          <w:szCs w:val="20"/>
          <w:color w:val="auto"/>
        </w:rPr>
      </w:pPr>
    </w:p>
    <w:p>
      <w:pPr>
        <w:ind w:left="1120" w:right="299" w:firstLine="362"/>
        <w:spacing w:after="0" w:line="260" w:lineRule="auto"/>
        <w:rPr>
          <w:sz w:val="20"/>
          <w:szCs w:val="20"/>
          <w:color w:val="auto"/>
        </w:rPr>
      </w:pPr>
      <w:r>
        <w:rPr>
          <w:rFonts w:ascii="Times New Roman" w:cs="Times New Roman" w:eastAsia="Times New Roman" w:hAnsi="Times New Roman"/>
          <w:sz w:val="15"/>
          <w:szCs w:val="15"/>
          <w:color w:val="auto"/>
        </w:rPr>
        <w:t>No shares of Common Stock have been offered or will be offered pursuant to the offering to the public in the United Kingdom prior to the publication of a prospectus in relation to the shares of Common Stock which has been approved by the Financial Conduct Authority, except that the shares of Common Stock may be offered to the public in the United Kingdom at any time:</w:t>
      </w:r>
    </w:p>
    <w:p>
      <w:pPr>
        <w:spacing w:after="0" w:line="71" w:lineRule="exact"/>
        <w:rPr>
          <w:sz w:val="20"/>
          <w:szCs w:val="20"/>
          <w:color w:val="auto"/>
        </w:rPr>
      </w:pPr>
    </w:p>
    <w:p>
      <w:pPr>
        <w:ind w:left="1920" w:hanging="443"/>
        <w:spacing w:after="0"/>
        <w:tabs>
          <w:tab w:leader="none" w:pos="19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any legal entity which is a qualified investor as defined under Article 2 of the UK Prospectus Regulation;</w:t>
      </w:r>
    </w:p>
    <w:p>
      <w:pPr>
        <w:spacing w:after="0" w:line="104" w:lineRule="exact"/>
        <w:rPr>
          <w:rFonts w:ascii="Times New Roman" w:cs="Times New Roman" w:eastAsia="Times New Roman" w:hAnsi="Times New Roman"/>
          <w:sz w:val="15"/>
          <w:szCs w:val="15"/>
          <w:color w:val="auto"/>
        </w:rPr>
      </w:pPr>
    </w:p>
    <w:p>
      <w:pPr>
        <w:ind w:left="1920" w:right="319" w:hanging="443"/>
        <w:spacing w:after="0" w:line="273" w:lineRule="auto"/>
        <w:tabs>
          <w:tab w:leader="none" w:pos="19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fewer than 150 natural or legal persons (other than qualified investors as defined under Article 2 of the UK Prospectus Regulation), subject to obtaining the prior consent of the applicable Sales Agent(s) for any such offer; or</w:t>
      </w:r>
    </w:p>
    <w:p>
      <w:pPr>
        <w:spacing w:after="0" w:line="61" w:lineRule="exact"/>
        <w:rPr>
          <w:rFonts w:ascii="Times New Roman" w:cs="Times New Roman" w:eastAsia="Times New Roman" w:hAnsi="Times New Roman"/>
          <w:sz w:val="15"/>
          <w:szCs w:val="15"/>
          <w:color w:val="auto"/>
        </w:rPr>
      </w:pPr>
    </w:p>
    <w:p>
      <w:pPr>
        <w:ind w:left="1920" w:hanging="443"/>
        <w:spacing w:after="0"/>
        <w:tabs>
          <w:tab w:leader="none" w:pos="19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circumstances falling within Section 86 of the Financial Services and Markets Act 2000 (the “FMSA”),</w:t>
      </w:r>
    </w:p>
    <w:p>
      <w:pPr>
        <w:spacing w:after="0" w:line="182" w:lineRule="exact"/>
        <w:rPr>
          <w:sz w:val="20"/>
          <w:szCs w:val="20"/>
          <w:color w:val="auto"/>
        </w:rPr>
      </w:pPr>
    </w:p>
    <w:p>
      <w:pPr>
        <w:ind w:left="1120" w:right="619"/>
        <w:spacing w:after="0" w:line="273" w:lineRule="auto"/>
        <w:rPr>
          <w:sz w:val="20"/>
          <w:szCs w:val="20"/>
          <w:color w:val="auto"/>
        </w:rPr>
      </w:pPr>
      <w:r>
        <w:rPr>
          <w:rFonts w:ascii="Times New Roman" w:cs="Times New Roman" w:eastAsia="Times New Roman" w:hAnsi="Times New Roman"/>
          <w:sz w:val="15"/>
          <w:szCs w:val="15"/>
          <w:color w:val="auto"/>
        </w:rPr>
        <w:t>provided that no such offer of the securities shall require us or the Sales Agents to publish a prospectus pursuant to Section 85 of the FSMA or supplement a prospectus pursuant to Article 23 of the UK Prospectus Regulation.</w:t>
      </w:r>
    </w:p>
    <w:p>
      <w:pPr>
        <w:spacing w:after="0" w:line="140" w:lineRule="exact"/>
        <w:rPr>
          <w:sz w:val="20"/>
          <w:szCs w:val="20"/>
          <w:color w:val="auto"/>
        </w:rPr>
      </w:pPr>
    </w:p>
    <w:p>
      <w:pPr>
        <w:ind w:left="1120" w:right="59" w:firstLine="362"/>
        <w:spacing w:after="0" w:line="253" w:lineRule="auto"/>
        <w:rPr>
          <w:sz w:val="20"/>
          <w:szCs w:val="20"/>
          <w:color w:val="auto"/>
        </w:rPr>
      </w:pPr>
      <w:r>
        <w:rPr>
          <w:rFonts w:ascii="Times New Roman" w:cs="Times New Roman" w:eastAsia="Times New Roman" w:hAnsi="Times New Roman"/>
          <w:sz w:val="15"/>
          <w:szCs w:val="15"/>
          <w:color w:val="auto"/>
        </w:rPr>
        <w:t>In the case of any shares being offered to a financial intermediary as that term is used in Article 1(4) of the UK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the United Kingdom to qualified investors as so defined or in circumstances in which the prior consent of the applicable Sales Agent(s) has been obtained to each such proposed offer or resale.</w:t>
      </w:r>
    </w:p>
    <w:p>
      <w:pPr>
        <w:spacing w:after="0" w:line="155" w:lineRule="exact"/>
        <w:rPr>
          <w:sz w:val="20"/>
          <w:szCs w:val="20"/>
          <w:color w:val="auto"/>
        </w:rPr>
      </w:pPr>
    </w:p>
    <w:p>
      <w:pPr>
        <w:ind w:left="1120" w:right="219" w:firstLine="362"/>
        <w:spacing w:after="0" w:line="260" w:lineRule="auto"/>
        <w:rPr>
          <w:sz w:val="20"/>
          <w:szCs w:val="20"/>
          <w:color w:val="auto"/>
        </w:rPr>
      </w:pPr>
      <w:r>
        <w:rPr>
          <w:rFonts w:ascii="Times New Roman" w:cs="Times New Roman" w:eastAsia="Times New Roman" w:hAnsi="Times New Roman"/>
          <w:sz w:val="15"/>
          <w:szCs w:val="15"/>
          <w:color w:val="auto"/>
        </w:rPr>
        <w:t>We, the Sales Agents and their affiliates will rely upon the truth and accuracy of the foregoing representations, warranties and agreements. Notwithstanding the above, a person who is not a “qualified investor” and who has notified the applicable Sales Agent(s) of such fact in writing may, with the prior consent of the applicable Sales Agent(s), be permitted to acquire shares in the offer.</w:t>
      </w:r>
    </w:p>
    <w:p>
      <w:pPr>
        <w:spacing w:after="0" w:line="149" w:lineRule="exact"/>
        <w:rPr>
          <w:sz w:val="20"/>
          <w:szCs w:val="20"/>
          <w:color w:val="auto"/>
        </w:rPr>
      </w:pPr>
    </w:p>
    <w:p>
      <w:pPr>
        <w:ind w:left="1120" w:right="219" w:firstLine="362"/>
        <w:spacing w:after="0" w:line="255" w:lineRule="auto"/>
        <w:rPr>
          <w:sz w:val="20"/>
          <w:szCs w:val="20"/>
          <w:color w:val="auto"/>
        </w:rPr>
      </w:pPr>
      <w:r>
        <w:rPr>
          <w:rFonts w:ascii="Times New Roman" w:cs="Times New Roman" w:eastAsia="Times New Roman" w:hAnsi="Times New Roman"/>
          <w:sz w:val="15"/>
          <w:szCs w:val="15"/>
          <w:color w:val="auto"/>
        </w:rPr>
        <w:t>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24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Canada</w:t>
      </w:r>
    </w:p>
    <w:p>
      <w:pPr>
        <w:spacing w:after="0" w:line="95" w:lineRule="exact"/>
        <w:rPr>
          <w:sz w:val="20"/>
          <w:szCs w:val="20"/>
          <w:color w:val="auto"/>
        </w:rPr>
      </w:pPr>
    </w:p>
    <w:p>
      <w:pPr>
        <w:jc w:val="both"/>
        <w:ind w:left="1120" w:right="19" w:firstLine="362"/>
        <w:spacing w:after="0" w:line="279" w:lineRule="auto"/>
        <w:rPr>
          <w:sz w:val="20"/>
          <w:szCs w:val="20"/>
          <w:color w:val="auto"/>
        </w:rPr>
      </w:pPr>
      <w:r>
        <w:rPr>
          <w:rFonts w:ascii="Times New Roman" w:cs="Times New Roman" w:eastAsia="Times New Roman" w:hAnsi="Times New Roman"/>
          <w:sz w:val="14"/>
          <w:szCs w:val="14"/>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38" w:lineRule="exact"/>
        <w:rPr>
          <w:sz w:val="20"/>
          <w:szCs w:val="20"/>
          <w:color w:val="auto"/>
        </w:rPr>
      </w:pPr>
    </w:p>
    <w:p>
      <w:pPr>
        <w:ind w:left="1120" w:right="19" w:firstLine="362"/>
        <w:spacing w:after="0" w:line="253" w:lineRule="auto"/>
        <w:rPr>
          <w:sz w:val="20"/>
          <w:szCs w:val="20"/>
          <w:color w:val="auto"/>
        </w:rPr>
      </w:pPr>
      <w:r>
        <w:rPr>
          <w:rFonts w:ascii="Times New Roman" w:cs="Times New Roman" w:eastAsia="Times New Roman" w:hAnsi="Times New Roman"/>
          <w:sz w:val="15"/>
          <w:szCs w:val="15"/>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S-17</w:t>
      </w:r>
    </w:p>
    <w:p>
      <w:pPr>
        <w:sectPr>
          <w:pgSz w:w="11900" w:h="16838" w:orient="portrait"/>
          <w:cols w:equalWidth="0" w:num="1">
            <w:col w:w="10159"/>
          </w:cols>
          <w:pgMar w:left="300" w:top="400"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39" w:firstLine="362"/>
        <w:spacing w:after="0" w:line="273" w:lineRule="auto"/>
        <w:rPr>
          <w:sz w:val="20"/>
          <w:szCs w:val="20"/>
          <w:color w:val="auto"/>
        </w:rPr>
      </w:pPr>
      <w:r>
        <w:rPr>
          <w:rFonts w:ascii="Times New Roman" w:cs="Times New Roman" w:eastAsia="Times New Roman" w:hAnsi="Times New Roman"/>
          <w:sz w:val="15"/>
          <w:szCs w:val="15"/>
          <w:color w:val="auto"/>
        </w:rPr>
        <w:t>Pursuant to section 3A.3 of National Instrument 33-105 Underwriting Conflicts (NI 33-105), the Sales Agents are not required to comply with the disclosure requirements of NI 33-105 regarding underwriter conflicts of interest in connection with this offering.</w:t>
      </w:r>
    </w:p>
    <w:p>
      <w:pPr>
        <w:spacing w:after="0" w:line="2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Israel</w:t>
      </w:r>
    </w:p>
    <w:p>
      <w:pPr>
        <w:spacing w:after="0" w:line="95" w:lineRule="exact"/>
        <w:rPr>
          <w:sz w:val="20"/>
          <w:szCs w:val="20"/>
          <w:color w:val="auto"/>
        </w:rPr>
      </w:pPr>
    </w:p>
    <w:p>
      <w:pPr>
        <w:ind w:left="1120" w:right="99" w:firstLine="362"/>
        <w:spacing w:after="0" w:line="268" w:lineRule="auto"/>
        <w:rPr>
          <w:sz w:val="20"/>
          <w:szCs w:val="20"/>
          <w:color w:val="auto"/>
        </w:rPr>
      </w:pPr>
      <w:r>
        <w:rPr>
          <w:rFonts w:ascii="Times New Roman" w:cs="Times New Roman" w:eastAsia="Times New Roman" w:hAnsi="Times New Roman"/>
          <w:sz w:val="14"/>
          <w:szCs w:val="14"/>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w:t>
      </w:r>
    </w:p>
    <w:p>
      <w:pPr>
        <w:spacing w:after="0" w:line="2" w:lineRule="exact"/>
        <w:rPr>
          <w:sz w:val="20"/>
          <w:szCs w:val="20"/>
          <w:color w:val="auto"/>
        </w:rPr>
      </w:pPr>
    </w:p>
    <w:p>
      <w:pPr>
        <w:ind w:left="1120" w:right="119"/>
        <w:spacing w:after="0" w:line="248" w:lineRule="auto"/>
        <w:rPr>
          <w:sz w:val="20"/>
          <w:szCs w:val="20"/>
          <w:color w:val="auto"/>
        </w:rPr>
      </w:pPr>
      <w:r>
        <w:rPr>
          <w:rFonts w:ascii="Times New Roman" w:cs="Times New Roman" w:eastAsia="Times New Roman" w:hAnsi="Times New Roman"/>
          <w:sz w:val="15"/>
          <w:szCs w:val="15"/>
          <w:color w:val="auto"/>
        </w:rPr>
        <w:t>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4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Hong Kong</w:t>
      </w:r>
    </w:p>
    <w:p>
      <w:pPr>
        <w:spacing w:after="0" w:line="95" w:lineRule="exact"/>
        <w:rPr>
          <w:sz w:val="20"/>
          <w:szCs w:val="20"/>
          <w:color w:val="auto"/>
        </w:rPr>
      </w:pPr>
    </w:p>
    <w:p>
      <w:pPr>
        <w:ind w:left="1120" w:right="39" w:firstLine="362"/>
        <w:spacing w:after="0" w:line="249" w:lineRule="auto"/>
        <w:rPr>
          <w:sz w:val="20"/>
          <w:szCs w:val="20"/>
          <w:color w:val="auto"/>
        </w:rPr>
      </w:pPr>
      <w:r>
        <w:rPr>
          <w:rFonts w:ascii="Times New Roman" w:cs="Times New Roman" w:eastAsia="Times New Roman" w:hAnsi="Times New Roman"/>
          <w:sz w:val="15"/>
          <w:szCs w:val="15"/>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4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Singapore</w:t>
      </w:r>
    </w:p>
    <w:p>
      <w:pPr>
        <w:spacing w:after="0" w:line="95" w:lineRule="exact"/>
        <w:rPr>
          <w:sz w:val="20"/>
          <w:szCs w:val="20"/>
          <w:color w:val="auto"/>
        </w:rPr>
      </w:pPr>
    </w:p>
    <w:p>
      <w:pPr>
        <w:ind w:left="1120" w:right="39" w:firstLine="362"/>
        <w:spacing w:after="0" w:line="251" w:lineRule="auto"/>
        <w:rPr>
          <w:sz w:val="20"/>
          <w:szCs w:val="20"/>
          <w:color w:val="auto"/>
        </w:rPr>
      </w:pPr>
      <w:r>
        <w:rPr>
          <w:rFonts w:ascii="Times New Roman" w:cs="Times New Roman" w:eastAsia="Times New Roman" w:hAnsi="Times New Roman"/>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56" w:lineRule="exact"/>
        <w:rPr>
          <w:sz w:val="20"/>
          <w:szCs w:val="20"/>
          <w:color w:val="auto"/>
        </w:rPr>
      </w:pPr>
    </w:p>
    <w:p>
      <w:pPr>
        <w:ind w:left="1120" w:right="379" w:firstLine="362"/>
        <w:spacing w:after="0" w:line="260" w:lineRule="auto"/>
        <w:rPr>
          <w:sz w:val="20"/>
          <w:szCs w:val="20"/>
          <w:color w:val="auto"/>
        </w:rPr>
      </w:pPr>
      <w:r>
        <w:rPr>
          <w:rFonts w:ascii="Times New Roman" w:cs="Times New Roman" w:eastAsia="Times New Roman" w:hAnsi="Times New Roman"/>
          <w:sz w:val="15"/>
          <w:szCs w:val="15"/>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S-18</w:t>
      </w:r>
    </w:p>
    <w:p>
      <w:pPr>
        <w:sectPr>
          <w:pgSz w:w="11900" w:h="16838" w:orient="portrait"/>
          <w:cols w:equalWidth="0" w:num="1">
            <w:col w:w="10159"/>
          </w:cols>
          <w:pgMar w:left="300" w:top="400"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60"/>
        <w:spacing w:after="0" w:line="252" w:lineRule="auto"/>
        <w:rPr>
          <w:sz w:val="20"/>
          <w:szCs w:val="20"/>
          <w:color w:val="auto"/>
        </w:rPr>
      </w:pPr>
      <w:r>
        <w:rPr>
          <w:rFonts w:ascii="Times New Roman" w:cs="Times New Roman" w:eastAsia="Times New Roman" w:hAnsi="Times New Roman"/>
          <w:sz w:val="15"/>
          <w:szCs w:val="15"/>
          <w:color w:val="auto"/>
        </w:rPr>
        <w:t>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5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Where the shares are subscribed or purchased under Section 275 of the SFA by a relevant person which is a trust (where the trustee is not an</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accredited investor (as defined in Section 4A of the SFA)) whose sole purpose is to hold investments and each beneficiary of the trust is an accredited</w:t>
      </w:r>
    </w:p>
    <w:p>
      <w:pPr>
        <w:spacing w:after="0" w:line="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investor, the beneficiaries’ rights and interest (howsoever described) in that trust shall not be transferable for 6 months after that trust has acquired the</w:t>
      </w:r>
    </w:p>
    <w:p>
      <w:pPr>
        <w:spacing w:after="0" w:line="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shares under Section 275 of the SFA except: (1) to an institutional investor under Section 274 of the SFA or to a relevant person (as defined in</w:t>
      </w:r>
    </w:p>
    <w:p>
      <w:pPr>
        <w:spacing w:after="0" w:line="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Section 275(2) of the SFA), (2) where such transfer arises from an offer that is made on terms that such rights or interest are acquired at a consideration</w:t>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of not less than S$200,000 (or its equivalent in a foreign currency) for each transaction (whether such amount is to be paid for in cash or by exchange of</w:t>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securities or other assets), (3) where no consideration is or will be given for the transfer, (4) where the transfer is by operation of law, (5) as specified in</w:t>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Section 276(7) of the SFA, or (6) as specified in Regulation 32.</w:t>
      </w:r>
    </w:p>
    <w:p>
      <w:pPr>
        <w:spacing w:after="0" w:line="2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Dubai</w:t>
      </w:r>
    </w:p>
    <w:p>
      <w:pPr>
        <w:spacing w:after="0" w:line="95" w:lineRule="exact"/>
        <w:rPr>
          <w:sz w:val="20"/>
          <w:szCs w:val="20"/>
          <w:color w:val="auto"/>
        </w:rPr>
      </w:pPr>
    </w:p>
    <w:p>
      <w:pPr>
        <w:ind w:left="1120" w:firstLine="362"/>
        <w:spacing w:after="0" w:line="251" w:lineRule="auto"/>
        <w:rPr>
          <w:sz w:val="20"/>
          <w:szCs w:val="20"/>
          <w:color w:val="auto"/>
        </w:rPr>
      </w:pPr>
      <w:r>
        <w:rPr>
          <w:rFonts w:ascii="Times New Roman" w:cs="Times New Roman" w:eastAsia="Times New Roman" w:hAnsi="Times New Roman"/>
          <w:sz w:val="15"/>
          <w:szCs w:val="15"/>
          <w:color w:val="auto"/>
        </w:rPr>
        <w:t>This prospectus supplement relates to an Exempt Offer in accordance with the Offered Securities Rules of the Dubai Financial Services Authority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S-19</w:t>
      </w:r>
    </w:p>
    <w:p>
      <w:pPr>
        <w:sectPr>
          <w:pgSz w:w="11900" w:h="16838" w:orient="portrait"/>
          <w:cols w:equalWidth="0" w:num="1">
            <w:col w:w="10160"/>
          </w:cols>
          <w:pgMar w:left="300" w:top="400" w:right="1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84" w:lineRule="exact"/>
        <w:rPr>
          <w:sz w:val="20"/>
          <w:szCs w:val="20"/>
          <w:color w:val="auto"/>
        </w:rPr>
      </w:pPr>
    </w:p>
    <w:p>
      <w:pPr>
        <w:jc w:val="both"/>
        <w:ind w:left="1120" w:right="139" w:firstLine="362"/>
        <w:spacing w:after="0" w:line="260" w:lineRule="auto"/>
        <w:rPr>
          <w:sz w:val="20"/>
          <w:szCs w:val="20"/>
          <w:color w:val="auto"/>
        </w:rPr>
      </w:pPr>
      <w:r>
        <w:rPr>
          <w:rFonts w:ascii="Times New Roman" w:cs="Times New Roman" w:eastAsia="Times New Roman" w:hAnsi="Times New Roman"/>
          <w:sz w:val="15"/>
          <w:szCs w:val="15"/>
          <w:color w:val="auto"/>
        </w:rPr>
        <w:t>The validity of the shares of our Common Stock offered by this prospectus supplement will be passed upon for us by Sullivan &amp; Cromwell LLP, New York, New York. Certain legal matters in connection with this offering will be passed upon for the Sales Agents by Reed Smith LLP, New York, New York.</w:t>
      </w:r>
    </w:p>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84" w:lineRule="exact"/>
        <w:rPr>
          <w:sz w:val="20"/>
          <w:szCs w:val="20"/>
          <w:color w:val="auto"/>
        </w:rPr>
      </w:pPr>
    </w:p>
    <w:p>
      <w:pPr>
        <w:ind w:left="1120" w:right="179" w:firstLine="362"/>
        <w:spacing w:after="0" w:line="255" w:lineRule="auto"/>
        <w:rPr>
          <w:sz w:val="20"/>
          <w:szCs w:val="20"/>
          <w:color w:val="auto"/>
        </w:rPr>
      </w:pPr>
      <w:r>
        <w:rPr>
          <w:rFonts w:ascii="Times New Roman" w:cs="Times New Roman" w:eastAsia="Times New Roman" w:hAnsi="Times New Roman"/>
          <w:sz w:val="15"/>
          <w:szCs w:val="15"/>
          <w:color w:val="auto"/>
        </w:rPr>
        <w:t>The consolidated financial statements of Bakkt Holdings, Inc. as of and for the year ended December 31, 2024 appearing in the Company’s Annual Report (Form 10-K), as supplemented by the Company’s Current Report on Form 8-K filed with the Securities and Exchange Commission on December 10, 2025, have been incorporated by reference herein in reliance upon the report of KPMG LLP, independent registered public accounting firm, included thereon, and incorporated by reference herein, and upon the authority of said firm as experts in accounting and auditing.</w:t>
      </w:r>
    </w:p>
    <w:p>
      <w:pPr>
        <w:spacing w:after="0" w:line="153" w:lineRule="exact"/>
        <w:rPr>
          <w:sz w:val="20"/>
          <w:szCs w:val="20"/>
          <w:color w:val="auto"/>
        </w:rPr>
      </w:pPr>
    </w:p>
    <w:p>
      <w:pPr>
        <w:ind w:left="1120" w:right="119" w:firstLine="362"/>
        <w:spacing w:after="0" w:line="251" w:lineRule="auto"/>
        <w:rPr>
          <w:sz w:val="20"/>
          <w:szCs w:val="20"/>
          <w:color w:val="auto"/>
        </w:rPr>
      </w:pPr>
      <w:r>
        <w:rPr>
          <w:rFonts w:ascii="Times New Roman" w:cs="Times New Roman" w:eastAsia="Times New Roman" w:hAnsi="Times New Roman"/>
          <w:sz w:val="15"/>
          <w:szCs w:val="15"/>
          <w:color w:val="auto"/>
        </w:rPr>
        <w:t>The consolidated financial statements of Bakkt Holdings, Inc., at December 31, 2023 and for each of the two years in the period ended December 31, 2023 appearing in the Company’s Annual Report (Form 10-K) for the period ended December 31, 2024, as supplemented by the Company’s Current Report on Form 8-K filed with the Securities and Exchange Commission on December 10,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such reports pertaining to such financial statements (to the extent covered by consents filed with the Securities and Exchange Commission) given on the authority of such firm as experts in accounting and auditing.</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S-20</w:t>
      </w:r>
    </w:p>
    <w:p>
      <w:pPr>
        <w:sectPr>
          <w:pgSz w:w="11900" w:h="16838" w:orient="portrait"/>
          <w:cols w:equalWidth="0" w:num="1">
            <w:col w:w="10159"/>
          </w:cols>
          <w:pgMar w:left="300" w:top="400"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5"/>
          <w:szCs w:val="15"/>
          <w:b w:val="1"/>
          <w:bCs w:val="1"/>
          <w:color w:val="auto"/>
        </w:rPr>
        <w:t>INCORPORATION OF CERTAIN INFORMATION BY REFERENCE</w:t>
      </w:r>
    </w:p>
    <w:p>
      <w:pPr>
        <w:spacing w:after="0" w:line="1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documents listed below are incorporated by reference into this prospectus:</w:t>
      </w:r>
    </w:p>
    <w:p>
      <w:pPr>
        <w:spacing w:after="0" w:line="105" w:lineRule="exact"/>
        <w:rPr>
          <w:sz w:val="20"/>
          <w:szCs w:val="20"/>
          <w:color w:val="auto"/>
        </w:rPr>
      </w:pPr>
    </w:p>
    <w:p>
      <w:pPr>
        <w:ind w:left="1920" w:hanging="354"/>
        <w:spacing w:after="0" w:line="260" w:lineRule="auto"/>
        <w:tabs>
          <w:tab w:leader="none" w:pos="19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w:t>
      </w:r>
      <w:hyperlink r:id="rId41">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for the year ended December 31, 2024, filed with the SEC on March 20, 2025 (our “Annual Report”), as supplemented by our Current Report on </w:t>
      </w:r>
      <w:hyperlink r:id="rId42">
        <w:r>
          <w:rPr>
            <w:rFonts w:ascii="Times New Roman" w:cs="Times New Roman" w:eastAsia="Times New Roman" w:hAnsi="Times New Roman"/>
            <w:sz w:val="15"/>
            <w:szCs w:val="15"/>
            <w:u w:val="single" w:color="auto"/>
            <w:color w:val="0000EE"/>
          </w:rPr>
          <w:t>Form 8-K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filed with the SEC on December 10, 2025 solely to recast certain financial information and related disclosures included in our Annual Report;</w:t>
      </w:r>
    </w:p>
    <w:p>
      <w:pPr>
        <w:spacing w:after="0" w:line="71" w:lineRule="exact"/>
        <w:rPr>
          <w:rFonts w:ascii="Times New Roman" w:cs="Times New Roman" w:eastAsia="Times New Roman" w:hAnsi="Times New Roman"/>
          <w:sz w:val="15"/>
          <w:szCs w:val="15"/>
          <w:color w:val="auto"/>
        </w:rPr>
      </w:pPr>
    </w:p>
    <w:p>
      <w:pPr>
        <w:ind w:left="1920" w:right="140" w:hanging="354"/>
        <w:spacing w:after="0" w:line="273" w:lineRule="auto"/>
        <w:tabs>
          <w:tab w:leader="none" w:pos="19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portions of our Definitive Proxy Statement on </w:t>
      </w:r>
      <w:hyperlink r:id="rId43">
        <w:r>
          <w:rPr>
            <w:rFonts w:ascii="Times New Roman" w:cs="Times New Roman" w:eastAsia="Times New Roman" w:hAnsi="Times New Roman"/>
            <w:sz w:val="15"/>
            <w:szCs w:val="15"/>
            <w:u w:val="single" w:color="auto"/>
            <w:color w:val="0000EE"/>
          </w:rPr>
          <w:t>Schedule 14A</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(other than information furnished rather than filed) that are incorporated by reference into the Annual Report, filed with the SEC on April 28, 2025;</w:t>
      </w:r>
    </w:p>
    <w:p>
      <w:pPr>
        <w:spacing w:after="0" w:line="61" w:lineRule="exact"/>
        <w:rPr>
          <w:rFonts w:ascii="Times New Roman" w:cs="Times New Roman" w:eastAsia="Times New Roman" w:hAnsi="Times New Roman"/>
          <w:sz w:val="15"/>
          <w:szCs w:val="15"/>
          <w:color w:val="auto"/>
        </w:rPr>
      </w:pPr>
    </w:p>
    <w:p>
      <w:pPr>
        <w:ind w:left="1920" w:right="260" w:hanging="354"/>
        <w:spacing w:after="0" w:line="273" w:lineRule="auto"/>
        <w:tabs>
          <w:tab w:leader="none" w:pos="19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Reports on Form 10-Q for the quarters ended March 31, 2025, filed with the SEC on </w:t>
      </w:r>
      <w:hyperlink r:id="rId44">
        <w:r>
          <w:rPr>
            <w:rFonts w:ascii="Times New Roman" w:cs="Times New Roman" w:eastAsia="Times New Roman" w:hAnsi="Times New Roman"/>
            <w:sz w:val="15"/>
            <w:szCs w:val="15"/>
            <w:u w:val="single" w:color="auto"/>
            <w:color w:val="0000EE"/>
          </w:rPr>
          <w:t>May 12, 2025</w:t>
        </w:r>
      </w:hyperlink>
      <w:r>
        <w:rPr>
          <w:rFonts w:ascii="Times New Roman" w:cs="Times New Roman" w:eastAsia="Times New Roman" w:hAnsi="Times New Roman"/>
          <w:sz w:val="15"/>
          <w:szCs w:val="15"/>
          <w:color w:val="auto"/>
        </w:rPr>
        <w:t xml:space="preserve">, June 30, 2025, filed with the SEC on </w:t>
      </w:r>
      <w:hyperlink r:id="rId45">
        <w:r>
          <w:rPr>
            <w:rFonts w:ascii="Times New Roman" w:cs="Times New Roman" w:eastAsia="Times New Roman" w:hAnsi="Times New Roman"/>
            <w:sz w:val="15"/>
            <w:szCs w:val="15"/>
            <w:u w:val="single" w:color="auto"/>
            <w:color w:val="0000EE"/>
          </w:rPr>
          <w:t>August 11, 2025</w:t>
        </w:r>
      </w:hyperlink>
      <w:r>
        <w:rPr>
          <w:rFonts w:ascii="Times New Roman" w:cs="Times New Roman" w:eastAsia="Times New Roman" w:hAnsi="Times New Roman"/>
          <w:sz w:val="15"/>
          <w:szCs w:val="15"/>
          <w:color w:val="auto"/>
        </w:rPr>
        <w:t xml:space="preserve">, and September 30, 2025, filed with the SEC on </w:t>
      </w:r>
      <w:hyperlink r:id="rId46">
        <w:r>
          <w:rPr>
            <w:rFonts w:ascii="Times New Roman" w:cs="Times New Roman" w:eastAsia="Times New Roman" w:hAnsi="Times New Roman"/>
            <w:sz w:val="15"/>
            <w:szCs w:val="15"/>
            <w:u w:val="single" w:color="auto"/>
            <w:color w:val="0000EE"/>
          </w:rPr>
          <w:t>November 12, 2025</w:t>
        </w:r>
      </w:hyperlink>
      <w:r>
        <w:rPr>
          <w:rFonts w:ascii="Times New Roman" w:cs="Times New Roman" w:eastAsia="Times New Roman" w:hAnsi="Times New Roman"/>
          <w:sz w:val="15"/>
          <w:szCs w:val="15"/>
          <w:color w:val="auto"/>
        </w:rPr>
        <w:t>;</w:t>
      </w:r>
    </w:p>
    <w:p>
      <w:pPr>
        <w:spacing w:after="0" w:line="61" w:lineRule="exact"/>
        <w:rPr>
          <w:rFonts w:ascii="Times New Roman" w:cs="Times New Roman" w:eastAsia="Times New Roman" w:hAnsi="Times New Roman"/>
          <w:sz w:val="15"/>
          <w:szCs w:val="15"/>
          <w:color w:val="auto"/>
        </w:rPr>
      </w:pPr>
    </w:p>
    <w:p>
      <w:pPr>
        <w:ind w:left="1920" w:right="80" w:hanging="354"/>
        <w:spacing w:after="0" w:line="250" w:lineRule="auto"/>
        <w:tabs>
          <w:tab w:leader="none" w:pos="1920" w:val="left"/>
        </w:tabs>
        <w:numPr>
          <w:ilvl w:val="0"/>
          <w:numId w:val="15"/>
        </w:numPr>
        <w:rPr>
          <w:rFonts w:ascii="Times New Roman" w:cs="Times New Roman" w:eastAsia="Times New Roman" w:hAnsi="Times New Roman"/>
          <w:sz w:val="15"/>
          <w:szCs w:val="15"/>
          <w:color w:val="000000"/>
        </w:rPr>
      </w:pPr>
      <w:hyperlink r:id="rId47">
        <w:r>
          <w:rPr>
            <w:rFonts w:ascii="Times New Roman" w:cs="Times New Roman" w:eastAsia="Times New Roman" w:hAnsi="Times New Roman"/>
            <w:sz w:val="15"/>
            <w:szCs w:val="15"/>
            <w:color w:val="auto"/>
          </w:rPr>
          <w:t xml:space="preserve">our Current Reports on Form 8-K filed with the SEC on </w:t>
        </w:r>
        <w:r>
          <w:rPr>
            <w:rFonts w:ascii="Times New Roman" w:cs="Times New Roman" w:eastAsia="Times New Roman" w:hAnsi="Times New Roman"/>
            <w:sz w:val="15"/>
            <w:szCs w:val="15"/>
            <w:u w:val="single" w:color="auto"/>
            <w:color w:val="0000EE"/>
          </w:rPr>
          <w:t>March 17, 2025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March 20, 2025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March 31, 2025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April 22, 2025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June 10,</w:t>
        </w:r>
      </w:hyperlink>
      <w:r>
        <w:rPr>
          <w:rFonts w:ascii="Times New Roman" w:cs="Times New Roman" w:eastAsia="Times New Roman" w:hAnsi="Times New Roman"/>
          <w:sz w:val="15"/>
          <w:szCs w:val="15"/>
          <w:color w:val="auto"/>
        </w:rPr>
        <w:t xml:space="preserve"> </w:t>
      </w:r>
      <w:hyperlink r:id="rId47">
        <w:r>
          <w:rPr>
            <w:rFonts w:ascii="Times New Roman" w:cs="Times New Roman" w:eastAsia="Times New Roman" w:hAnsi="Times New Roman"/>
            <w:sz w:val="15"/>
            <w:szCs w:val="15"/>
            <w:u w:val="single" w:color="auto"/>
            <w:color w:val="0000EE"/>
          </w:rPr>
          <w:t>2025</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(other than information furnished rather than filed),</w:t>
        </w:r>
        <w:r>
          <w:rPr>
            <w:rFonts w:ascii="Times New Roman" w:cs="Times New Roman" w:eastAsia="Times New Roman" w:hAnsi="Times New Roman"/>
            <w:sz w:val="15"/>
            <w:szCs w:val="15"/>
            <w:color w:val="0000EE"/>
          </w:rPr>
          <w:t xml:space="preserve"> </w:t>
        </w:r>
      </w:hyperlink>
      <w:hyperlink r:id="rId48">
        <w:r>
          <w:rPr>
            <w:rFonts w:ascii="Times New Roman" w:cs="Times New Roman" w:eastAsia="Times New Roman" w:hAnsi="Times New Roman"/>
            <w:sz w:val="15"/>
            <w:szCs w:val="15"/>
            <w:u w:val="single" w:color="auto"/>
            <w:color w:val="0000EE"/>
          </w:rPr>
          <w:t>June 10, 2025</w:t>
        </w:r>
      </w:hyperlink>
      <w:hyperlink r:id="rId47">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w:hyperlink r:id="rId49">
        <w:r>
          <w:rPr>
            <w:rFonts w:ascii="Times New Roman" w:cs="Times New Roman" w:eastAsia="Times New Roman" w:hAnsi="Times New Roman"/>
            <w:sz w:val="15"/>
            <w:szCs w:val="15"/>
            <w:u w:val="single" w:color="auto"/>
            <w:color w:val="0000EE"/>
          </w:rPr>
          <w:t>June 13, 2025</w:t>
        </w:r>
      </w:hyperlink>
      <w:hyperlink r:id="rId47">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w:hyperlink r:id="rId50">
        <w:r>
          <w:rPr>
            <w:rFonts w:ascii="Times New Roman" w:cs="Times New Roman" w:eastAsia="Times New Roman" w:hAnsi="Times New Roman"/>
            <w:sz w:val="15"/>
            <w:szCs w:val="15"/>
            <w:u w:val="single" w:color="auto"/>
            <w:color w:val="0000EE"/>
          </w:rPr>
          <w:t>June 20, 2025</w:t>
        </w:r>
      </w:hyperlink>
      <w:hyperlink r:id="rId47">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w:hyperlink r:id="rId51">
        <w:r>
          <w:rPr>
            <w:rFonts w:ascii="Times New Roman" w:cs="Times New Roman" w:eastAsia="Times New Roman" w:hAnsi="Times New Roman"/>
            <w:sz w:val="15"/>
            <w:szCs w:val="15"/>
            <w:u w:val="single" w:color="auto"/>
            <w:color w:val="0000EE"/>
          </w:rPr>
          <w:t xml:space="preserve">July 28, 2025 </w:t>
        </w:r>
      </w:hyperlink>
      <w:hyperlink r:id="rId47">
        <w:r>
          <w:rPr>
            <w:rFonts w:ascii="Times New Roman" w:cs="Times New Roman" w:eastAsia="Times New Roman" w:hAnsi="Times New Roman"/>
            <w:sz w:val="15"/>
            <w:szCs w:val="15"/>
            <w:color w:val="000000"/>
          </w:rPr>
          <w:t>(other than</w:t>
        </w:r>
      </w:hyperlink>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 xml:space="preserve">information furnished rather than filed), </w:t>
      </w:r>
      <w:hyperlink r:id="rId52">
        <w:r>
          <w:rPr>
            <w:rFonts w:ascii="Times New Roman" w:cs="Times New Roman" w:eastAsia="Times New Roman" w:hAnsi="Times New Roman"/>
            <w:sz w:val="15"/>
            <w:szCs w:val="15"/>
            <w:u w:val="single" w:color="auto"/>
            <w:color w:val="0000EE"/>
          </w:rPr>
          <w:t>July 30, 2025</w:t>
        </w:r>
        <w:r>
          <w:rPr>
            <w:rFonts w:ascii="Times New Roman" w:cs="Times New Roman" w:eastAsia="Times New Roman" w:hAnsi="Times New Roman"/>
            <w:sz w:val="15"/>
            <w:szCs w:val="15"/>
            <w:u w:val="single" w:color="auto"/>
            <w:color w:val="000000"/>
          </w:rPr>
          <w:t xml:space="preserve"> </w:t>
        </w:r>
      </w:hyperlink>
      <w:r>
        <w:rPr>
          <w:rFonts w:ascii="Times New Roman" w:cs="Times New Roman" w:eastAsia="Times New Roman" w:hAnsi="Times New Roman"/>
          <w:sz w:val="15"/>
          <w:szCs w:val="15"/>
          <w:color w:val="000000"/>
        </w:rPr>
        <w:t xml:space="preserve">(other than information furnished rather than filed), </w:t>
      </w:r>
      <w:hyperlink r:id="rId53">
        <w:r>
          <w:rPr>
            <w:rFonts w:ascii="Times New Roman" w:cs="Times New Roman" w:eastAsia="Times New Roman" w:hAnsi="Times New Roman"/>
            <w:sz w:val="15"/>
            <w:szCs w:val="15"/>
            <w:u w:val="single" w:color="auto"/>
            <w:color w:val="0000EE"/>
          </w:rPr>
          <w:t>August 6, 2025</w:t>
        </w:r>
        <w:r>
          <w:rPr>
            <w:rFonts w:ascii="Times New Roman" w:cs="Times New Roman" w:eastAsia="Times New Roman" w:hAnsi="Times New Roman"/>
            <w:sz w:val="15"/>
            <w:szCs w:val="15"/>
            <w:u w:val="single" w:color="auto"/>
            <w:color w:val="000000"/>
          </w:rPr>
          <w:t xml:space="preserve"> </w:t>
        </w:r>
      </w:hyperlink>
      <w:r>
        <w:rPr>
          <w:rFonts w:ascii="Times New Roman" w:cs="Times New Roman" w:eastAsia="Times New Roman" w:hAnsi="Times New Roman"/>
          <w:sz w:val="15"/>
          <w:szCs w:val="15"/>
          <w:color w:val="000000"/>
        </w:rPr>
        <w:t xml:space="preserve">(other than information furnished rather than filed), </w:t>
      </w:r>
      <w:hyperlink r:id="rId54">
        <w:r>
          <w:rPr>
            <w:rFonts w:ascii="Times New Roman" w:cs="Times New Roman" w:eastAsia="Times New Roman" w:hAnsi="Times New Roman"/>
            <w:sz w:val="15"/>
            <w:szCs w:val="15"/>
            <w:u w:val="single" w:color="auto"/>
            <w:color w:val="0000EE"/>
          </w:rPr>
          <w:t>August 8, 2025</w:t>
        </w:r>
      </w:hyperlink>
      <w:r>
        <w:rPr>
          <w:rFonts w:ascii="Times New Roman" w:cs="Times New Roman" w:eastAsia="Times New Roman" w:hAnsi="Times New Roman"/>
          <w:sz w:val="15"/>
          <w:szCs w:val="15"/>
          <w:color w:val="000000"/>
        </w:rPr>
        <w:t xml:space="preserve">, </w:t>
      </w:r>
      <w:hyperlink r:id="rId55">
        <w:r>
          <w:rPr>
            <w:rFonts w:ascii="Times New Roman" w:cs="Times New Roman" w:eastAsia="Times New Roman" w:hAnsi="Times New Roman"/>
            <w:sz w:val="15"/>
            <w:szCs w:val="15"/>
            <w:u w:val="single" w:color="auto"/>
            <w:color w:val="0000EE"/>
          </w:rPr>
          <w:t>August 12, 2025</w:t>
        </w:r>
      </w:hyperlink>
      <w:r>
        <w:rPr>
          <w:rFonts w:ascii="Times New Roman" w:cs="Times New Roman" w:eastAsia="Times New Roman" w:hAnsi="Times New Roman"/>
          <w:sz w:val="15"/>
          <w:szCs w:val="15"/>
          <w:color w:val="000000"/>
        </w:rPr>
        <w:t xml:space="preserve">, </w:t>
      </w:r>
      <w:hyperlink r:id="rId56">
        <w:r>
          <w:rPr>
            <w:rFonts w:ascii="Times New Roman" w:cs="Times New Roman" w:eastAsia="Times New Roman" w:hAnsi="Times New Roman"/>
            <w:sz w:val="15"/>
            <w:szCs w:val="15"/>
            <w:u w:val="single" w:color="auto"/>
            <w:color w:val="0000EE"/>
          </w:rPr>
          <w:t>August 29, 2025</w:t>
        </w:r>
      </w:hyperlink>
      <w:r>
        <w:rPr>
          <w:rFonts w:ascii="Times New Roman" w:cs="Times New Roman" w:eastAsia="Times New Roman" w:hAnsi="Times New Roman"/>
          <w:sz w:val="15"/>
          <w:szCs w:val="15"/>
          <w:color w:val="000000"/>
        </w:rPr>
        <w:t xml:space="preserve">, </w:t>
      </w:r>
      <w:hyperlink r:id="rId57">
        <w:r>
          <w:rPr>
            <w:rFonts w:ascii="Times New Roman" w:cs="Times New Roman" w:eastAsia="Times New Roman" w:hAnsi="Times New Roman"/>
            <w:sz w:val="15"/>
            <w:szCs w:val="15"/>
            <w:u w:val="single" w:color="auto"/>
            <w:color w:val="0000EE"/>
          </w:rPr>
          <w:t>September 15, 2025</w:t>
        </w:r>
      </w:hyperlink>
      <w:r>
        <w:rPr>
          <w:rFonts w:ascii="Times New Roman" w:cs="Times New Roman" w:eastAsia="Times New Roman" w:hAnsi="Times New Roman"/>
          <w:sz w:val="15"/>
          <w:szCs w:val="15"/>
          <w:color w:val="000000"/>
        </w:rPr>
        <w:t xml:space="preserve">, </w:t>
      </w:r>
      <w:hyperlink r:id="rId58">
        <w:r>
          <w:rPr>
            <w:rFonts w:ascii="Times New Roman" w:cs="Times New Roman" w:eastAsia="Times New Roman" w:hAnsi="Times New Roman"/>
            <w:sz w:val="15"/>
            <w:szCs w:val="15"/>
            <w:u w:val="single" w:color="auto"/>
            <w:color w:val="0000EE"/>
          </w:rPr>
          <w:t>September 22, 2025</w:t>
        </w:r>
      </w:hyperlink>
      <w:r>
        <w:rPr>
          <w:rFonts w:ascii="Times New Roman" w:cs="Times New Roman" w:eastAsia="Times New Roman" w:hAnsi="Times New Roman"/>
          <w:sz w:val="15"/>
          <w:szCs w:val="15"/>
          <w:color w:val="000000"/>
        </w:rPr>
        <w:t xml:space="preserve">, </w:t>
      </w:r>
      <w:hyperlink r:id="rId59">
        <w:r>
          <w:rPr>
            <w:rFonts w:ascii="Times New Roman" w:cs="Times New Roman" w:eastAsia="Times New Roman" w:hAnsi="Times New Roman"/>
            <w:sz w:val="15"/>
            <w:szCs w:val="15"/>
            <w:u w:val="single" w:color="auto"/>
            <w:color w:val="0000EE"/>
          </w:rPr>
          <w:t>October 1, 2025</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(other</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than information furnished rather than filed),</w:t>
      </w:r>
      <w:r>
        <w:rPr>
          <w:rFonts w:ascii="Times New Roman" w:cs="Times New Roman" w:eastAsia="Times New Roman" w:hAnsi="Times New Roman"/>
          <w:sz w:val="15"/>
          <w:szCs w:val="15"/>
          <w:color w:val="0000EE"/>
        </w:rPr>
        <w:t xml:space="preserve"> </w:t>
      </w:r>
      <w:hyperlink r:id="rId60">
        <w:r>
          <w:rPr>
            <w:rFonts w:ascii="Times New Roman" w:cs="Times New Roman" w:eastAsia="Times New Roman" w:hAnsi="Times New Roman"/>
            <w:sz w:val="15"/>
            <w:szCs w:val="15"/>
            <w:u w:val="single" w:color="auto"/>
            <w:color w:val="0000EE"/>
          </w:rPr>
          <w:t>October 8, 2025</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61">
        <w:r>
          <w:rPr>
            <w:rFonts w:ascii="Times New Roman" w:cs="Times New Roman" w:eastAsia="Times New Roman" w:hAnsi="Times New Roman"/>
            <w:sz w:val="15"/>
            <w:szCs w:val="15"/>
            <w:u w:val="single" w:color="auto"/>
            <w:color w:val="0000EE"/>
          </w:rPr>
          <w:t>October 14, 2025</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62">
        <w:r>
          <w:rPr>
            <w:rFonts w:ascii="Times New Roman" w:cs="Times New Roman" w:eastAsia="Times New Roman" w:hAnsi="Times New Roman"/>
            <w:sz w:val="15"/>
            <w:szCs w:val="15"/>
            <w:u w:val="single" w:color="auto"/>
            <w:color w:val="0000EE"/>
          </w:rPr>
          <w:t xml:space="preserve">October 20, 2025 </w:t>
        </w:r>
      </w:hyperlink>
      <w:r>
        <w:rPr>
          <w:rFonts w:ascii="Times New Roman" w:cs="Times New Roman" w:eastAsia="Times New Roman" w:hAnsi="Times New Roman"/>
          <w:sz w:val="15"/>
          <w:szCs w:val="15"/>
          <w:color w:val="000000"/>
        </w:rPr>
        <w:t>(other</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than</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 xml:space="preserve">information furnished rather than filed), </w:t>
      </w:r>
      <w:hyperlink r:id="rId63">
        <w:r>
          <w:rPr>
            <w:rFonts w:ascii="Times New Roman" w:cs="Times New Roman" w:eastAsia="Times New Roman" w:hAnsi="Times New Roman"/>
            <w:sz w:val="15"/>
            <w:szCs w:val="15"/>
            <w:u w:val="single" w:color="auto"/>
            <w:color w:val="0000EE"/>
          </w:rPr>
          <w:t>October 21, 2025</w:t>
        </w:r>
      </w:hyperlink>
      <w:r>
        <w:rPr>
          <w:rFonts w:ascii="Times New Roman" w:cs="Times New Roman" w:eastAsia="Times New Roman" w:hAnsi="Times New Roman"/>
          <w:sz w:val="15"/>
          <w:szCs w:val="15"/>
          <w:color w:val="000000"/>
        </w:rPr>
        <w:t xml:space="preserve">, </w:t>
      </w:r>
      <w:hyperlink r:id="rId64">
        <w:r>
          <w:rPr>
            <w:rFonts w:ascii="Times New Roman" w:cs="Times New Roman" w:eastAsia="Times New Roman" w:hAnsi="Times New Roman"/>
            <w:sz w:val="15"/>
            <w:szCs w:val="15"/>
            <w:u w:val="single" w:color="auto"/>
            <w:color w:val="0000EE"/>
          </w:rPr>
          <w:t>October 22, 2025</w:t>
        </w:r>
      </w:hyperlink>
      <w:r>
        <w:rPr>
          <w:rFonts w:ascii="Times New Roman" w:cs="Times New Roman" w:eastAsia="Times New Roman" w:hAnsi="Times New Roman"/>
          <w:sz w:val="15"/>
          <w:szCs w:val="15"/>
          <w:color w:val="000000"/>
        </w:rPr>
        <w:t xml:space="preserve">, </w:t>
      </w:r>
      <w:hyperlink r:id="rId65">
        <w:r>
          <w:rPr>
            <w:rFonts w:ascii="Times New Roman" w:cs="Times New Roman" w:eastAsia="Times New Roman" w:hAnsi="Times New Roman"/>
            <w:sz w:val="15"/>
            <w:szCs w:val="15"/>
            <w:u w:val="single" w:color="auto"/>
            <w:color w:val="0000EE"/>
          </w:rPr>
          <w:t>October 31, 2025</w:t>
        </w:r>
        <w:r>
          <w:rPr>
            <w:rFonts w:ascii="Times New Roman" w:cs="Times New Roman" w:eastAsia="Times New Roman" w:hAnsi="Times New Roman"/>
            <w:sz w:val="15"/>
            <w:szCs w:val="15"/>
            <w:u w:val="single" w:color="auto"/>
            <w:color w:val="000000"/>
          </w:rPr>
          <w:t xml:space="preserve"> </w:t>
        </w:r>
      </w:hyperlink>
      <w:r>
        <w:rPr>
          <w:rFonts w:ascii="Times New Roman" w:cs="Times New Roman" w:eastAsia="Times New Roman" w:hAnsi="Times New Roman"/>
          <w:sz w:val="15"/>
          <w:szCs w:val="15"/>
          <w:color w:val="000000"/>
        </w:rPr>
        <w:t xml:space="preserve">(other than information furnished rather than filed), </w:t>
      </w:r>
      <w:hyperlink r:id="rId66">
        <w:r>
          <w:rPr>
            <w:rFonts w:ascii="Times New Roman" w:cs="Times New Roman" w:eastAsia="Times New Roman" w:hAnsi="Times New Roman"/>
            <w:sz w:val="15"/>
            <w:szCs w:val="15"/>
            <w:u w:val="single" w:color="auto"/>
            <w:color w:val="0000EE"/>
          </w:rPr>
          <w:t>November 3, 2025</w:t>
        </w:r>
      </w:hyperlink>
      <w:r>
        <w:rPr>
          <w:rFonts w:ascii="Times New Roman" w:cs="Times New Roman" w:eastAsia="Times New Roman" w:hAnsi="Times New Roman"/>
          <w:sz w:val="15"/>
          <w:szCs w:val="15"/>
          <w:color w:val="000000"/>
        </w:rPr>
        <w:t xml:space="preserve">, </w:t>
      </w:r>
      <w:hyperlink r:id="rId67">
        <w:r>
          <w:rPr>
            <w:rFonts w:ascii="Times New Roman" w:cs="Times New Roman" w:eastAsia="Times New Roman" w:hAnsi="Times New Roman"/>
            <w:sz w:val="15"/>
            <w:szCs w:val="15"/>
            <w:u w:val="single" w:color="auto"/>
            <w:color w:val="0000EE"/>
          </w:rPr>
          <w:t>November 3, 2025</w:t>
        </w:r>
      </w:hyperlink>
      <w:r>
        <w:rPr>
          <w:rFonts w:ascii="Times New Roman" w:cs="Times New Roman" w:eastAsia="Times New Roman" w:hAnsi="Times New Roman"/>
          <w:sz w:val="15"/>
          <w:szCs w:val="15"/>
          <w:color w:val="000000"/>
        </w:rPr>
        <w:t xml:space="preserve">, </w:t>
      </w:r>
      <w:hyperlink r:id="rId68">
        <w:r>
          <w:rPr>
            <w:rFonts w:ascii="Times New Roman" w:cs="Times New Roman" w:eastAsia="Times New Roman" w:hAnsi="Times New Roman"/>
            <w:sz w:val="15"/>
            <w:szCs w:val="15"/>
            <w:u w:val="single" w:color="auto"/>
            <w:color w:val="0000EE"/>
          </w:rPr>
          <w:t>November 14, 2025</w:t>
        </w:r>
      </w:hyperlink>
      <w:r>
        <w:rPr>
          <w:rFonts w:ascii="Times New Roman" w:cs="Times New Roman" w:eastAsia="Times New Roman" w:hAnsi="Times New Roman"/>
          <w:sz w:val="15"/>
          <w:szCs w:val="15"/>
          <w:color w:val="000000"/>
        </w:rPr>
        <w:t xml:space="preserve">, </w:t>
      </w:r>
      <w:hyperlink r:id="rId69">
        <w:r>
          <w:rPr>
            <w:rFonts w:ascii="Times New Roman" w:cs="Times New Roman" w:eastAsia="Times New Roman" w:hAnsi="Times New Roman"/>
            <w:sz w:val="15"/>
            <w:szCs w:val="15"/>
            <w:u w:val="single" w:color="auto"/>
            <w:color w:val="0000EE"/>
          </w:rPr>
          <w:t>November 24, 2025</w:t>
        </w:r>
      </w:hyperlink>
      <w:r>
        <w:rPr>
          <w:rFonts w:ascii="Times New Roman" w:cs="Times New Roman" w:eastAsia="Times New Roman" w:hAnsi="Times New Roman"/>
          <w:sz w:val="15"/>
          <w:szCs w:val="15"/>
          <w:color w:val="000000"/>
        </w:rPr>
        <w:t xml:space="preserve">, </w:t>
      </w:r>
      <w:hyperlink r:id="rId42">
        <w:r>
          <w:rPr>
            <w:rFonts w:ascii="Times New Roman" w:cs="Times New Roman" w:eastAsia="Times New Roman" w:hAnsi="Times New Roman"/>
            <w:sz w:val="15"/>
            <w:szCs w:val="15"/>
            <w:u w:val="single" w:color="auto"/>
            <w:color w:val="0000EE"/>
          </w:rPr>
          <w:t>December 10, 2025</w:t>
        </w:r>
      </w:hyperlink>
      <w:r>
        <w:rPr>
          <w:rFonts w:ascii="Times New Roman" w:cs="Times New Roman" w:eastAsia="Times New Roman" w:hAnsi="Times New Roman"/>
          <w:sz w:val="15"/>
          <w:szCs w:val="15"/>
          <w:color w:val="000000"/>
        </w:rPr>
        <w:t xml:space="preserve">, </w:t>
      </w:r>
      <w:hyperlink r:id="rId70">
        <w:r>
          <w:rPr>
            <w:rFonts w:ascii="Times New Roman" w:cs="Times New Roman" w:eastAsia="Times New Roman" w:hAnsi="Times New Roman"/>
            <w:sz w:val="15"/>
            <w:szCs w:val="15"/>
            <w:u w:val="single" w:color="auto"/>
            <w:color w:val="0000EE"/>
          </w:rPr>
          <w:t>January 12, 2026</w:t>
        </w:r>
      </w:hyperlink>
      <w:r>
        <w:rPr>
          <w:rFonts w:ascii="Times New Roman" w:cs="Times New Roman" w:eastAsia="Times New Roman" w:hAnsi="Times New Roman"/>
          <w:sz w:val="15"/>
          <w:szCs w:val="15"/>
          <w:color w:val="000000"/>
        </w:rPr>
        <w:t xml:space="preserve"> and </w:t>
      </w:r>
      <w:hyperlink r:id="rId71">
        <w:r>
          <w:rPr>
            <w:rFonts w:ascii="Times New Roman" w:cs="Times New Roman" w:eastAsia="Times New Roman" w:hAnsi="Times New Roman"/>
            <w:sz w:val="15"/>
            <w:szCs w:val="15"/>
            <w:u w:val="single" w:color="auto"/>
            <w:color w:val="0000EE"/>
          </w:rPr>
          <w:t>January 20, 2026</w:t>
        </w:r>
        <w:r>
          <w:rPr>
            <w:rFonts w:ascii="Times New Roman" w:cs="Times New Roman" w:eastAsia="Times New Roman" w:hAnsi="Times New Roman"/>
            <w:sz w:val="15"/>
            <w:szCs w:val="15"/>
            <w:u w:val="single" w:color="auto"/>
            <w:color w:val="000000"/>
          </w:rPr>
          <w:t xml:space="preserve"> </w:t>
        </w:r>
      </w:hyperlink>
      <w:r>
        <w:rPr>
          <w:rFonts w:ascii="Times New Roman" w:cs="Times New Roman" w:eastAsia="Times New Roman" w:hAnsi="Times New Roman"/>
          <w:sz w:val="15"/>
          <w:szCs w:val="15"/>
          <w:color w:val="000000"/>
        </w:rPr>
        <w:t xml:space="preserve">and our Current Report on </w:t>
      </w:r>
      <w:hyperlink r:id="rId72">
        <w:r>
          <w:rPr>
            <w:rFonts w:ascii="Times New Roman" w:cs="Times New Roman" w:eastAsia="Times New Roman" w:hAnsi="Times New Roman"/>
            <w:sz w:val="15"/>
            <w:szCs w:val="15"/>
            <w:u w:val="single" w:color="auto"/>
            <w:color w:val="0000EE"/>
          </w:rPr>
          <w:t>Form 8-K/A</w:t>
        </w:r>
        <w:r>
          <w:rPr>
            <w:rFonts w:ascii="Times New Roman" w:cs="Times New Roman" w:eastAsia="Times New Roman" w:hAnsi="Times New Roman"/>
            <w:sz w:val="15"/>
            <w:szCs w:val="15"/>
            <w:u w:val="single" w:color="auto"/>
            <w:color w:val="000000"/>
          </w:rPr>
          <w:t xml:space="preserve"> </w:t>
        </w:r>
      </w:hyperlink>
      <w:r>
        <w:rPr>
          <w:rFonts w:ascii="Times New Roman" w:cs="Times New Roman" w:eastAsia="Times New Roman" w:hAnsi="Times New Roman"/>
          <w:sz w:val="15"/>
          <w:szCs w:val="15"/>
          <w:color w:val="000000"/>
        </w:rPr>
        <w:t>filed with the SEC on November 7, 2025; and</w:t>
      </w:r>
    </w:p>
    <w:p>
      <w:pPr>
        <w:spacing w:after="0" w:line="80" w:lineRule="exact"/>
        <w:rPr>
          <w:rFonts w:ascii="Times New Roman" w:cs="Times New Roman" w:eastAsia="Times New Roman" w:hAnsi="Times New Roman"/>
          <w:sz w:val="15"/>
          <w:szCs w:val="15"/>
          <w:color w:val="000000"/>
        </w:rPr>
      </w:pPr>
    </w:p>
    <w:p>
      <w:pPr>
        <w:ind w:left="1920" w:right="360" w:hanging="354"/>
        <w:spacing w:after="0" w:line="273" w:lineRule="auto"/>
        <w:tabs>
          <w:tab w:leader="none" w:pos="19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securities attached as </w:t>
      </w:r>
      <w:hyperlink r:id="rId73">
        <w:r>
          <w:rPr>
            <w:rFonts w:ascii="Times New Roman" w:cs="Times New Roman" w:eastAsia="Times New Roman" w:hAnsi="Times New Roman"/>
            <w:sz w:val="15"/>
            <w:szCs w:val="15"/>
            <w:u w:val="single" w:color="auto"/>
            <w:color w:val="0000EE"/>
          </w:rPr>
          <w:t>Exhibit 99.1</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to our Current Report on </w:t>
      </w:r>
      <w:hyperlink r:id="rId67">
        <w:r>
          <w:rPr>
            <w:rFonts w:ascii="Times New Roman" w:cs="Times New Roman" w:eastAsia="Times New Roman" w:hAnsi="Times New Roman"/>
            <w:sz w:val="15"/>
            <w:szCs w:val="15"/>
            <w:u w:val="single" w:color="auto"/>
            <w:color w:val="0000EE"/>
          </w:rPr>
          <w:t>Form 8-K12B</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filed with the SEC on November 11, 2025, including any other amendments or reports filed for the purpose of updating such description.</w:t>
      </w:r>
    </w:p>
    <w:p>
      <w:pPr>
        <w:spacing w:after="0" w:line="140" w:lineRule="exact"/>
        <w:rPr>
          <w:rFonts w:ascii="Times New Roman" w:cs="Times New Roman" w:eastAsia="Times New Roman" w:hAnsi="Times New Roman"/>
          <w:sz w:val="15"/>
          <w:szCs w:val="15"/>
          <w:color w:val="auto"/>
        </w:rPr>
      </w:pPr>
    </w:p>
    <w:p>
      <w:pPr>
        <w:ind w:left="1120" w:right="180" w:firstLine="362"/>
        <w:spacing w:after="0" w:line="260" w:lineRule="auto"/>
        <w:rPr>
          <w:sz w:val="20"/>
          <w:szCs w:val="20"/>
          <w:color w:val="auto"/>
        </w:rPr>
      </w:pPr>
      <w:r>
        <w:rPr>
          <w:rFonts w:ascii="Times New Roman" w:cs="Times New Roman" w:eastAsia="Times New Roman" w:hAnsi="Times New Roman"/>
          <w:sz w:val="15"/>
          <w:szCs w:val="15"/>
          <w:color w:val="auto"/>
        </w:rPr>
        <w:t>Any statement contained in a document incorporated or deemed to be incorporated by reference in this prospectus is modified or superseded for purposes of the prospectus to the extent that a statement contained in this prospectus or in any other subsequently filed document that also is or is deemed to be incorporated by reference herein modifies or supersedes such statement.</w:t>
      </w:r>
    </w:p>
    <w:p>
      <w:pPr>
        <w:spacing w:after="0" w:line="149" w:lineRule="exact"/>
        <w:rPr>
          <w:rFonts w:ascii="Times New Roman" w:cs="Times New Roman" w:eastAsia="Times New Roman" w:hAnsi="Times New Roman"/>
          <w:sz w:val="15"/>
          <w:szCs w:val="15"/>
          <w:color w:val="auto"/>
        </w:rPr>
      </w:pPr>
    </w:p>
    <w:p>
      <w:pPr>
        <w:ind w:left="1120" w:right="20" w:firstLine="362"/>
        <w:spacing w:after="0" w:line="273" w:lineRule="auto"/>
        <w:rPr>
          <w:sz w:val="20"/>
          <w:szCs w:val="20"/>
          <w:color w:val="auto"/>
        </w:rPr>
      </w:pPr>
      <w:r>
        <w:rPr>
          <w:rFonts w:ascii="Times New Roman" w:cs="Times New Roman" w:eastAsia="Times New Roman" w:hAnsi="Times New Roman"/>
          <w:sz w:val="15"/>
          <w:szCs w:val="15"/>
          <w:color w:val="auto"/>
        </w:rPr>
        <w:t>We will provide to each person, including any beneficial owner, to whom a prospectus is delivered, a copy of any or all of the information that has been incorporated by reference in this prospectus but not delivered with the prospectus.</w:t>
      </w:r>
    </w:p>
    <w:p>
      <w:pPr>
        <w:spacing w:after="0" w:line="140" w:lineRule="exact"/>
        <w:rPr>
          <w:rFonts w:ascii="Times New Roman" w:cs="Times New Roman" w:eastAsia="Times New Roman" w:hAnsi="Times New Roman"/>
          <w:sz w:val="15"/>
          <w:szCs w:val="15"/>
          <w:color w:val="auto"/>
        </w:rPr>
      </w:pPr>
    </w:p>
    <w:p>
      <w:pPr>
        <w:ind w:left="1120" w:right="160" w:firstLine="362"/>
        <w:spacing w:after="0" w:line="255" w:lineRule="auto"/>
        <w:rPr>
          <w:sz w:val="20"/>
          <w:szCs w:val="20"/>
          <w:color w:val="auto"/>
        </w:rPr>
      </w:pPr>
      <w:r>
        <w:rPr>
          <w:rFonts w:ascii="Times New Roman" w:cs="Times New Roman" w:eastAsia="Times New Roman" w:hAnsi="Times New Roman"/>
          <w:sz w:val="15"/>
          <w:szCs w:val="15"/>
          <w:color w:val="auto"/>
        </w:rPr>
        <w:t>We are an Exchange Act reporting company and are required to file periodic reports on Form 10-K and 10-Q and Current Reports on Form 8-K. The SEC maintains an internet website that contains reports, proxy and information statements, and other information regarding issuers that file electronically with the SEC, including Bakkt Holdings, Inc. at www.sec.gov/EDGAR. You may also access our reports and proxy statements free of charge at our website, www.bakkt.com, which website is not incorporated into this prospectus supplement.</w:t>
      </w:r>
    </w:p>
    <w:p>
      <w:pPr>
        <w:spacing w:after="0" w:line="153" w:lineRule="exact"/>
        <w:rPr>
          <w:rFonts w:ascii="Times New Roman" w:cs="Times New Roman" w:eastAsia="Times New Roman" w:hAnsi="Times New Roman"/>
          <w:sz w:val="15"/>
          <w:szCs w:val="15"/>
          <w:color w:val="auto"/>
        </w:rPr>
      </w:pPr>
    </w:p>
    <w:p>
      <w:pPr>
        <w:ind w:left="1480"/>
        <w:spacing w:after="0"/>
        <w:rPr>
          <w:sz w:val="20"/>
          <w:szCs w:val="20"/>
          <w:color w:val="auto"/>
        </w:rPr>
      </w:pPr>
      <w:r>
        <w:rPr>
          <w:rFonts w:ascii="Times New Roman" w:cs="Times New Roman" w:eastAsia="Times New Roman" w:hAnsi="Times New Roman"/>
          <w:sz w:val="15"/>
          <w:szCs w:val="15"/>
          <w:color w:val="auto"/>
        </w:rPr>
        <w:t>You may obtain a copy of any of our filings, at no cost, by contacting us at:</w:t>
      </w:r>
    </w:p>
    <w:p>
      <w:pPr>
        <w:spacing w:after="0" w:line="180" w:lineRule="exact"/>
        <w:rPr>
          <w:rFonts w:ascii="Times New Roman" w:cs="Times New Roman" w:eastAsia="Times New Roman" w:hAnsi="Times New Roman"/>
          <w:sz w:val="15"/>
          <w:szCs w:val="15"/>
          <w:color w:val="auto"/>
        </w:rPr>
      </w:pPr>
    </w:p>
    <w:p>
      <w:pPr>
        <w:jc w:val="center"/>
        <w:ind w:right="-1139"/>
        <w:spacing w:after="0"/>
        <w:rPr>
          <w:sz w:val="20"/>
          <w:szCs w:val="20"/>
          <w:color w:val="auto"/>
        </w:rPr>
      </w:pPr>
      <w:r>
        <w:rPr>
          <w:rFonts w:ascii="Times New Roman" w:cs="Times New Roman" w:eastAsia="Times New Roman" w:hAnsi="Times New Roman"/>
          <w:sz w:val="15"/>
          <w:szCs w:val="15"/>
          <w:b w:val="1"/>
          <w:bCs w:val="1"/>
          <w:color w:val="auto"/>
        </w:rPr>
        <w:t>One Liberty Plaza,</w:t>
      </w:r>
    </w:p>
    <w:p>
      <w:pPr>
        <w:spacing w:after="0" w:line="21" w:lineRule="exact"/>
        <w:rPr>
          <w:rFonts w:ascii="Times New Roman" w:cs="Times New Roman" w:eastAsia="Times New Roman" w:hAnsi="Times New Roman"/>
          <w:sz w:val="15"/>
          <w:szCs w:val="15"/>
          <w:color w:val="auto"/>
        </w:rPr>
      </w:pPr>
    </w:p>
    <w:p>
      <w:pPr>
        <w:jc w:val="center"/>
        <w:ind w:right="-1139"/>
        <w:spacing w:after="0"/>
        <w:rPr>
          <w:sz w:val="20"/>
          <w:szCs w:val="20"/>
          <w:color w:val="auto"/>
        </w:rPr>
      </w:pPr>
      <w:r>
        <w:rPr>
          <w:rFonts w:ascii="Times New Roman" w:cs="Times New Roman" w:eastAsia="Times New Roman" w:hAnsi="Times New Roman"/>
          <w:sz w:val="15"/>
          <w:szCs w:val="15"/>
          <w:b w:val="1"/>
          <w:bCs w:val="1"/>
          <w:color w:val="auto"/>
        </w:rPr>
        <w:t>One Liberty Street, Suite 305-306</w:t>
      </w:r>
    </w:p>
    <w:p>
      <w:pPr>
        <w:spacing w:after="0" w:line="5" w:lineRule="exact"/>
        <w:rPr>
          <w:rFonts w:ascii="Times New Roman" w:cs="Times New Roman" w:eastAsia="Times New Roman" w:hAnsi="Times New Roman"/>
          <w:sz w:val="15"/>
          <w:szCs w:val="15"/>
          <w:color w:val="auto"/>
        </w:rPr>
      </w:pPr>
    </w:p>
    <w:p>
      <w:pPr>
        <w:jc w:val="center"/>
        <w:ind w:right="-1139"/>
        <w:spacing w:after="0"/>
        <w:rPr>
          <w:sz w:val="20"/>
          <w:szCs w:val="20"/>
          <w:color w:val="auto"/>
        </w:rPr>
      </w:pPr>
      <w:r>
        <w:rPr>
          <w:rFonts w:ascii="Times New Roman" w:cs="Times New Roman" w:eastAsia="Times New Roman" w:hAnsi="Times New Roman"/>
          <w:sz w:val="15"/>
          <w:szCs w:val="15"/>
          <w:b w:val="1"/>
          <w:bCs w:val="1"/>
          <w:color w:val="auto"/>
        </w:rPr>
        <w:t>New York, New York 10006</w:t>
      </w:r>
    </w:p>
    <w:p>
      <w:pPr>
        <w:spacing w:after="0" w:line="5" w:lineRule="exact"/>
        <w:rPr>
          <w:rFonts w:ascii="Times New Roman" w:cs="Times New Roman" w:eastAsia="Times New Roman" w:hAnsi="Times New Roman"/>
          <w:sz w:val="15"/>
          <w:szCs w:val="15"/>
          <w:color w:val="auto"/>
        </w:rPr>
      </w:pPr>
    </w:p>
    <w:p>
      <w:pPr>
        <w:jc w:val="center"/>
        <w:ind w:right="-1139"/>
        <w:spacing w:after="0"/>
        <w:rPr>
          <w:sz w:val="20"/>
          <w:szCs w:val="20"/>
          <w:color w:val="auto"/>
        </w:rPr>
      </w:pPr>
      <w:r>
        <w:rPr>
          <w:rFonts w:ascii="Times New Roman" w:cs="Times New Roman" w:eastAsia="Times New Roman" w:hAnsi="Times New Roman"/>
          <w:sz w:val="15"/>
          <w:szCs w:val="15"/>
          <w:b w:val="1"/>
          <w:bCs w:val="1"/>
          <w:color w:val="auto"/>
        </w:rPr>
        <w:t>(678) 534-5849</w:t>
      </w:r>
    </w:p>
    <w:p>
      <w:pPr>
        <w:spacing w:after="0" w:line="112" w:lineRule="exact"/>
        <w:rPr>
          <w:rFonts w:ascii="Times New Roman" w:cs="Times New Roman" w:eastAsia="Times New Roman" w:hAnsi="Times New Roman"/>
          <w:sz w:val="15"/>
          <w:szCs w:val="15"/>
          <w:color w:val="auto"/>
        </w:rPr>
      </w:pPr>
    </w:p>
    <w:p>
      <w:pPr>
        <w:ind w:left="5500"/>
        <w:spacing w:after="0"/>
        <w:rPr>
          <w:sz w:val="20"/>
          <w:szCs w:val="20"/>
          <w:color w:val="auto"/>
        </w:rPr>
      </w:pPr>
      <w:r>
        <w:rPr>
          <w:rFonts w:ascii="Times New Roman" w:cs="Times New Roman" w:eastAsia="Times New Roman" w:hAnsi="Times New Roman"/>
          <w:sz w:val="15"/>
          <w:szCs w:val="15"/>
          <w:color w:val="auto"/>
        </w:rPr>
        <w:t>S-21</w:t>
      </w:r>
    </w:p>
    <w:p>
      <w:pPr>
        <w:sectPr>
          <w:pgSz w:w="11900" w:h="16838" w:orient="portrait"/>
          <w:cols w:equalWidth="0" w:num="1">
            <w:col w:w="10160"/>
          </w:cols>
          <w:pgMar w:left="300" w:top="400" w:right="1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140335</wp:posOffset>
            </wp:positionV>
            <wp:extent cx="73914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5">
                      <a:extLst>
                        <a:ext uri="{28A0092B-C50C-407E-A947-70E740481C1C}"/>
                      </a:extLst>
                    </a:blip>
                    <a:srcRect/>
                    <a:stretch>
                      <a:fillRect/>
                    </a:stretch>
                  </pic:blipFill>
                  <pic:spPr bwMode="auto">
                    <a:xfrm>
                      <a:off x="0" y="0"/>
                      <a:ext cx="73914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35"/>
          <w:szCs w:val="35"/>
          <w:b w:val="1"/>
          <w:bCs w:val="1"/>
          <w:color w:val="auto"/>
        </w:rPr>
        <w:t>Bakkt Holdings, Inc.</w:t>
      </w:r>
    </w:p>
    <w:p>
      <w:pPr>
        <w:spacing w:after="0" w:line="187"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27"/>
          <w:szCs w:val="27"/>
          <w:b w:val="1"/>
          <w:bCs w:val="1"/>
          <w:color w:val="auto"/>
        </w:rPr>
        <w:t>$1,000,000,000</w:t>
      </w:r>
    </w:p>
    <w:p>
      <w:pPr>
        <w:spacing w:after="0" w:line="182"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21"/>
          <w:szCs w:val="21"/>
          <w:b w:val="1"/>
          <w:bCs w:val="1"/>
          <w:color w:val="auto"/>
        </w:rPr>
        <w:t>Class A Common Stock</w:t>
      </w:r>
    </w:p>
    <w:p>
      <w:pPr>
        <w:spacing w:after="0" w:line="28"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21"/>
          <w:szCs w:val="21"/>
          <w:b w:val="1"/>
          <w:bCs w:val="1"/>
          <w:color w:val="auto"/>
        </w:rPr>
        <w:t>Preferred Stock</w:t>
      </w:r>
    </w:p>
    <w:p>
      <w:pPr>
        <w:spacing w:after="0" w:line="2"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21"/>
          <w:szCs w:val="21"/>
          <w:b w:val="1"/>
          <w:bCs w:val="1"/>
          <w:color w:val="auto"/>
        </w:rPr>
        <w:t>Debt Securities</w:t>
      </w:r>
    </w:p>
    <w:p>
      <w:pPr>
        <w:spacing w:after="0" w:line="2"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21"/>
          <w:szCs w:val="21"/>
          <w:b w:val="1"/>
          <w:bCs w:val="1"/>
          <w:color w:val="auto"/>
        </w:rPr>
        <w:t>Warrants</w:t>
      </w:r>
    </w:p>
    <w:p>
      <w:pPr>
        <w:spacing w:after="0" w:line="2"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21"/>
          <w:szCs w:val="21"/>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181610</wp:posOffset>
            </wp:positionV>
            <wp:extent cx="12033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6">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120" w:right="120" w:firstLine="362"/>
        <w:spacing w:after="0" w:line="275" w:lineRule="auto"/>
        <w:rPr>
          <w:sz w:val="20"/>
          <w:szCs w:val="20"/>
          <w:color w:val="auto"/>
        </w:rPr>
      </w:pPr>
      <w:r>
        <w:rPr>
          <w:rFonts w:ascii="Times New Roman" w:cs="Times New Roman" w:eastAsia="Times New Roman" w:hAnsi="Times New Roman"/>
          <w:sz w:val="14"/>
          <w:szCs w:val="14"/>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$1,000,000,000.</w:t>
      </w:r>
    </w:p>
    <w:p>
      <w:pPr>
        <w:spacing w:after="0" w:line="142" w:lineRule="exact"/>
        <w:rPr>
          <w:sz w:val="20"/>
          <w:szCs w:val="20"/>
          <w:color w:val="auto"/>
        </w:rPr>
      </w:pPr>
    </w:p>
    <w:p>
      <w:pPr>
        <w:ind w:left="1120" w:right="160" w:firstLine="362"/>
        <w:spacing w:after="0" w:line="260" w:lineRule="auto"/>
        <w:rPr>
          <w:sz w:val="20"/>
          <w:szCs w:val="20"/>
          <w:color w:val="auto"/>
        </w:rPr>
      </w:pPr>
      <w:r>
        <w:rPr>
          <w:rFonts w:ascii="Times New Roman" w:cs="Times New Roman" w:eastAsia="Times New Roman" w:hAnsi="Times New Roman"/>
          <w:sz w:val="15"/>
          <w:szCs w:val="15"/>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49" w:lineRule="exact"/>
        <w:rPr>
          <w:sz w:val="20"/>
          <w:szCs w:val="20"/>
          <w:color w:val="auto"/>
        </w:rPr>
      </w:pPr>
    </w:p>
    <w:p>
      <w:pPr>
        <w:ind w:left="1120" w:right="20" w:firstLine="362"/>
        <w:spacing w:after="0" w:line="260" w:lineRule="auto"/>
        <w:rPr>
          <w:sz w:val="20"/>
          <w:szCs w:val="20"/>
          <w:color w:val="auto"/>
        </w:rPr>
      </w:pPr>
      <w:r>
        <w:rPr>
          <w:rFonts w:ascii="Times New Roman" w:cs="Times New Roman" w:eastAsia="Times New Roman" w:hAnsi="Times New Roman"/>
          <w:sz w:val="15"/>
          <w:szCs w:val="15"/>
          <w:color w:val="auto"/>
        </w:rPr>
        <w:t>Our Class A common stock, par value $0.0001 per share (“Class A Common Stock”), and our public warrants to purchase Class A Common Stock are listed on the New York Stock Exchange (“NYSE”) under the symbols “BKKT” and “BKKT WS,” respectively. Each prospectus supplement will indicate whether the securities offered thereby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180975</wp:posOffset>
            </wp:positionV>
            <wp:extent cx="12033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7">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120" w:firstLine="362"/>
        <w:spacing w:after="0" w:line="254" w:lineRule="auto"/>
        <w:rPr>
          <w:sz w:val="20"/>
          <w:szCs w:val="20"/>
          <w:color w:val="auto"/>
        </w:rPr>
      </w:pPr>
      <w:r>
        <w:rPr>
          <w:rFonts w:ascii="Times New Roman" w:cs="Times New Roman" w:eastAsia="Times New Roman" w:hAnsi="Times New Roman"/>
          <w:sz w:val="17"/>
          <w:szCs w:val="17"/>
          <w:b w:val="1"/>
          <w:bCs w:val="1"/>
          <w:color w:val="auto"/>
        </w:rPr>
        <w:t>Investing in these securities involves risks. Please carefully read the information under the headings “</w:t>
      </w:r>
      <w:r>
        <w:rPr>
          <w:rFonts w:ascii="Times New Roman" w:cs="Times New Roman" w:eastAsia="Times New Roman" w:hAnsi="Times New Roman"/>
          <w:sz w:val="17"/>
          <w:szCs w:val="17"/>
          <w:b w:val="1"/>
          <w:bCs w:val="1"/>
          <w:i w:val="1"/>
          <w:iCs w:val="1"/>
          <w:u w:val="single" w:color="auto"/>
          <w:color w:val="0000EE"/>
        </w:rPr>
        <w:t>Risk Factors</w:t>
      </w:r>
      <w:r>
        <w:rPr>
          <w:rFonts w:ascii="Times New Roman" w:cs="Times New Roman" w:eastAsia="Times New Roman" w:hAnsi="Times New Roman"/>
          <w:sz w:val="17"/>
          <w:szCs w:val="17"/>
          <w:b w:val="1"/>
          <w:bCs w:val="1"/>
          <w:color w:val="auto"/>
        </w:rPr>
        <w:t>” beginning on page 6 of this prospectus and “</w:t>
      </w:r>
      <w:r>
        <w:rPr>
          <w:rFonts w:ascii="Times New Roman" w:cs="Times New Roman" w:eastAsia="Times New Roman" w:hAnsi="Times New Roman"/>
          <w:sz w:val="17"/>
          <w:szCs w:val="17"/>
          <w:b w:val="1"/>
          <w:bCs w:val="1"/>
          <w:i w:val="1"/>
          <w:iCs w:val="1"/>
          <w:color w:val="auto"/>
        </w:rPr>
        <w:t>Item 1A – Risk Factors</w:t>
      </w:r>
      <w:r>
        <w:rPr>
          <w:rFonts w:ascii="Times New Roman" w:cs="Times New Roman" w:eastAsia="Times New Roman" w:hAnsi="Times New Roman"/>
          <w:sz w:val="17"/>
          <w:szCs w:val="17"/>
          <w:b w:val="1"/>
          <w:bCs w:val="1"/>
          <w:color w:val="auto"/>
        </w:rPr>
        <w:t>” of our most recent Annual Report on Form 10-K and any Quarterly Report on Form 10-Q filed subsequently to such Form 10-K that is incorporated by reference in this prospectus before you invest in our securities. In addition, please carefully read the information under the heading “Risk Factors Related to the Update of Our Investment Policy” in Exhibit 99.1 to our Current Report on Form 8-K filed on June 10, 2025 that is incorporated by reference in this prospectus before you invest in our securities.</w:t>
      </w:r>
    </w:p>
    <w:p>
      <w:pPr>
        <w:spacing w:after="0" w:line="143" w:lineRule="exact"/>
        <w:rPr>
          <w:sz w:val="20"/>
          <w:szCs w:val="20"/>
          <w:color w:val="auto"/>
        </w:rPr>
      </w:pPr>
    </w:p>
    <w:p>
      <w:pPr>
        <w:ind w:left="1120" w:right="120" w:firstLine="362"/>
        <w:spacing w:after="0" w:line="276"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167005</wp:posOffset>
            </wp:positionV>
            <wp:extent cx="12033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8">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5"/>
          <w:szCs w:val="15"/>
          <w:b w:val="1"/>
          <w:bCs w:val="1"/>
          <w:color w:val="auto"/>
        </w:rPr>
        <w:t>The date of this prospectus is July 3, 2025.</w:t>
      </w:r>
    </w:p>
    <w:p>
      <w:pPr>
        <w:sectPr>
          <w:pgSz w:w="11900" w:h="16838" w:orient="portrait"/>
          <w:cols w:equalWidth="0" w:num="1">
            <w:col w:w="10160"/>
          </w:cols>
          <w:pgMar w:left="300" w:top="400" w:right="1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tbl>
      <w:tblPr>
        <w:tblLayout w:type="fixed"/>
        <w:tblInd w:w="1120" w:type="dxa"/>
        <w:tblCellMar>
          <w:top w:w="0" w:type="dxa"/>
          <w:left w:w="0" w:type="dxa"/>
          <w:bottom w:w="0" w:type="dxa"/>
          <w:right w:w="0" w:type="dxa"/>
        </w:tblCellMar>
      </w:tblPr>
      <w:tr>
        <w:trPr>
          <w:trHeight w:val="194"/>
        </w:trPr>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40" w:type="dxa"/>
            <w:vAlign w:val="bottom"/>
          </w:tcPr>
          <w:p>
            <w:pPr>
              <w:jc w:val="right"/>
              <w:ind w:right="3607"/>
              <w:spacing w:after="0"/>
              <w:rPr>
                <w:sz w:val="20"/>
                <w:szCs w:val="20"/>
                <w:color w:val="auto"/>
              </w:rPr>
            </w:pPr>
            <w:r>
              <w:rPr>
                <w:rFonts w:ascii="Times New Roman" w:cs="Times New Roman" w:eastAsia="Times New Roman" w:hAnsi="Times New Roman"/>
                <w:sz w:val="15"/>
                <w:szCs w:val="15"/>
                <w:b w:val="1"/>
                <w:bCs w:val="1"/>
                <w:color w:val="auto"/>
              </w:rPr>
              <w:t>TABLE OF CONTENTS</w:t>
            </w:r>
          </w:p>
        </w:tc>
      </w:tr>
      <w:tr>
        <w:trPr>
          <w:trHeight w:val="307"/>
        </w:trPr>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Page</w:t>
            </w:r>
          </w:p>
        </w:tc>
      </w:tr>
      <w:tr>
        <w:trPr>
          <w:trHeight w:val="159"/>
        </w:trPr>
        <w:tc>
          <w:tcPr>
            <w:tcW w:w="1300" w:type="dxa"/>
            <w:vAlign w:val="bottom"/>
            <w:tcBorders>
              <w:bottom w:val="single" w:sz="8" w:color="0000EE"/>
            </w:tcBorders>
            <w:gridSpan w:val="7"/>
          </w:tcPr>
          <w:p>
            <w:pPr>
              <w:spacing w:after="0" w:line="159" w:lineRule="exact"/>
              <w:rPr>
                <w:sz w:val="20"/>
                <w:szCs w:val="20"/>
                <w:color w:val="auto"/>
              </w:rPr>
            </w:pPr>
            <w:r>
              <w:rPr>
                <w:rFonts w:ascii="Times New Roman" w:cs="Times New Roman" w:eastAsia="Times New Roman" w:hAnsi="Times New Roman"/>
                <w:sz w:val="15"/>
                <w:szCs w:val="15"/>
                <w:color w:val="0000EE"/>
                <w:w w:val="97"/>
              </w:rPr>
              <w:t>About this Prospectus</w:t>
            </w:r>
          </w:p>
        </w:tc>
        <w:tc>
          <w:tcPr>
            <w:tcW w:w="1060" w:type="dxa"/>
            <w:vAlign w:val="bottom"/>
            <w:gridSpan w:val="5"/>
          </w:tcPr>
          <w:p>
            <w:pPr>
              <w:spacing w:after="0"/>
              <w:rPr>
                <w:sz w:val="13"/>
                <w:szCs w:val="13"/>
                <w:color w:val="auto"/>
              </w:rPr>
            </w:pPr>
          </w:p>
        </w:tc>
        <w:tc>
          <w:tcPr>
            <w:tcW w:w="664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ii</w:t>
            </w:r>
          </w:p>
        </w:tc>
      </w:tr>
      <w:tr>
        <w:trPr>
          <w:trHeight w:val="157"/>
        </w:trPr>
        <w:tc>
          <w:tcPr>
            <w:tcW w:w="1260" w:type="dxa"/>
            <w:vAlign w:val="bottom"/>
            <w:tcBorders>
              <w:bottom w:val="single" w:sz="8" w:color="0000EE"/>
            </w:tcBorders>
            <w:gridSpan w:val="6"/>
          </w:tcPr>
          <w:p>
            <w:pPr>
              <w:spacing w:after="0" w:line="157" w:lineRule="exact"/>
              <w:rPr>
                <w:sz w:val="20"/>
                <w:szCs w:val="20"/>
                <w:color w:val="auto"/>
              </w:rPr>
            </w:pPr>
            <w:r>
              <w:rPr>
                <w:rFonts w:ascii="Times New Roman" w:cs="Times New Roman" w:eastAsia="Times New Roman" w:hAnsi="Times New Roman"/>
                <w:sz w:val="15"/>
                <w:szCs w:val="15"/>
                <w:color w:val="0000EE"/>
                <w:w w:val="97"/>
              </w:rPr>
              <w:t>Prospectus Summary</w:t>
            </w:r>
          </w:p>
        </w:tc>
        <w:tc>
          <w:tcPr>
            <w:tcW w:w="1100" w:type="dxa"/>
            <w:vAlign w:val="bottom"/>
            <w:gridSpan w:val="6"/>
          </w:tcPr>
          <w:p>
            <w:pPr>
              <w:spacing w:after="0"/>
              <w:rPr>
                <w:sz w:val="13"/>
                <w:szCs w:val="13"/>
                <w:color w:val="auto"/>
              </w:rPr>
            </w:pP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1</w:t>
            </w:r>
          </w:p>
        </w:tc>
      </w:tr>
      <w:tr>
        <w:trPr>
          <w:trHeight w:val="157"/>
        </w:trPr>
        <w:tc>
          <w:tcPr>
            <w:tcW w:w="2360" w:type="dxa"/>
            <w:vAlign w:val="bottom"/>
            <w:gridSpan w:val="12"/>
          </w:tcPr>
          <w:p>
            <w:pPr>
              <w:spacing w:after="0" w:line="157" w:lineRule="exact"/>
              <w:rPr>
                <w:sz w:val="20"/>
                <w:szCs w:val="20"/>
                <w:color w:val="auto"/>
              </w:rPr>
            </w:pPr>
            <w:r>
              <w:rPr>
                <w:rFonts w:ascii="Times New Roman" w:cs="Times New Roman" w:eastAsia="Times New Roman" w:hAnsi="Times New Roman"/>
                <w:sz w:val="15"/>
                <w:szCs w:val="15"/>
                <w:color w:val="0000EE"/>
              </w:rPr>
              <w:t>Risk Factors</w:t>
            </w: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6</w:t>
            </w:r>
          </w:p>
        </w:tc>
      </w:tr>
      <w:tr>
        <w:trPr>
          <w:trHeight w:val="20"/>
        </w:trPr>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57"/>
        </w:trPr>
        <w:tc>
          <w:tcPr>
            <w:tcW w:w="1740" w:type="dxa"/>
            <w:vAlign w:val="bottom"/>
            <w:tcBorders>
              <w:bottom w:val="single" w:sz="8" w:color="0000EE"/>
            </w:tcBorders>
            <w:gridSpan w:val="10"/>
          </w:tcPr>
          <w:p>
            <w:pPr>
              <w:spacing w:after="0" w:line="157" w:lineRule="exact"/>
              <w:rPr>
                <w:sz w:val="20"/>
                <w:szCs w:val="20"/>
                <w:color w:val="auto"/>
              </w:rPr>
            </w:pPr>
            <w:r>
              <w:rPr>
                <w:rFonts w:ascii="Times New Roman" w:cs="Times New Roman" w:eastAsia="Times New Roman" w:hAnsi="Times New Roman"/>
                <w:sz w:val="15"/>
                <w:szCs w:val="15"/>
                <w:color w:val="0000EE"/>
                <w:w w:val="97"/>
              </w:rPr>
              <w:t>Forward-Looking Statements</w:t>
            </w:r>
          </w:p>
        </w:tc>
        <w:tc>
          <w:tcPr>
            <w:tcW w:w="620" w:type="dxa"/>
            <w:vAlign w:val="bottom"/>
            <w:gridSpan w:val="2"/>
          </w:tcPr>
          <w:p>
            <w:pPr>
              <w:spacing w:after="0"/>
              <w:rPr>
                <w:sz w:val="13"/>
                <w:szCs w:val="13"/>
                <w:color w:val="auto"/>
              </w:rPr>
            </w:pP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7</w:t>
            </w:r>
          </w:p>
        </w:tc>
      </w:tr>
      <w:tr>
        <w:trPr>
          <w:trHeight w:val="157"/>
        </w:trPr>
        <w:tc>
          <w:tcPr>
            <w:tcW w:w="2360" w:type="dxa"/>
            <w:vAlign w:val="bottom"/>
            <w:gridSpan w:val="12"/>
          </w:tcPr>
          <w:p>
            <w:pPr>
              <w:spacing w:after="0" w:line="157" w:lineRule="exact"/>
              <w:rPr>
                <w:sz w:val="20"/>
                <w:szCs w:val="20"/>
                <w:color w:val="auto"/>
              </w:rPr>
            </w:pPr>
            <w:r>
              <w:rPr>
                <w:rFonts w:ascii="Times New Roman" w:cs="Times New Roman" w:eastAsia="Times New Roman" w:hAnsi="Times New Roman"/>
                <w:sz w:val="15"/>
                <w:szCs w:val="15"/>
                <w:color w:val="0000EE"/>
              </w:rPr>
              <w:t>Use of Proceeds</w:t>
            </w: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10</w:t>
            </w:r>
          </w:p>
        </w:tc>
      </w:tr>
      <w:tr>
        <w:trPr>
          <w:trHeight w:val="20"/>
        </w:trPr>
        <w:tc>
          <w:tcPr>
            <w:tcW w:w="4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57"/>
        </w:trPr>
        <w:tc>
          <w:tcPr>
            <w:tcW w:w="2360" w:type="dxa"/>
            <w:vAlign w:val="bottom"/>
            <w:gridSpan w:val="12"/>
          </w:tcPr>
          <w:p>
            <w:pPr>
              <w:spacing w:after="0" w:line="157" w:lineRule="exact"/>
              <w:rPr>
                <w:sz w:val="20"/>
                <w:szCs w:val="20"/>
                <w:color w:val="auto"/>
              </w:rPr>
            </w:pPr>
            <w:r>
              <w:rPr>
                <w:rFonts w:ascii="Times New Roman" w:cs="Times New Roman" w:eastAsia="Times New Roman" w:hAnsi="Times New Roman"/>
                <w:sz w:val="15"/>
                <w:szCs w:val="15"/>
                <w:color w:val="0000EE"/>
              </w:rPr>
              <w:t>Description of Capital Stock</w:t>
            </w: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10</w:t>
            </w:r>
          </w:p>
        </w:tc>
      </w:tr>
      <w:tr>
        <w:trPr>
          <w:trHeight w:val="20"/>
        </w:trPr>
        <w:tc>
          <w:tcPr>
            <w:tcW w:w="4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57"/>
        </w:trPr>
        <w:tc>
          <w:tcPr>
            <w:tcW w:w="1800" w:type="dxa"/>
            <w:vAlign w:val="bottom"/>
            <w:tcBorders>
              <w:bottom w:val="single" w:sz="8" w:color="0000EE"/>
            </w:tcBorders>
            <w:gridSpan w:val="11"/>
          </w:tcPr>
          <w:p>
            <w:pPr>
              <w:spacing w:after="0" w:line="157" w:lineRule="exact"/>
              <w:rPr>
                <w:sz w:val="20"/>
                <w:szCs w:val="20"/>
                <w:color w:val="auto"/>
              </w:rPr>
            </w:pPr>
            <w:r>
              <w:rPr>
                <w:rFonts w:ascii="Times New Roman" w:cs="Times New Roman" w:eastAsia="Times New Roman" w:hAnsi="Times New Roman"/>
                <w:sz w:val="15"/>
                <w:szCs w:val="15"/>
                <w:color w:val="0000EE"/>
                <w:w w:val="97"/>
              </w:rPr>
              <w:t>Description of Debt Securities</w:t>
            </w:r>
          </w:p>
        </w:tc>
        <w:tc>
          <w:tcPr>
            <w:tcW w:w="560" w:type="dxa"/>
            <w:vAlign w:val="bottom"/>
          </w:tcPr>
          <w:p>
            <w:pPr>
              <w:spacing w:after="0"/>
              <w:rPr>
                <w:sz w:val="13"/>
                <w:szCs w:val="13"/>
                <w:color w:val="auto"/>
              </w:rPr>
            </w:pP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11</w:t>
            </w:r>
          </w:p>
        </w:tc>
      </w:tr>
      <w:tr>
        <w:trPr>
          <w:trHeight w:val="157"/>
        </w:trPr>
        <w:tc>
          <w:tcPr>
            <w:tcW w:w="1420" w:type="dxa"/>
            <w:vAlign w:val="bottom"/>
            <w:tcBorders>
              <w:bottom w:val="single" w:sz="8" w:color="0000EE"/>
            </w:tcBorders>
            <w:gridSpan w:val="8"/>
          </w:tcPr>
          <w:p>
            <w:pPr>
              <w:spacing w:after="0" w:line="157" w:lineRule="exact"/>
              <w:rPr>
                <w:sz w:val="20"/>
                <w:szCs w:val="20"/>
                <w:color w:val="auto"/>
              </w:rPr>
            </w:pPr>
            <w:r>
              <w:rPr>
                <w:rFonts w:ascii="Times New Roman" w:cs="Times New Roman" w:eastAsia="Times New Roman" w:hAnsi="Times New Roman"/>
                <w:sz w:val="15"/>
                <w:szCs w:val="15"/>
                <w:color w:val="0000EE"/>
                <w:w w:val="96"/>
              </w:rPr>
              <w:t>Description of Warrants</w:t>
            </w:r>
          </w:p>
        </w:tc>
        <w:tc>
          <w:tcPr>
            <w:tcW w:w="940" w:type="dxa"/>
            <w:vAlign w:val="bottom"/>
            <w:gridSpan w:val="4"/>
          </w:tcPr>
          <w:p>
            <w:pPr>
              <w:spacing w:after="0"/>
              <w:rPr>
                <w:sz w:val="13"/>
                <w:szCs w:val="13"/>
                <w:color w:val="auto"/>
              </w:rPr>
            </w:pP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19</w:t>
            </w:r>
          </w:p>
        </w:tc>
      </w:tr>
      <w:tr>
        <w:trPr>
          <w:trHeight w:val="157"/>
        </w:trPr>
        <w:tc>
          <w:tcPr>
            <w:tcW w:w="2360" w:type="dxa"/>
            <w:vAlign w:val="bottom"/>
            <w:gridSpan w:val="12"/>
          </w:tcPr>
          <w:p>
            <w:pPr>
              <w:spacing w:after="0" w:line="157" w:lineRule="exact"/>
              <w:rPr>
                <w:sz w:val="20"/>
                <w:szCs w:val="20"/>
                <w:color w:val="auto"/>
              </w:rPr>
            </w:pPr>
            <w:r>
              <w:rPr>
                <w:rFonts w:ascii="Times New Roman" w:cs="Times New Roman" w:eastAsia="Times New Roman" w:hAnsi="Times New Roman"/>
                <w:sz w:val="15"/>
                <w:szCs w:val="15"/>
                <w:color w:val="0000EE"/>
              </w:rPr>
              <w:t>Description of Units</w:t>
            </w: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20</w:t>
            </w:r>
          </w:p>
        </w:tc>
      </w:tr>
      <w:tr>
        <w:trPr>
          <w:trHeight w:val="157"/>
        </w:trPr>
        <w:tc>
          <w:tcPr>
            <w:tcW w:w="1180" w:type="dxa"/>
            <w:vAlign w:val="bottom"/>
            <w:tcBorders>
              <w:top w:val="single" w:sz="8" w:color="0000EE"/>
              <w:bottom w:val="single" w:sz="8" w:color="0000EE"/>
            </w:tcBorders>
            <w:gridSpan w:val="4"/>
          </w:tcPr>
          <w:p>
            <w:pPr>
              <w:spacing w:after="0" w:line="157" w:lineRule="exact"/>
              <w:rPr>
                <w:sz w:val="20"/>
                <w:szCs w:val="20"/>
                <w:color w:val="auto"/>
              </w:rPr>
            </w:pPr>
            <w:r>
              <w:rPr>
                <w:rFonts w:ascii="Times New Roman" w:cs="Times New Roman" w:eastAsia="Times New Roman" w:hAnsi="Times New Roman"/>
                <w:sz w:val="15"/>
                <w:szCs w:val="15"/>
                <w:color w:val="0000EE"/>
                <w:w w:val="97"/>
              </w:rPr>
              <w:t>Plan of Distribution</w:t>
            </w:r>
          </w:p>
        </w:tc>
        <w:tc>
          <w:tcPr>
            <w:tcW w:w="20" w:type="dxa"/>
            <w:vAlign w:val="bottom"/>
            <w:tcBorders>
              <w:top w:val="single" w:sz="8" w:color="0000EE"/>
            </w:tcBorders>
          </w:tcPr>
          <w:p>
            <w:pPr>
              <w:spacing w:after="0"/>
              <w:rPr>
                <w:sz w:val="13"/>
                <w:szCs w:val="13"/>
                <w:color w:val="auto"/>
              </w:rPr>
            </w:pPr>
          </w:p>
        </w:tc>
        <w:tc>
          <w:tcPr>
            <w:tcW w:w="1160" w:type="dxa"/>
            <w:vAlign w:val="bottom"/>
            <w:gridSpan w:val="7"/>
          </w:tcPr>
          <w:p>
            <w:pPr>
              <w:spacing w:after="0"/>
              <w:rPr>
                <w:sz w:val="13"/>
                <w:szCs w:val="13"/>
                <w:color w:val="auto"/>
              </w:rPr>
            </w:pP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21</w:t>
            </w:r>
          </w:p>
        </w:tc>
      </w:tr>
      <w:tr>
        <w:trPr>
          <w:trHeight w:val="157"/>
        </w:trPr>
        <w:tc>
          <w:tcPr>
            <w:tcW w:w="460" w:type="dxa"/>
            <w:vAlign w:val="bottom"/>
            <w:tcBorders>
              <w:bottom w:val="single" w:sz="8" w:color="0000EE"/>
            </w:tcBorders>
          </w:tcPr>
          <w:p>
            <w:pPr>
              <w:spacing w:after="0" w:line="157" w:lineRule="exact"/>
              <w:rPr>
                <w:sz w:val="20"/>
                <w:szCs w:val="20"/>
                <w:color w:val="auto"/>
              </w:rPr>
            </w:pPr>
            <w:r>
              <w:rPr>
                <w:rFonts w:ascii="Times New Roman" w:cs="Times New Roman" w:eastAsia="Times New Roman" w:hAnsi="Times New Roman"/>
                <w:sz w:val="15"/>
                <w:szCs w:val="15"/>
                <w:color w:val="0000EE"/>
                <w:w w:val="95"/>
              </w:rPr>
              <w:t>Experts</w:t>
            </w:r>
          </w:p>
        </w:tc>
        <w:tc>
          <w:tcPr>
            <w:tcW w:w="1900" w:type="dxa"/>
            <w:vAlign w:val="bottom"/>
            <w:gridSpan w:val="11"/>
          </w:tcPr>
          <w:p>
            <w:pPr>
              <w:spacing w:after="0"/>
              <w:rPr>
                <w:sz w:val="13"/>
                <w:szCs w:val="13"/>
                <w:color w:val="auto"/>
              </w:rPr>
            </w:pP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24</w:t>
            </w:r>
          </w:p>
        </w:tc>
      </w:tr>
      <w:tr>
        <w:trPr>
          <w:trHeight w:val="157"/>
        </w:trPr>
        <w:tc>
          <w:tcPr>
            <w:tcW w:w="2360" w:type="dxa"/>
            <w:vAlign w:val="bottom"/>
            <w:tcBorders>
              <w:bottom w:val="single" w:sz="8" w:color="0000EE"/>
            </w:tcBorders>
            <w:gridSpan w:val="12"/>
          </w:tcPr>
          <w:p>
            <w:pPr>
              <w:spacing w:after="0" w:line="157" w:lineRule="exact"/>
              <w:rPr>
                <w:sz w:val="20"/>
                <w:szCs w:val="20"/>
                <w:color w:val="auto"/>
              </w:rPr>
            </w:pPr>
            <w:r>
              <w:rPr>
                <w:rFonts w:ascii="Times New Roman" w:cs="Times New Roman" w:eastAsia="Times New Roman" w:hAnsi="Times New Roman"/>
                <w:sz w:val="15"/>
                <w:szCs w:val="15"/>
                <w:color w:val="0000EE"/>
                <w:w w:val="97"/>
              </w:rPr>
              <w:t>Where You Can Find More Information</w:t>
            </w: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25</w:t>
            </w:r>
          </w:p>
        </w:tc>
      </w:tr>
      <w:tr>
        <w:trPr>
          <w:trHeight w:val="157"/>
        </w:trPr>
        <w:tc>
          <w:tcPr>
            <w:tcW w:w="2360" w:type="dxa"/>
            <w:vAlign w:val="bottom"/>
            <w:gridSpan w:val="12"/>
          </w:tcPr>
          <w:p>
            <w:pPr>
              <w:spacing w:after="0" w:line="157" w:lineRule="exact"/>
              <w:rPr>
                <w:sz w:val="20"/>
                <w:szCs w:val="20"/>
                <w:color w:val="auto"/>
              </w:rPr>
            </w:pPr>
            <w:r>
              <w:rPr>
                <w:rFonts w:ascii="Times New Roman" w:cs="Times New Roman" w:eastAsia="Times New Roman" w:hAnsi="Times New Roman"/>
                <w:sz w:val="15"/>
                <w:szCs w:val="15"/>
                <w:color w:val="0000EE"/>
              </w:rPr>
              <w:t>Incorporation by Reference</w:t>
            </w:r>
          </w:p>
        </w:tc>
        <w:tc>
          <w:tcPr>
            <w:tcW w:w="6640" w:type="dxa"/>
            <w:vAlign w:val="bottom"/>
          </w:tcPr>
          <w:p>
            <w:pPr>
              <w:jc w:val="right"/>
              <w:spacing w:after="0" w:line="157" w:lineRule="exact"/>
              <w:rPr>
                <w:sz w:val="20"/>
                <w:szCs w:val="20"/>
                <w:color w:val="auto"/>
              </w:rPr>
            </w:pPr>
            <w:r>
              <w:rPr>
                <w:rFonts w:ascii="Times New Roman" w:cs="Times New Roman" w:eastAsia="Times New Roman" w:hAnsi="Times New Roman"/>
                <w:sz w:val="15"/>
                <w:szCs w:val="15"/>
                <w:color w:val="auto"/>
              </w:rPr>
              <w:t>26</w:t>
            </w:r>
          </w:p>
        </w:tc>
      </w:tr>
      <w:tr>
        <w:trPr>
          <w:trHeight w:val="20"/>
        </w:trPr>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bl>
    <w:p>
      <w:pPr>
        <w:spacing w:after="0" w:line="1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5"/>
          <w:szCs w:val="15"/>
          <w:color w:val="auto"/>
        </w:rPr>
        <w:t>i</w:t>
      </w:r>
    </w:p>
    <w:p>
      <w:pPr>
        <w:sectPr>
          <w:pgSz w:w="11900" w:h="16838" w:orient="portrait"/>
          <w:cols w:equalWidth="0" w:num="1">
            <w:col w:w="10159"/>
          </w:cols>
          <w:pgMar w:left="300" w:top="400"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ABOUT THIS PROSPECTUS</w:t>
      </w:r>
    </w:p>
    <w:p>
      <w:pPr>
        <w:spacing w:after="0" w:line="184" w:lineRule="exact"/>
        <w:rPr>
          <w:sz w:val="20"/>
          <w:szCs w:val="20"/>
          <w:color w:val="auto"/>
        </w:rPr>
      </w:pPr>
    </w:p>
    <w:p>
      <w:pPr>
        <w:ind w:left="1120" w:firstLine="362"/>
        <w:spacing w:after="0" w:line="260" w:lineRule="auto"/>
        <w:rPr>
          <w:sz w:val="20"/>
          <w:szCs w:val="20"/>
          <w:color w:val="auto"/>
        </w:rPr>
      </w:pPr>
      <w:r>
        <w:rPr>
          <w:rFonts w:ascii="Times New Roman" w:cs="Times New Roman" w:eastAsia="Times New Roman" w:hAnsi="Times New Roman"/>
          <w:sz w:val="15"/>
          <w:szCs w:val="15"/>
          <w:color w:val="auto"/>
        </w:rPr>
        <w:t>This prospectus is part of a registration statement that we filed with the Securities and Exchange Commission (the “SEC”) using a “shelf” registration process. Under this shelf registration process, we may from time to time sell any combination of the securities described in this prospectus in one or more offerings.</w:t>
      </w:r>
    </w:p>
    <w:p>
      <w:pPr>
        <w:spacing w:after="0" w:line="149" w:lineRule="exact"/>
        <w:rPr>
          <w:sz w:val="20"/>
          <w:szCs w:val="20"/>
          <w:color w:val="auto"/>
        </w:rPr>
      </w:pPr>
    </w:p>
    <w:p>
      <w:pPr>
        <w:ind w:left="1120" w:right="80" w:firstLine="362"/>
        <w:spacing w:after="0" w:line="255" w:lineRule="auto"/>
        <w:rPr>
          <w:sz w:val="20"/>
          <w:szCs w:val="20"/>
          <w:color w:val="auto"/>
        </w:rPr>
      </w:pPr>
      <w:r>
        <w:rPr>
          <w:rFonts w:ascii="Times New Roman" w:cs="Times New Roman" w:eastAsia="Times New Roman" w:hAnsi="Times New Roman"/>
          <w:sz w:val="15"/>
          <w:szCs w:val="15"/>
          <w:color w:val="auto"/>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any applicable prospectus supplement together with the additional information described under the heading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ind w:left="1120" w:firstLine="362"/>
        <w:spacing w:after="0" w:line="250" w:lineRule="auto"/>
        <w:rPr>
          <w:sz w:val="20"/>
          <w:szCs w:val="20"/>
          <w:color w:val="auto"/>
        </w:rPr>
      </w:pPr>
      <w:r>
        <w:rPr>
          <w:rFonts w:ascii="Times New Roman" w:cs="Times New Roman" w:eastAsia="Times New Roman" w:hAnsi="Times New Roman"/>
          <w:sz w:val="15"/>
          <w:szCs w:val="15"/>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200" w:lineRule="exact"/>
        <w:rPr>
          <w:sz w:val="20"/>
          <w:szCs w:val="20"/>
          <w:color w:val="auto"/>
        </w:rPr>
      </w:pPr>
    </w:p>
    <w:p>
      <w:pPr>
        <w:spacing w:after="0" w:line="20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ii</w:t>
      </w:r>
    </w:p>
    <w:p>
      <w:pPr>
        <w:sectPr>
          <w:pgSz w:w="11900" w:h="16838" w:orient="portrait"/>
          <w:cols w:equalWidth="0" w:num="1">
            <w:col w:w="10160"/>
          </w:cols>
          <w:pgMar w:left="300" w:top="400" w:right="1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5501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2">
                      <a:extLst>
                        <a:ext uri="{28A0092B-C50C-407E-A947-70E740481C1C}"/>
                      </a:extLst>
                    </a:blip>
                    <a:srcRect/>
                    <a:stretch>
                      <a:fillRect/>
                    </a:stretch>
                  </pic:blipFill>
                  <pic:spPr bwMode="auto">
                    <a:xfrm>
                      <a:off x="0" y="0"/>
                      <a:ext cx="5748020" cy="5501640"/>
                    </a:xfrm>
                    <a:prstGeom prst="rect">
                      <a:avLst/>
                    </a:prstGeom>
                    <a:noFill/>
                  </pic:spPr>
                </pic:pic>
              </a:graphicData>
            </a:graphic>
          </wp:anchor>
        </w:drawing>
      </w:r>
    </w:p>
    <w:p>
      <w:pPr>
        <w:spacing w:after="0" w:line="38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PROSPECTUS SUMMARY</w:t>
      </w:r>
    </w:p>
    <w:p>
      <w:pPr>
        <w:spacing w:after="0" w:line="182" w:lineRule="exact"/>
        <w:rPr>
          <w:sz w:val="20"/>
          <w:szCs w:val="20"/>
          <w:color w:val="auto"/>
        </w:rPr>
      </w:pPr>
    </w:p>
    <w:p>
      <w:pPr>
        <w:ind w:left="1280" w:right="159" w:firstLine="350"/>
        <w:spacing w:after="0" w:line="270"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w:t>
      </w:r>
    </w:p>
    <w:p>
      <w:pPr>
        <w:spacing w:after="0" w:line="1" w:lineRule="exact"/>
        <w:rPr>
          <w:sz w:val="20"/>
          <w:szCs w:val="20"/>
          <w:color w:val="auto"/>
        </w:rPr>
      </w:pPr>
    </w:p>
    <w:p>
      <w:pPr>
        <w:jc w:val="both"/>
        <w:ind w:left="1280" w:right="419"/>
        <w:spacing w:after="0" w:line="250" w:lineRule="auto"/>
        <w:rPr>
          <w:sz w:val="20"/>
          <w:szCs w:val="20"/>
          <w:color w:val="auto"/>
        </w:rPr>
      </w:pPr>
      <w:r>
        <w:rPr>
          <w:rFonts w:ascii="Times New Roman" w:cs="Times New Roman" w:eastAsia="Times New Roman" w:hAnsi="Times New Roman"/>
          <w:sz w:val="15"/>
          <w:szCs w:val="15"/>
          <w:i w:val="1"/>
          <w:iCs w:val="1"/>
          <w:color w:val="auto"/>
        </w:rPr>
        <w:t>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w:t>
      </w:r>
    </w:p>
    <w:p>
      <w:pPr>
        <w:spacing w:after="0" w:line="2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Company Overview</w:t>
      </w:r>
    </w:p>
    <w:p>
      <w:pPr>
        <w:spacing w:after="0" w:line="95" w:lineRule="exact"/>
        <w:rPr>
          <w:sz w:val="20"/>
          <w:szCs w:val="20"/>
          <w:color w:val="auto"/>
        </w:rPr>
      </w:pPr>
    </w:p>
    <w:p>
      <w:pPr>
        <w:ind w:left="1280" w:right="279" w:firstLine="350"/>
        <w:spacing w:after="0" w:line="252" w:lineRule="auto"/>
        <w:rPr>
          <w:sz w:val="20"/>
          <w:szCs w:val="20"/>
          <w:color w:val="auto"/>
        </w:rPr>
      </w:pPr>
      <w:r>
        <w:rPr>
          <w:rFonts w:ascii="Times New Roman" w:cs="Times New Roman" w:eastAsia="Times New Roman" w:hAnsi="Times New Roman"/>
          <w:sz w:val="15"/>
          <w:szCs w:val="15"/>
          <w:color w:val="auto"/>
        </w:rPr>
        <w:t>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w:t>
      </w:r>
    </w:p>
    <w:p>
      <w:pPr>
        <w:spacing w:after="0" w:line="15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We provide, or are working to provide, simplified solutions focused in the following areas:</w:t>
      </w:r>
    </w:p>
    <w:p>
      <w:pPr>
        <w:spacing w:after="0" w:line="2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i w:val="1"/>
          <w:iCs w:val="1"/>
          <w:color w:val="auto"/>
        </w:rPr>
        <w:t>Crypto</w:t>
      </w:r>
    </w:p>
    <w:p>
      <w:pPr>
        <w:spacing w:after="0" w:line="109" w:lineRule="exact"/>
        <w:rPr>
          <w:sz w:val="20"/>
          <w:szCs w:val="20"/>
          <w:color w:val="auto"/>
        </w:rPr>
      </w:pPr>
    </w:p>
    <w:p>
      <w:pPr>
        <w:ind w:left="2040" w:right="299" w:hanging="336"/>
        <w:spacing w:after="0" w:line="260" w:lineRule="auto"/>
        <w:tabs>
          <w:tab w:leader="none" w:pos="20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crypto trading platform provides consumers, businesses and institutions with the ability to buy, sell and store crypto in a simple, intuitive digital experience accessed via APIs or embedded web experience. We enable clients in various industries to provide their customers with the ability to transact in crypto directly in their trusted environments.</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i w:val="1"/>
          <w:iCs w:val="1"/>
          <w:color w:val="auto"/>
        </w:rPr>
        <w:t>Loyalty</w:t>
      </w:r>
    </w:p>
    <w:p>
      <w:pPr>
        <w:spacing w:after="0" w:line="109" w:lineRule="exact"/>
        <w:rPr>
          <w:sz w:val="20"/>
          <w:szCs w:val="20"/>
          <w:color w:val="auto"/>
        </w:rPr>
      </w:pPr>
    </w:p>
    <w:p>
      <w:pPr>
        <w:ind w:left="2040" w:right="219" w:hanging="336"/>
        <w:spacing w:after="0" w:line="253" w:lineRule="auto"/>
        <w:tabs>
          <w:tab w:leader="none" w:pos="20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 In March 2025, we announced our investigation of strategic alternatives for our loyalty business as we work to realign our business with a crypto focus. As we explore our options, including a potential sale or wind-down, we expect to reduce efforts to promote and grow this business.</w:t>
      </w:r>
    </w:p>
    <w:p>
      <w:pPr>
        <w:spacing w:after="0" w:line="2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Cooperation Agreement</w:t>
      </w:r>
    </w:p>
    <w:p>
      <w:pPr>
        <w:spacing w:after="0" w:line="95" w:lineRule="exact"/>
        <w:rPr>
          <w:sz w:val="20"/>
          <w:szCs w:val="20"/>
          <w:color w:val="auto"/>
        </w:rPr>
      </w:pPr>
    </w:p>
    <w:p>
      <w:pPr>
        <w:ind w:left="1280" w:right="199" w:firstLine="350"/>
        <w:spacing w:after="0" w:line="255" w:lineRule="auto"/>
        <w:rPr>
          <w:sz w:val="20"/>
          <w:szCs w:val="20"/>
          <w:color w:val="auto"/>
        </w:rPr>
      </w:pPr>
      <w:r>
        <w:rPr>
          <w:rFonts w:ascii="Times New Roman" w:cs="Times New Roman" w:eastAsia="Times New Roman" w:hAnsi="Times New Roman"/>
          <w:sz w:val="15"/>
          <w:szCs w:val="15"/>
          <w:color w:val="auto"/>
        </w:rPr>
        <w:t>In March 2025, we entered into a Cooperation Agreement with Distributed Technologies Research Global Ltd. (“DTR”) and Akshay Naheta, the sole stockholder of DTR (the “Cooperation Agreement”). Pursuant to the Cooperation Agreement, DTR will provide us with certain exclusive payment processing technology, APIs and infrastructure to be integrated into our platform for the enablement of global payments processing services in the jurisdictions where we operate.</w:t>
      </w:r>
    </w:p>
    <w:p>
      <w:pPr>
        <w:spacing w:after="0" w:line="2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Updated Investment Policy</w:t>
      </w:r>
    </w:p>
    <w:p>
      <w:pPr>
        <w:spacing w:after="0" w:line="95" w:lineRule="exact"/>
        <w:rPr>
          <w:sz w:val="20"/>
          <w:szCs w:val="20"/>
          <w:color w:val="auto"/>
        </w:rPr>
      </w:pPr>
    </w:p>
    <w:p>
      <w:pPr>
        <w:ind w:left="1280" w:right="179" w:firstLine="350"/>
        <w:spacing w:after="0" w:line="260" w:lineRule="auto"/>
        <w:rPr>
          <w:sz w:val="20"/>
          <w:szCs w:val="20"/>
          <w:color w:val="auto"/>
        </w:rPr>
      </w:pPr>
      <w:r>
        <w:rPr>
          <w:rFonts w:ascii="Times New Roman" w:cs="Times New Roman" w:eastAsia="Times New Roman" w:hAnsi="Times New Roman"/>
          <w:sz w:val="15"/>
          <w:szCs w:val="15"/>
          <w:color w:val="auto"/>
        </w:rPr>
        <w:t>In June 2025 we updated our investment policy (“Investment Policy”) to enable us to allocate capital into Bitcoin and other digital assets as part of our broader treasury and corporate strategy, subject to market conditions and the anticipated liquidity needs of the business. We may acquire Bitcoin or other digital assets</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0159"/>
          </w:cols>
          <w:pgMar w:left="300" w:top="400"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54381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4">
                      <a:extLst>
                        <a:ext uri="{28A0092B-C50C-407E-A947-70E740481C1C}"/>
                      </a:extLst>
                    </a:blip>
                    <a:srcRect/>
                    <a:stretch>
                      <a:fillRect/>
                    </a:stretch>
                  </pic:blipFill>
                  <pic:spPr bwMode="auto">
                    <a:xfrm>
                      <a:off x="0" y="0"/>
                      <a:ext cx="5748020" cy="5438140"/>
                    </a:xfrm>
                    <a:prstGeom prst="rect">
                      <a:avLst/>
                    </a:prstGeom>
                    <a:noFill/>
                  </pic:spPr>
                </pic:pic>
              </a:graphicData>
            </a:graphic>
          </wp:anchor>
        </w:drawing>
      </w:r>
    </w:p>
    <w:p>
      <w:pPr>
        <w:spacing w:after="0" w:line="386" w:lineRule="exact"/>
        <w:rPr>
          <w:sz w:val="20"/>
          <w:szCs w:val="20"/>
          <w:color w:val="auto"/>
        </w:rPr>
      </w:pPr>
    </w:p>
    <w:p>
      <w:pPr>
        <w:ind w:left="1280" w:right="159"/>
        <w:spacing w:after="0" w:line="252" w:lineRule="auto"/>
        <w:rPr>
          <w:sz w:val="20"/>
          <w:szCs w:val="20"/>
          <w:color w:val="auto"/>
        </w:rPr>
      </w:pPr>
      <w:r>
        <w:rPr>
          <w:rFonts w:ascii="Times New Roman" w:cs="Times New Roman" w:eastAsia="Times New Roman" w:hAnsi="Times New Roman"/>
          <w:sz w:val="15"/>
          <w:szCs w:val="15"/>
          <w:color w:val="auto"/>
        </w:rPr>
        <w:t>using excess cash, proceeds from future equity or debt financings, or other capital sources, subject to the limitation set forth in our Investment Policy. We also intend to explore further opportunistic financing alternatives, including the issuance of convertible notes, bonds, or other debt instruments, for the purpose of acquiring Bitcoin or other digital assets or otherwise in accordance with the our Investment Policy. To date, we have not purchased any Bitcoin or other digital assets pursuant to our updated Investment Policy. There can be no assurance that we will enter into any such transactions. The timing and magnitude of any such transactions will depend on market conditions, capital market receptivity, business performance and other strategic considerations.</w:t>
      </w:r>
    </w:p>
    <w:p>
      <w:pPr>
        <w:spacing w:after="0" w:line="155" w:lineRule="exact"/>
        <w:rPr>
          <w:sz w:val="20"/>
          <w:szCs w:val="20"/>
          <w:color w:val="auto"/>
        </w:rPr>
      </w:pPr>
    </w:p>
    <w:p>
      <w:pPr>
        <w:ind w:left="1280" w:right="239" w:firstLine="350"/>
        <w:spacing w:after="0" w:line="255" w:lineRule="auto"/>
        <w:rPr>
          <w:sz w:val="20"/>
          <w:szCs w:val="20"/>
          <w:color w:val="auto"/>
        </w:rPr>
      </w:pPr>
      <w:r>
        <w:rPr>
          <w:rFonts w:ascii="Times New Roman" w:cs="Times New Roman" w:eastAsia="Times New Roman" w:hAnsi="Times New Roman"/>
          <w:sz w:val="15"/>
          <w:szCs w:val="15"/>
          <w:color w:val="auto"/>
        </w:rPr>
        <w:t>There are risks associated with our Investment Policy, which may cause our business, financial condition, results of operations and future prospects to be materially adversely affected. For further details regarding the risks of implementing our strategy, refer to “</w:t>
      </w:r>
      <w:r>
        <w:rPr>
          <w:rFonts w:ascii="Times New Roman" w:cs="Times New Roman" w:eastAsia="Times New Roman" w:hAnsi="Times New Roman"/>
          <w:sz w:val="15"/>
          <w:szCs w:val="15"/>
          <w:i w:val="1"/>
          <w:iCs w:val="1"/>
          <w:color w:val="auto"/>
        </w:rPr>
        <w:t>Risk Factors Related to</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the Update of our Investment Policy,</w:t>
      </w:r>
      <w:r>
        <w:rPr>
          <w:rFonts w:ascii="Times New Roman" w:cs="Times New Roman" w:eastAsia="Times New Roman" w:hAnsi="Times New Roman"/>
          <w:sz w:val="15"/>
          <w:szCs w:val="15"/>
          <w:color w:val="auto"/>
        </w:rPr>
        <w:t>” which is attached as Exhibit 99.1 to our Current Report on Form 8-K filed with the SEC on June 10, 2025</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which is incorporated by reference herein.</w:t>
      </w:r>
    </w:p>
    <w:p>
      <w:pPr>
        <w:spacing w:after="0" w:line="2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Risk Factors Summary</w:t>
      </w:r>
    </w:p>
    <w:p>
      <w:pPr>
        <w:spacing w:after="0" w:line="95" w:lineRule="exact"/>
        <w:rPr>
          <w:sz w:val="20"/>
          <w:szCs w:val="20"/>
          <w:color w:val="auto"/>
        </w:rPr>
      </w:pPr>
    </w:p>
    <w:p>
      <w:pPr>
        <w:ind w:left="1280" w:right="139" w:firstLine="350"/>
        <w:spacing w:after="0" w:line="287" w:lineRule="auto"/>
        <w:rPr>
          <w:sz w:val="20"/>
          <w:szCs w:val="20"/>
          <w:color w:val="auto"/>
        </w:rPr>
      </w:pPr>
      <w:r>
        <w:rPr>
          <w:rFonts w:ascii="Times New Roman" w:cs="Times New Roman" w:eastAsia="Times New Roman" w:hAnsi="Times New Roman"/>
          <w:sz w:val="14"/>
          <w:szCs w:val="14"/>
          <w:color w:val="auto"/>
        </w:rPr>
        <w:t>Investing in our securities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future prospects.</w:t>
      </w:r>
    </w:p>
    <w:p>
      <w:pPr>
        <w:spacing w:after="0" w:line="2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i w:val="1"/>
          <w:iCs w:val="1"/>
          <w:color w:val="auto"/>
        </w:rPr>
        <w:t>Risks Related to Our Business, Finances and Operations</w:t>
      </w:r>
    </w:p>
    <w:p>
      <w:pPr>
        <w:spacing w:after="0" w:line="107" w:lineRule="exact"/>
        <w:rPr>
          <w:sz w:val="20"/>
          <w:szCs w:val="20"/>
          <w:color w:val="auto"/>
        </w:rPr>
      </w:pPr>
    </w:p>
    <w:p>
      <w:pPr>
        <w:ind w:left="2040" w:hanging="336"/>
        <w:spacing w:after="0"/>
        <w:tabs>
          <w:tab w:leader="none" w:pos="20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model is newly developed and may encounter additional risks and challenges as it grows.</w:t>
      </w:r>
    </w:p>
    <w:p>
      <w:pPr>
        <w:spacing w:after="0" w:line="104" w:lineRule="exact"/>
        <w:rPr>
          <w:rFonts w:ascii="Times New Roman" w:cs="Times New Roman" w:eastAsia="Times New Roman" w:hAnsi="Times New Roman"/>
          <w:sz w:val="15"/>
          <w:szCs w:val="15"/>
          <w:color w:val="auto"/>
        </w:rPr>
      </w:pPr>
    </w:p>
    <w:p>
      <w:pPr>
        <w:ind w:left="2040" w:right="159" w:hanging="336"/>
        <w:spacing w:after="0" w:line="273" w:lineRule="auto"/>
        <w:tabs>
          <w:tab w:leader="none" w:pos="20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platform has been designed to meet the needs of our clients and customers, and as such we must continually invest in our platform to meet their evolving needs as we look to grow our business.</w:t>
      </w:r>
    </w:p>
    <w:p>
      <w:pPr>
        <w:spacing w:after="0" w:line="61" w:lineRule="exact"/>
        <w:rPr>
          <w:rFonts w:ascii="Times New Roman" w:cs="Times New Roman" w:eastAsia="Times New Roman" w:hAnsi="Times New Roman"/>
          <w:sz w:val="15"/>
          <w:szCs w:val="15"/>
          <w:color w:val="auto"/>
        </w:rPr>
      </w:pPr>
    </w:p>
    <w:p>
      <w:pPr>
        <w:ind w:left="2040" w:hanging="336"/>
        <w:spacing w:after="0"/>
        <w:tabs>
          <w:tab w:leader="none" w:pos="20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limited operating history and a history of operating losses.</w:t>
      </w:r>
    </w:p>
    <w:p>
      <w:pPr>
        <w:spacing w:after="0" w:line="104" w:lineRule="exact"/>
        <w:rPr>
          <w:rFonts w:ascii="Times New Roman" w:cs="Times New Roman" w:eastAsia="Times New Roman" w:hAnsi="Times New Roman"/>
          <w:sz w:val="15"/>
          <w:szCs w:val="15"/>
          <w:color w:val="auto"/>
        </w:rPr>
      </w:pPr>
    </w:p>
    <w:p>
      <w:pPr>
        <w:ind w:left="2040" w:right="599" w:hanging="336"/>
        <w:spacing w:after="0" w:line="273" w:lineRule="auto"/>
        <w:tabs>
          <w:tab w:leader="none" w:pos="20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are unable to attract, retain or grow our relationships with our existing clients, our business, financial condition, results of operations and future prospects would be materially and adversely affected.</w:t>
      </w:r>
    </w:p>
    <w:p>
      <w:pPr>
        <w:spacing w:after="0" w:line="61" w:lineRule="exact"/>
        <w:rPr>
          <w:rFonts w:ascii="Times New Roman" w:cs="Times New Roman" w:eastAsia="Times New Roman" w:hAnsi="Times New Roman"/>
          <w:sz w:val="15"/>
          <w:szCs w:val="15"/>
          <w:color w:val="auto"/>
        </w:rPr>
      </w:pPr>
    </w:p>
    <w:p>
      <w:pPr>
        <w:ind w:left="2040" w:right="219" w:hanging="336"/>
        <w:spacing w:after="0" w:line="260" w:lineRule="auto"/>
        <w:tabs>
          <w:tab w:leader="none" w:pos="20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Some of our current and prospective clients require the approval of their own regulators in order to deploy our solutions, and if they are unable to obtain those approvals on a timely basis, or at all, our results of operations and future prospects would be materially and adversely affected.</w:t>
      </w:r>
    </w:p>
    <w:p>
      <w:pPr>
        <w:spacing w:after="0" w:line="71" w:lineRule="exact"/>
        <w:rPr>
          <w:rFonts w:ascii="Times New Roman" w:cs="Times New Roman" w:eastAsia="Times New Roman" w:hAnsi="Times New Roman"/>
          <w:sz w:val="15"/>
          <w:szCs w:val="15"/>
          <w:color w:val="auto"/>
        </w:rPr>
      </w:pPr>
    </w:p>
    <w:p>
      <w:pPr>
        <w:ind w:left="2040" w:right="159" w:hanging="336"/>
        <w:spacing w:after="0" w:line="253" w:lineRule="auto"/>
        <w:tabs>
          <w:tab w:leader="none" w:pos="20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large percentage of our revenue is concentrated with a single client that has notified us it will not be renewing its agreement with us. The loss of this client will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spacing w:after="0" w:line="77" w:lineRule="exact"/>
        <w:rPr>
          <w:rFonts w:ascii="Times New Roman" w:cs="Times New Roman" w:eastAsia="Times New Roman" w:hAnsi="Times New Roman"/>
          <w:sz w:val="15"/>
          <w:szCs w:val="15"/>
          <w:color w:val="auto"/>
        </w:rPr>
      </w:pPr>
    </w:p>
    <w:p>
      <w:pPr>
        <w:ind w:left="2040" w:right="159" w:hanging="336"/>
        <w:spacing w:after="0" w:line="273" w:lineRule="auto"/>
        <w:tabs>
          <w:tab w:leader="none" w:pos="20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realize the anticipated benefits of past or future investments, strategic transactions, or acquisitions and integration of these acquisitions may disrupt our business and management.</w:t>
      </w:r>
    </w:p>
    <w:p>
      <w:pPr>
        <w:spacing w:after="0" w:line="61" w:lineRule="exact"/>
        <w:rPr>
          <w:rFonts w:ascii="Times New Roman" w:cs="Times New Roman" w:eastAsia="Times New Roman" w:hAnsi="Times New Roman"/>
          <w:sz w:val="15"/>
          <w:szCs w:val="15"/>
          <w:color w:val="auto"/>
        </w:rPr>
      </w:pPr>
    </w:p>
    <w:p>
      <w:pPr>
        <w:ind w:left="2040" w:right="239" w:hanging="336"/>
        <w:spacing w:after="0" w:line="260" w:lineRule="auto"/>
        <w:tabs>
          <w:tab w:leader="none" w:pos="20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past, we have identified conditions and events that raised substantial doubt about our ability to continue as a going concern and it is possible that we may identify conditions and events in the future that raise substantial doubt about our ability to continue as a going concern.</w:t>
      </w:r>
    </w:p>
    <w:p>
      <w:pPr>
        <w:spacing w:after="0" w:line="71" w:lineRule="exact"/>
        <w:rPr>
          <w:rFonts w:ascii="Times New Roman" w:cs="Times New Roman" w:eastAsia="Times New Roman" w:hAnsi="Times New Roman"/>
          <w:sz w:val="15"/>
          <w:szCs w:val="15"/>
          <w:color w:val="auto"/>
        </w:rPr>
      </w:pPr>
    </w:p>
    <w:p>
      <w:pPr>
        <w:ind w:left="2040" w:right="159" w:hanging="336"/>
        <w:spacing w:after="0" w:line="260" w:lineRule="auto"/>
        <w:tabs>
          <w:tab w:leader="none" w:pos="20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realize the expected benefits under the Cooperation Agreement with DTR, including failing to enter into a commercial agreement with or successfully integrating our platform with DTR’s technology, and may be unable to successfully negotiate the terms to acquire DTR, either of which could adversely affect our business, financial condition and results of operations.</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0159"/>
          </w:cols>
          <w:pgMar w:left="300" w:top="400"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5142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a:extLst>
                        <a:ext uri="{28A0092B-C50C-407E-A947-70E740481C1C}"/>
                      </a:extLst>
                    </a:blip>
                    <a:srcRect/>
                    <a:stretch>
                      <a:fillRect/>
                    </a:stretch>
                  </pic:blipFill>
                  <pic:spPr bwMode="auto">
                    <a:xfrm>
                      <a:off x="0" y="0"/>
                      <a:ext cx="5748020" cy="5142865"/>
                    </a:xfrm>
                    <a:prstGeom prst="rect">
                      <a:avLst/>
                    </a:prstGeom>
                    <a:noFill/>
                  </pic:spPr>
                </pic:pic>
              </a:graphicData>
            </a:graphic>
          </wp:anchor>
        </w:drawing>
      </w:r>
    </w:p>
    <w:p>
      <w:pPr>
        <w:spacing w:after="0" w:line="3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i w:val="1"/>
          <w:iCs w:val="1"/>
          <w:color w:val="auto"/>
        </w:rPr>
        <w:t>Risks Related to Crypto and Our Investment Policy</w:t>
      </w:r>
    </w:p>
    <w:p>
      <w:pPr>
        <w:spacing w:after="0" w:line="107" w:lineRule="exact"/>
        <w:rPr>
          <w:sz w:val="20"/>
          <w:szCs w:val="20"/>
          <w:color w:val="auto"/>
        </w:rPr>
      </w:pPr>
    </w:p>
    <w:p>
      <w:pPr>
        <w:ind w:left="2040" w:hanging="336"/>
        <w:spacing w:after="0"/>
        <w:tabs>
          <w:tab w:leader="none" w:pos="20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Disruptions in the crypto market subject us to additional risks, including the risk that banks may not provide banking services to us.</w:t>
      </w:r>
    </w:p>
    <w:p>
      <w:pPr>
        <w:spacing w:after="0" w:line="104" w:lineRule="exact"/>
        <w:rPr>
          <w:rFonts w:ascii="Times New Roman" w:cs="Times New Roman" w:eastAsia="Times New Roman" w:hAnsi="Times New Roman"/>
          <w:sz w:val="15"/>
          <w:szCs w:val="15"/>
          <w:color w:val="auto"/>
        </w:rPr>
      </w:pPr>
    </w:p>
    <w:p>
      <w:pPr>
        <w:ind w:left="2040" w:right="839" w:hanging="336"/>
        <w:spacing w:after="0" w:line="273" w:lineRule="auto"/>
        <w:tabs>
          <w:tab w:leader="none" w:pos="20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may be a perception among regulators and others that crypto is used to facilitate illegal activity such as fraud, money laundering, tax evasion and ransomware scams.</w:t>
      </w:r>
    </w:p>
    <w:p>
      <w:pPr>
        <w:spacing w:after="0" w:line="61" w:lineRule="exact"/>
        <w:rPr>
          <w:rFonts w:ascii="Times New Roman" w:cs="Times New Roman" w:eastAsia="Times New Roman" w:hAnsi="Times New Roman"/>
          <w:sz w:val="15"/>
          <w:szCs w:val="15"/>
          <w:color w:val="auto"/>
        </w:rPr>
      </w:pPr>
    </w:p>
    <w:p>
      <w:pPr>
        <w:ind w:left="2040" w:right="219" w:hanging="336"/>
        <w:spacing w:after="0" w:line="260" w:lineRule="auto"/>
        <w:tabs>
          <w:tab w:leader="none" w:pos="20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Crypto custodial solutions and related technology, including our systems and custodial arrangements, are subject to risks related to a loss of funds due to theft, employee or vendor sabotage, security and cybersecurity risks, system failures and other operational issues, the loss, destruction or other compromise of our private keys and a lack of sufficient insurance.</w:t>
      </w:r>
    </w:p>
    <w:p>
      <w:pPr>
        <w:spacing w:after="0" w:line="71" w:lineRule="exact"/>
        <w:rPr>
          <w:rFonts w:ascii="Times New Roman" w:cs="Times New Roman" w:eastAsia="Times New Roman" w:hAnsi="Times New Roman"/>
          <w:sz w:val="15"/>
          <w:szCs w:val="15"/>
          <w:color w:val="auto"/>
        </w:rPr>
      </w:pPr>
    </w:p>
    <w:p>
      <w:pPr>
        <w:ind w:left="2040" w:right="619" w:hanging="336"/>
        <w:spacing w:after="0" w:line="273" w:lineRule="auto"/>
        <w:tabs>
          <w:tab w:leader="none" w:pos="20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safeguard and manage our and our customers’ crypto could adversely impact our business, operating results, and financial condition.</w:t>
      </w:r>
    </w:p>
    <w:p>
      <w:pPr>
        <w:spacing w:after="0" w:line="61" w:lineRule="exact"/>
        <w:rPr>
          <w:rFonts w:ascii="Times New Roman" w:cs="Times New Roman" w:eastAsia="Times New Roman" w:hAnsi="Times New Roman"/>
          <w:sz w:val="15"/>
          <w:szCs w:val="15"/>
          <w:color w:val="auto"/>
        </w:rPr>
      </w:pPr>
    </w:p>
    <w:p>
      <w:pPr>
        <w:ind w:left="2040" w:hanging="336"/>
        <w:spacing w:after="0"/>
        <w:tabs>
          <w:tab w:leader="none" w:pos="20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Crypto does not have extensive historical precedent and distributed ledger technology continues to rapidly evolve.</w:t>
      </w:r>
    </w:p>
    <w:p>
      <w:pPr>
        <w:spacing w:after="0" w:line="104" w:lineRule="exact"/>
        <w:rPr>
          <w:rFonts w:ascii="Times New Roman" w:cs="Times New Roman" w:eastAsia="Times New Roman" w:hAnsi="Times New Roman"/>
          <w:sz w:val="15"/>
          <w:szCs w:val="15"/>
          <w:color w:val="auto"/>
        </w:rPr>
      </w:pPr>
    </w:p>
    <w:p>
      <w:pPr>
        <w:ind w:left="2040" w:right="419" w:hanging="336"/>
        <w:spacing w:after="0" w:line="273" w:lineRule="auto"/>
        <w:tabs>
          <w:tab w:leader="none" w:pos="20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encounter technical issues in connection with the integration of supported crypto assets and changes and upgrades to their underlying networks, which could adversely affect our business.</w:t>
      </w:r>
    </w:p>
    <w:p>
      <w:pPr>
        <w:spacing w:after="0" w:line="61" w:lineRule="exact"/>
        <w:rPr>
          <w:rFonts w:ascii="Times New Roman" w:cs="Times New Roman" w:eastAsia="Times New Roman" w:hAnsi="Times New Roman"/>
          <w:sz w:val="15"/>
          <w:szCs w:val="15"/>
          <w:color w:val="auto"/>
        </w:rPr>
      </w:pPr>
    </w:p>
    <w:p>
      <w:pPr>
        <w:ind w:left="2040" w:right="279" w:hanging="336"/>
        <w:spacing w:after="0" w:line="273" w:lineRule="auto"/>
        <w:tabs>
          <w:tab w:leader="none" w:pos="20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financial results and the market price of our securities are expected to be affected by fluctuations in the price of digital assets we may acquire in accordance with our Investment Policy, including Bitcoin, which are highly volatile assets.</w:t>
      </w:r>
    </w:p>
    <w:p>
      <w:pPr>
        <w:spacing w:after="0" w:line="61" w:lineRule="exact"/>
        <w:rPr>
          <w:rFonts w:ascii="Times New Roman" w:cs="Times New Roman" w:eastAsia="Times New Roman" w:hAnsi="Times New Roman"/>
          <w:sz w:val="15"/>
          <w:szCs w:val="15"/>
          <w:color w:val="auto"/>
        </w:rPr>
      </w:pPr>
    </w:p>
    <w:p>
      <w:pPr>
        <w:ind w:left="2040" w:right="199" w:hanging="336"/>
        <w:spacing w:after="0" w:line="273" w:lineRule="auto"/>
        <w:tabs>
          <w:tab w:leader="none" w:pos="20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quarterly financial results may fluctuate significantly, including because we account for digital assets we hold at fair value, which may subject us to the corporate alternative minimum tax under the Inflation Reduction Act of 2022.</w:t>
      </w:r>
    </w:p>
    <w:p>
      <w:pPr>
        <w:spacing w:after="0" w:line="61" w:lineRule="exact"/>
        <w:rPr>
          <w:rFonts w:ascii="Times New Roman" w:cs="Times New Roman" w:eastAsia="Times New Roman" w:hAnsi="Times New Roman"/>
          <w:sz w:val="15"/>
          <w:szCs w:val="15"/>
          <w:color w:val="auto"/>
        </w:rPr>
      </w:pPr>
    </w:p>
    <w:p>
      <w:pPr>
        <w:ind w:left="2040" w:right="379" w:hanging="336"/>
        <w:spacing w:after="0" w:line="273" w:lineRule="auto"/>
        <w:tabs>
          <w:tab w:leader="none" w:pos="20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time the price of any purchases of Bitcoin and other digital assets we may acquire in accordance with our Investment Policy will be limited.</w:t>
      </w:r>
    </w:p>
    <w:p>
      <w:pPr>
        <w:spacing w:after="0" w:line="61" w:lineRule="exact"/>
        <w:rPr>
          <w:rFonts w:ascii="Times New Roman" w:cs="Times New Roman" w:eastAsia="Times New Roman" w:hAnsi="Times New Roman"/>
          <w:sz w:val="15"/>
          <w:szCs w:val="15"/>
          <w:color w:val="auto"/>
        </w:rPr>
      </w:pPr>
    </w:p>
    <w:p>
      <w:pPr>
        <w:ind w:left="2040" w:right="599" w:hanging="336"/>
        <w:spacing w:after="0" w:line="273" w:lineRule="auto"/>
        <w:tabs>
          <w:tab w:leader="none" w:pos="20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significant decrease in the market value of any digital assets we may acquire in accordance with our Investment Policy could adversely affect our ability to satisfy financial obligations, including any debt financings.</w:t>
      </w:r>
    </w:p>
    <w:p>
      <w:pPr>
        <w:spacing w:after="0" w:line="61" w:lineRule="exact"/>
        <w:rPr>
          <w:rFonts w:ascii="Times New Roman" w:cs="Times New Roman" w:eastAsia="Times New Roman" w:hAnsi="Times New Roman"/>
          <w:sz w:val="15"/>
          <w:szCs w:val="15"/>
          <w:color w:val="auto"/>
        </w:rPr>
      </w:pPr>
    </w:p>
    <w:p>
      <w:pPr>
        <w:jc w:val="both"/>
        <w:ind w:left="2040" w:right="379" w:hanging="336"/>
        <w:spacing w:after="0" w:line="260" w:lineRule="auto"/>
        <w:tabs>
          <w:tab w:leader="none" w:pos="20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implementation of our Investment Policy, competition by other digital asset companies and the availability of spot exchange-traded products for Bitcoin and other digital assets may adversely affect our business, financial condition, results of operations and future prospects.</w:t>
      </w:r>
    </w:p>
    <w:p>
      <w:pPr>
        <w:spacing w:after="0" w:line="71" w:lineRule="exact"/>
        <w:rPr>
          <w:rFonts w:ascii="Times New Roman" w:cs="Times New Roman" w:eastAsia="Times New Roman" w:hAnsi="Times New Roman"/>
          <w:sz w:val="15"/>
          <w:szCs w:val="15"/>
          <w:color w:val="auto"/>
        </w:rPr>
      </w:pPr>
    </w:p>
    <w:p>
      <w:pPr>
        <w:ind w:left="2040" w:right="219" w:hanging="336"/>
        <w:spacing w:after="0" w:line="273" w:lineRule="auto"/>
        <w:tabs>
          <w:tab w:leader="none" w:pos="20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digital assets we may acquire in accordance with our Investment Policy may not be able to serve as a source of liquidity for us to the same extent as cash and cash equivalents.</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i w:val="1"/>
          <w:iCs w:val="1"/>
          <w:color w:val="auto"/>
        </w:rPr>
        <w:t>Risks Related to Regulation, Taxation and Laws</w:t>
      </w:r>
    </w:p>
    <w:p>
      <w:pPr>
        <w:spacing w:after="0" w:line="107" w:lineRule="exact"/>
        <w:rPr>
          <w:sz w:val="20"/>
          <w:szCs w:val="20"/>
          <w:color w:val="auto"/>
        </w:rPr>
      </w:pPr>
    </w:p>
    <w:p>
      <w:pPr>
        <w:ind w:left="2040" w:right="479" w:hanging="336"/>
        <w:spacing w:after="0" w:line="273" w:lineRule="auto"/>
        <w:tabs>
          <w:tab w:leader="none" w:pos="20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extensive government regulation, oversight, licensure and appraisals and our failure to comply could materially harm our business.</w:t>
      </w:r>
    </w:p>
    <w:p>
      <w:pPr>
        <w:spacing w:after="0" w:line="61" w:lineRule="exact"/>
        <w:rPr>
          <w:rFonts w:ascii="Times New Roman" w:cs="Times New Roman" w:eastAsia="Times New Roman" w:hAnsi="Times New Roman"/>
          <w:sz w:val="15"/>
          <w:szCs w:val="15"/>
          <w:color w:val="auto"/>
        </w:rPr>
      </w:pPr>
    </w:p>
    <w:p>
      <w:pPr>
        <w:ind w:left="2040" w:right="279" w:hanging="336"/>
        <w:spacing w:after="0" w:line="260" w:lineRule="auto"/>
        <w:tabs>
          <w:tab w:leader="none" w:pos="20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regulatory regimes governing blockchain technologies and crypto are uncertain and may change rapidly. New regulations or policies may alter or significantly adversely affect our business practices with respect to crypto assets, and we may need to adapt our business to regulatory change quickly to succeed.</w:t>
      </w:r>
    </w:p>
    <w:p>
      <w:pPr>
        <w:spacing w:after="0" w:line="71" w:lineRule="exact"/>
        <w:rPr>
          <w:rFonts w:ascii="Times New Roman" w:cs="Times New Roman" w:eastAsia="Times New Roman" w:hAnsi="Times New Roman"/>
          <w:sz w:val="15"/>
          <w:szCs w:val="15"/>
          <w:color w:val="auto"/>
        </w:rPr>
      </w:pPr>
    </w:p>
    <w:p>
      <w:pPr>
        <w:ind w:left="2040" w:right="319" w:hanging="336"/>
        <w:spacing w:after="0" w:line="260" w:lineRule="auto"/>
        <w:tabs>
          <w:tab w:leader="none" w:pos="20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crypto asset’s status as a “security” in any relevant jurisdiction is currently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24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0159"/>
          </w:cols>
          <w:pgMar w:left="300" w:top="400"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5501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5748020" cy="5501640"/>
                    </a:xfrm>
                    <a:prstGeom prst="rect">
                      <a:avLst/>
                    </a:prstGeom>
                    <a:noFill/>
                  </pic:spPr>
                </pic:pic>
              </a:graphicData>
            </a:graphic>
          </wp:anchor>
        </w:drawing>
      </w:r>
    </w:p>
    <w:p>
      <w:pPr>
        <w:spacing w:after="0" w:line="386" w:lineRule="exact"/>
        <w:rPr>
          <w:sz w:val="20"/>
          <w:szCs w:val="20"/>
          <w:color w:val="auto"/>
        </w:rPr>
      </w:pPr>
    </w:p>
    <w:p>
      <w:pPr>
        <w:ind w:left="2040" w:right="459" w:hanging="336"/>
        <w:spacing w:after="0" w:line="273" w:lineRule="auto"/>
        <w:tabs>
          <w:tab w:leader="none" w:pos="20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significant litigation risk and risk of regulatory liability and penalties. Any current or future litigation against us could be costly and time-consuming to defend.</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i w:val="1"/>
          <w:iCs w:val="1"/>
          <w:color w:val="auto"/>
        </w:rPr>
        <w:t>Risks Related to Information Technology and Data</w:t>
      </w:r>
    </w:p>
    <w:p>
      <w:pPr>
        <w:spacing w:after="0" w:line="107" w:lineRule="exact"/>
        <w:rPr>
          <w:sz w:val="20"/>
          <w:szCs w:val="20"/>
          <w:color w:val="auto"/>
        </w:rPr>
      </w:pPr>
    </w:p>
    <w:p>
      <w:pPr>
        <w:ind w:left="2040" w:right="239" w:hanging="336"/>
        <w:spacing w:after="0" w:line="273" w:lineRule="auto"/>
        <w:tabs>
          <w:tab w:leader="none" w:pos="20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perceived cyberattacks, security incidents, or breaches could result in serious harm to our reputation, business and financial condition.</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i w:val="1"/>
          <w:iCs w:val="1"/>
          <w:color w:val="auto"/>
        </w:rPr>
        <w:t>Risks Related to Risk Management and Financial Reporting</w:t>
      </w:r>
    </w:p>
    <w:p>
      <w:pPr>
        <w:spacing w:after="0" w:line="107" w:lineRule="exact"/>
        <w:rPr>
          <w:sz w:val="20"/>
          <w:szCs w:val="20"/>
          <w:color w:val="auto"/>
        </w:rPr>
      </w:pPr>
    </w:p>
    <w:p>
      <w:pPr>
        <w:ind w:left="2040" w:right="479" w:hanging="336"/>
        <w:spacing w:after="0" w:line="273" w:lineRule="auto"/>
        <w:tabs>
          <w:tab w:leader="none" w:pos="20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are unable to maintain effective internal controls over financial reporting, we may be unable to produce timely and accurate financial statements, which could have a material effect on our business.</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5"/>
          <w:szCs w:val="15"/>
          <w:color w:val="auto"/>
        </w:rPr>
        <w:t>Our principal executive offices are located at 10000 Avalon Boulevard, Suite 1000, Alpharetta, Georgia 30009. Our telephone number is</w:t>
      </w:r>
    </w:p>
    <w:p>
      <w:pPr>
        <w:spacing w:after="0" w:line="19" w:lineRule="exact"/>
        <w:rPr>
          <w:sz w:val="20"/>
          <w:szCs w:val="20"/>
          <w:color w:val="auto"/>
        </w:rPr>
      </w:pPr>
    </w:p>
    <w:p>
      <w:pPr>
        <w:ind w:left="1280" w:right="219" w:hanging="8"/>
        <w:spacing w:after="0" w:line="253" w:lineRule="auto"/>
        <w:tabs>
          <w:tab w:leader="none" w:pos="1637"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534-5849. Our website is </w:t>
      </w:r>
      <w:r>
        <w:rPr>
          <w:rFonts w:ascii="Times New Roman" w:cs="Times New Roman" w:eastAsia="Times New Roman" w:hAnsi="Times New Roman"/>
          <w:sz w:val="15"/>
          <w:szCs w:val="15"/>
          <w:i w:val="1"/>
          <w:iCs w:val="1"/>
          <w:color w:val="auto"/>
        </w:rPr>
        <w:t>https://www.bakkt.com</w:t>
      </w:r>
      <w:r>
        <w:rPr>
          <w:rFonts w:ascii="Times New Roman" w:cs="Times New Roman" w:eastAsia="Times New Roman" w:hAnsi="Times New Roman"/>
          <w:sz w:val="15"/>
          <w:szCs w:val="15"/>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color w:val="auto"/>
        </w:rPr>
        <w:t>The Securities That May Be Offered</w:t>
      </w:r>
    </w:p>
    <w:p>
      <w:pPr>
        <w:spacing w:after="0" w:line="95" w:lineRule="exact"/>
        <w:rPr>
          <w:sz w:val="20"/>
          <w:szCs w:val="20"/>
          <w:color w:val="auto"/>
        </w:rPr>
      </w:pPr>
    </w:p>
    <w:p>
      <w:pPr>
        <w:ind w:left="1280" w:right="199" w:firstLine="350"/>
        <w:spacing w:after="0" w:line="255" w:lineRule="auto"/>
        <w:rPr>
          <w:sz w:val="20"/>
          <w:szCs w:val="20"/>
          <w:color w:val="auto"/>
        </w:rPr>
      </w:pPr>
      <w:r>
        <w:rPr>
          <w:rFonts w:ascii="Times New Roman" w:cs="Times New Roman" w:eastAsia="Times New Roman" w:hAnsi="Times New Roman"/>
          <w:sz w:val="15"/>
          <w:szCs w:val="15"/>
          <w:color w:val="auto"/>
        </w:rPr>
        <w:t>We may offer or sell Class A Common Stock, preferred stock, debt securities, warrants and units in one or more offerings and in any combination. The aggregate offering price of the securities we sell pursuant to this prospectus will not exceed $1,000,000,000.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53" w:lineRule="exact"/>
        <w:rPr>
          <w:sz w:val="20"/>
          <w:szCs w:val="20"/>
          <w:color w:val="auto"/>
        </w:rPr>
      </w:pPr>
    </w:p>
    <w:p>
      <w:pPr>
        <w:ind w:left="1280" w:right="139" w:firstLine="350"/>
        <w:spacing w:after="0" w:line="255" w:lineRule="auto"/>
        <w:rPr>
          <w:sz w:val="20"/>
          <w:szCs w:val="20"/>
          <w:color w:val="auto"/>
        </w:rPr>
      </w:pPr>
      <w:r>
        <w:rPr>
          <w:rFonts w:ascii="Times New Roman" w:cs="Times New Roman" w:eastAsia="Times New Roman" w:hAnsi="Times New Roman"/>
          <w:sz w:val="15"/>
          <w:szCs w:val="15"/>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3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i w:val="1"/>
          <w:iCs w:val="1"/>
          <w:color w:val="auto"/>
        </w:rPr>
        <w:t>Class A Common Stock</w:t>
      </w:r>
    </w:p>
    <w:p>
      <w:pPr>
        <w:spacing w:after="0" w:line="97" w:lineRule="exact"/>
        <w:rPr>
          <w:sz w:val="20"/>
          <w:szCs w:val="20"/>
          <w:color w:val="auto"/>
        </w:rPr>
      </w:pPr>
    </w:p>
    <w:p>
      <w:pPr>
        <w:ind w:left="1280" w:right="419" w:firstLine="350"/>
        <w:spacing w:after="0" w:line="253" w:lineRule="auto"/>
        <w:rPr>
          <w:sz w:val="20"/>
          <w:szCs w:val="20"/>
          <w:color w:val="auto"/>
        </w:rPr>
      </w:pPr>
      <w:r>
        <w:rPr>
          <w:rFonts w:ascii="Times New Roman" w:cs="Times New Roman" w:eastAsia="Times New Roman" w:hAnsi="Times New Roman"/>
          <w:sz w:val="15"/>
          <w:szCs w:val="15"/>
          <w:color w:val="auto"/>
        </w:rPr>
        <w:t>We may offer shares of our Class A Common Stock either alone or underlying other registered securities convertible into our Class A Common Stock. 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w:t>
      </w:r>
    </w:p>
    <w:p>
      <w:pPr>
        <w:spacing w:after="0" w:line="2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i w:val="1"/>
          <w:iCs w:val="1"/>
          <w:color w:val="auto"/>
        </w:rPr>
        <w:t>Preferred Stock</w:t>
      </w:r>
    </w:p>
    <w:p>
      <w:pPr>
        <w:spacing w:after="0" w:line="97" w:lineRule="exact"/>
        <w:rPr>
          <w:sz w:val="20"/>
          <w:szCs w:val="20"/>
          <w:color w:val="auto"/>
        </w:rPr>
      </w:pPr>
    </w:p>
    <w:p>
      <w:pPr>
        <w:ind w:left="1280" w:right="299" w:firstLine="350"/>
        <w:spacing w:after="0" w:line="252" w:lineRule="auto"/>
        <w:rPr>
          <w:sz w:val="20"/>
          <w:szCs w:val="20"/>
          <w:color w:val="auto"/>
        </w:rPr>
      </w:pPr>
      <w:r>
        <w:rPr>
          <w:rFonts w:ascii="Times New Roman" w:cs="Times New Roman" w:eastAsia="Times New Roman" w:hAnsi="Times New Roman"/>
          <w:sz w:val="15"/>
          <w:szCs w:val="15"/>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Class A Common Stock.</w:t>
      </w:r>
    </w:p>
    <w:p>
      <w:pPr>
        <w:spacing w:after="0" w:line="25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0159"/>
          </w:cols>
          <w:pgMar w:left="300" w:top="400"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172720</wp:posOffset>
            </wp:positionV>
            <wp:extent cx="5748020" cy="25038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5748020" cy="2503805"/>
                    </a:xfrm>
                    <a:prstGeom prst="rect">
                      <a:avLst/>
                    </a:prstGeom>
                    <a:noFill/>
                  </pic:spPr>
                </pic:pic>
              </a:graphicData>
            </a:graphic>
          </wp:anchor>
        </w:drawing>
      </w:r>
    </w:p>
    <w:p>
      <w:pPr>
        <w:spacing w:after="0" w:line="3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i w:val="1"/>
          <w:iCs w:val="1"/>
          <w:color w:val="auto"/>
        </w:rPr>
        <w:t>Debt Securities</w:t>
      </w:r>
    </w:p>
    <w:p>
      <w:pPr>
        <w:spacing w:after="0" w:line="97" w:lineRule="exact"/>
        <w:rPr>
          <w:sz w:val="20"/>
          <w:szCs w:val="20"/>
          <w:color w:val="auto"/>
        </w:rPr>
      </w:pPr>
    </w:p>
    <w:p>
      <w:pPr>
        <w:ind w:left="1280" w:right="339" w:firstLine="350"/>
        <w:spacing w:after="0" w:line="275" w:lineRule="auto"/>
        <w:rPr>
          <w:sz w:val="20"/>
          <w:szCs w:val="20"/>
          <w:color w:val="auto"/>
        </w:rPr>
      </w:pPr>
      <w:r>
        <w:rPr>
          <w:rFonts w:ascii="Times New Roman" w:cs="Times New Roman" w:eastAsia="Times New Roman" w:hAnsi="Times New Roman"/>
          <w:sz w:val="14"/>
          <w:szCs w:val="14"/>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Class A Common Stock.</w:t>
      </w:r>
    </w:p>
    <w:p>
      <w:pPr>
        <w:spacing w:after="0" w:line="142" w:lineRule="exact"/>
        <w:rPr>
          <w:sz w:val="20"/>
          <w:szCs w:val="20"/>
          <w:color w:val="auto"/>
        </w:rPr>
      </w:pPr>
    </w:p>
    <w:p>
      <w:pPr>
        <w:jc w:val="both"/>
        <w:ind w:left="1280" w:right="359" w:firstLine="350"/>
        <w:spacing w:after="0" w:line="287" w:lineRule="auto"/>
        <w:rPr>
          <w:sz w:val="20"/>
          <w:szCs w:val="20"/>
          <w:color w:val="auto"/>
        </w:rPr>
      </w:pPr>
      <w:r>
        <w:rPr>
          <w:rFonts w:ascii="Times New Roman" w:cs="Times New Roman" w:eastAsia="Times New Roman" w:hAnsi="Times New Roman"/>
          <w:sz w:val="14"/>
          <w:szCs w:val="14"/>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i w:val="1"/>
          <w:iCs w:val="1"/>
          <w:color w:val="auto"/>
        </w:rPr>
        <w:t>Warrants</w:t>
      </w:r>
    </w:p>
    <w:p>
      <w:pPr>
        <w:spacing w:after="0" w:line="97" w:lineRule="exact"/>
        <w:rPr>
          <w:sz w:val="20"/>
          <w:szCs w:val="20"/>
          <w:color w:val="auto"/>
        </w:rPr>
      </w:pPr>
    </w:p>
    <w:p>
      <w:pPr>
        <w:ind w:left="1280" w:right="279" w:firstLine="350"/>
        <w:spacing w:after="0" w:line="273" w:lineRule="auto"/>
        <w:rPr>
          <w:sz w:val="20"/>
          <w:szCs w:val="20"/>
          <w:color w:val="auto"/>
        </w:rPr>
      </w:pPr>
      <w:r>
        <w:rPr>
          <w:rFonts w:ascii="Times New Roman" w:cs="Times New Roman" w:eastAsia="Times New Roman" w:hAnsi="Times New Roman"/>
          <w:sz w:val="15"/>
          <w:szCs w:val="15"/>
          <w:color w:val="auto"/>
        </w:rPr>
        <w:t>We may offer warrants for the purchase of Class A Common Stock, preferred stock or debt securities. We may offer warrants independently or together with other securities.</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b w:val="1"/>
          <w:bCs w:val="1"/>
          <w:i w:val="1"/>
          <w:iCs w:val="1"/>
          <w:color w:val="auto"/>
        </w:rPr>
        <w:t>Units</w:t>
      </w:r>
    </w:p>
    <w:p>
      <w:pPr>
        <w:spacing w:after="0" w:line="97" w:lineRule="exact"/>
        <w:rPr>
          <w:sz w:val="20"/>
          <w:szCs w:val="20"/>
          <w:color w:val="auto"/>
        </w:rPr>
      </w:pPr>
    </w:p>
    <w:p>
      <w:pPr>
        <w:ind w:left="1280" w:right="179" w:firstLine="350"/>
        <w:spacing w:after="0" w:line="273" w:lineRule="auto"/>
        <w:rPr>
          <w:sz w:val="20"/>
          <w:szCs w:val="20"/>
          <w:color w:val="auto"/>
        </w:rPr>
      </w:pPr>
      <w:r>
        <w:rPr>
          <w:rFonts w:ascii="Times New Roman" w:cs="Times New Roman" w:eastAsia="Times New Roman" w:hAnsi="Times New Roman"/>
          <w:sz w:val="15"/>
          <w:szCs w:val="15"/>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0159"/>
          </w:cols>
          <w:pgMar w:left="300" w:top="400"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84" w:lineRule="exact"/>
        <w:rPr>
          <w:sz w:val="20"/>
          <w:szCs w:val="20"/>
          <w:color w:val="auto"/>
        </w:rPr>
      </w:pPr>
    </w:p>
    <w:p>
      <w:pPr>
        <w:ind w:left="1120" w:firstLine="362"/>
        <w:spacing w:after="0" w:line="249" w:lineRule="auto"/>
        <w:rPr>
          <w:sz w:val="20"/>
          <w:szCs w:val="20"/>
          <w:color w:val="auto"/>
        </w:rPr>
      </w:pPr>
      <w:r>
        <w:rPr>
          <w:rFonts w:ascii="Times New Roman" w:cs="Times New Roman" w:eastAsia="Times New Roman" w:hAnsi="Times New Roman"/>
          <w:sz w:val="15"/>
          <w:szCs w:val="15"/>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 in the future. In addition, you should consider the risks, uncertainties and assumptions discussed under the heading “Risk Factors Related to the Update of Our Investment Policy” in Exhibit 99.1 to our Current Report on Form 8-K filed on June 10, 2025 that is incorporated by reference in this prospectus before you invest in our securities. The risks and uncertainties we have described are not the only ones we face. Additional risks and uncertainties not presently known to us or that we currently deem immaterial may also affect our operations.</w:t>
      </w:r>
    </w:p>
    <w:p>
      <w:pPr>
        <w:spacing w:after="0" w:line="10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0160"/>
          </w:cols>
          <w:pgMar w:left="300" w:top="400" w:right="1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84" w:lineRule="exact"/>
        <w:rPr>
          <w:sz w:val="20"/>
          <w:szCs w:val="20"/>
          <w:color w:val="auto"/>
        </w:rPr>
      </w:pPr>
    </w:p>
    <w:p>
      <w:pPr>
        <w:ind w:left="1120" w:right="120" w:firstLine="362"/>
        <w:spacing w:after="0" w:line="249" w:lineRule="auto"/>
        <w:rPr>
          <w:sz w:val="20"/>
          <w:szCs w:val="20"/>
          <w:color w:val="auto"/>
        </w:rPr>
      </w:pPr>
      <w:r>
        <w:rPr>
          <w:rFonts w:ascii="Times New Roman" w:cs="Times New Roman" w:eastAsia="Times New Roman" w:hAnsi="Times New Roman"/>
          <w:sz w:val="15"/>
          <w:szCs w:val="15"/>
          <w:color w:val="auto"/>
        </w:rPr>
        <w:t>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that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w:t>
      </w:r>
    </w:p>
    <w:p>
      <w:pPr>
        <w:spacing w:after="0" w:line="83" w:lineRule="exact"/>
        <w:rPr>
          <w:sz w:val="20"/>
          <w:szCs w:val="20"/>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financial performance;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market for our products and services; and</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impacts from the adoption of our updated Investment Policy.</w:t>
      </w:r>
    </w:p>
    <w:p>
      <w:pPr>
        <w:spacing w:after="0" w:line="182" w:lineRule="exact"/>
        <w:rPr>
          <w:sz w:val="20"/>
          <w:szCs w:val="20"/>
          <w:color w:val="auto"/>
        </w:rPr>
      </w:pPr>
    </w:p>
    <w:p>
      <w:pPr>
        <w:ind w:left="1120" w:right="180" w:firstLine="362"/>
        <w:spacing w:after="0" w:line="253" w:lineRule="auto"/>
        <w:rPr>
          <w:sz w:val="20"/>
          <w:szCs w:val="20"/>
          <w:color w:val="auto"/>
        </w:rPr>
      </w:pPr>
      <w:r>
        <w:rPr>
          <w:rFonts w:ascii="Times New Roman" w:cs="Times New Roman" w:eastAsia="Times New Roman" w:hAnsi="Times New Roman"/>
          <w:sz w:val="15"/>
          <w:szCs w:val="15"/>
          <w:color w:val="auto"/>
        </w:rPr>
        <w:t>These forward-looking statements are based on information available as of the date they were made and reflect management’s expectations, forecasts and assumptions as of such date,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55" w:lineRule="exact"/>
        <w:rPr>
          <w:sz w:val="20"/>
          <w:szCs w:val="20"/>
          <w:color w:val="auto"/>
        </w:rPr>
      </w:pPr>
    </w:p>
    <w:p>
      <w:pPr>
        <w:jc w:val="both"/>
        <w:ind w:left="1120" w:right="280" w:firstLine="362"/>
        <w:spacing w:after="0" w:line="287" w:lineRule="auto"/>
        <w:rPr>
          <w:sz w:val="20"/>
          <w:szCs w:val="20"/>
          <w:color w:val="auto"/>
        </w:rPr>
      </w:pPr>
      <w:r>
        <w:rPr>
          <w:rFonts w:ascii="Times New Roman" w:cs="Times New Roman" w:eastAsia="Times New Roman" w:hAnsi="Times New Roman"/>
          <w:sz w:val="14"/>
          <w:szCs w:val="14"/>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54" w:lineRule="exact"/>
        <w:rPr>
          <w:sz w:val="20"/>
          <w:szCs w:val="20"/>
          <w:color w:val="auto"/>
        </w:rPr>
      </w:pPr>
    </w:p>
    <w:p>
      <w:pPr>
        <w:ind w:left="1920" w:hanging="354"/>
        <w:spacing w:after="0"/>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continue as a going concern;</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grow and manage growth profitably;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we may be unable to obtain the applicable regulatory approvals to execute on the cooperation agreement with DTR;</w:t>
      </w:r>
    </w:p>
    <w:p>
      <w:pPr>
        <w:spacing w:after="0" w:line="104" w:lineRule="exact"/>
        <w:rPr>
          <w:rFonts w:ascii="Times New Roman" w:cs="Times New Roman" w:eastAsia="Times New Roman" w:hAnsi="Times New Roman"/>
          <w:sz w:val="15"/>
          <w:szCs w:val="15"/>
          <w:color w:val="auto"/>
        </w:rPr>
      </w:pPr>
    </w:p>
    <w:p>
      <w:pPr>
        <w:ind w:left="1920" w:hanging="354"/>
        <w:spacing w:after="0" w:line="260" w:lineRule="auto"/>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finalizing the proposed commercial agreement with DTR, including whether such agreement will be executed on terms favorable to us or if at all, or be completed on the expected timeline, and whether we will be able to successfully integrate its operations with those of DTR, including its infrastructure, and achieve the expected benefits therefrom;</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regulatory environment for crypto currencies and digital stablecoin payments;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our business strategy, including our adoption of the updated Investment Policy;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of digital assets, including Bitcoin;</w:t>
      </w:r>
    </w:p>
    <w:p>
      <w:pPr>
        <w:spacing w:after="0" w:line="104" w:lineRule="exact"/>
        <w:rPr>
          <w:rFonts w:ascii="Times New Roman" w:cs="Times New Roman" w:eastAsia="Times New Roman" w:hAnsi="Times New Roman"/>
          <w:sz w:val="15"/>
          <w:szCs w:val="15"/>
          <w:color w:val="auto"/>
        </w:rPr>
      </w:pPr>
    </w:p>
    <w:p>
      <w:pPr>
        <w:ind w:left="1920" w:right="240" w:hanging="354"/>
        <w:spacing w:after="0" w:line="260" w:lineRule="auto"/>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virtual-form and decentralized network;</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fluctuation of our operating results, including because we may be required to account for our digital assets at fair value;</w:t>
      </w:r>
    </w:p>
    <w:p>
      <w:pPr>
        <w:spacing w:after="0" w:line="1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0160"/>
          </w:cols>
          <w:pgMar w:left="300" w:top="400" w:right="1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920" w:hanging="354"/>
        <w:spacing w:after="0"/>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time the price of our purchase of digital assets pursuant to our updated Investment Policy;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the market value of digital assets on our ability to satisfy our financial obligations, including any debt financings;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unrealized fair value gains on our digital asset holdings subjecting us to the corporate alternative minimum tax;</w:t>
      </w:r>
    </w:p>
    <w:p>
      <w:pPr>
        <w:spacing w:after="0" w:line="104" w:lineRule="exact"/>
        <w:rPr>
          <w:rFonts w:ascii="Times New Roman" w:cs="Times New Roman" w:eastAsia="Times New Roman" w:hAnsi="Times New Roman"/>
          <w:sz w:val="15"/>
          <w:szCs w:val="15"/>
          <w:color w:val="auto"/>
        </w:rPr>
      </w:pPr>
    </w:p>
    <w:p>
      <w:pPr>
        <w:ind w:left="1920" w:right="79" w:hanging="354"/>
        <w:spacing w:after="0" w:line="287" w:lineRule="auto"/>
        <w:tabs>
          <w:tab w:leader="none" w:pos="19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w:t>
      </w:r>
    </w:p>
    <w:p>
      <w:pPr>
        <w:spacing w:after="0" w:line="54" w:lineRule="exact"/>
        <w:rPr>
          <w:rFonts w:ascii="Times New Roman" w:cs="Times New Roman" w:eastAsia="Times New Roman" w:hAnsi="Times New Roman"/>
          <w:sz w:val="14"/>
          <w:szCs w:val="14"/>
          <w:color w:val="auto"/>
        </w:rPr>
      </w:pPr>
    </w:p>
    <w:p>
      <w:pPr>
        <w:ind w:left="1920" w:hanging="354"/>
        <w:spacing w:after="0"/>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by other Bitcoin treasury companies and the availability of spot-traded products for Bitcoin;</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enhanced regulatory oversight as a result of our updated Investment Policy;</w:t>
      </w:r>
    </w:p>
    <w:p>
      <w:pPr>
        <w:spacing w:after="0" w:line="104" w:lineRule="exact"/>
        <w:rPr>
          <w:rFonts w:ascii="Times New Roman" w:cs="Times New Roman" w:eastAsia="Times New Roman" w:hAnsi="Times New Roman"/>
          <w:sz w:val="15"/>
          <w:szCs w:val="15"/>
          <w:color w:val="auto"/>
        </w:rPr>
      </w:pPr>
    </w:p>
    <w:p>
      <w:pPr>
        <w:ind w:left="1920" w:right="139" w:hanging="354"/>
        <w:spacing w:after="0" w:line="260" w:lineRule="auto"/>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concentration of our expected digital asset holdings relative to non-digital assets;</w:t>
      </w:r>
    </w:p>
    <w:p>
      <w:pPr>
        <w:spacing w:after="0" w:line="104" w:lineRule="exact"/>
        <w:rPr>
          <w:rFonts w:ascii="Times New Roman" w:cs="Times New Roman" w:eastAsia="Times New Roman" w:hAnsi="Times New Roman"/>
          <w:sz w:val="15"/>
          <w:szCs w:val="15"/>
          <w:color w:val="auto"/>
        </w:rPr>
      </w:pPr>
    </w:p>
    <w:p>
      <w:pPr>
        <w:ind w:left="1920" w:right="159" w:hanging="354"/>
        <w:spacing w:after="0" w:line="273" w:lineRule="auto"/>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use our digital asset holdings as a source of liquidity to the same extent as cash and cash equivalents, due to, for example, risks associated with digital assets and other risks inherent to its entirely electronic, virtual-form and decentralized network;</w:t>
      </w:r>
    </w:p>
    <w:p>
      <w:pPr>
        <w:spacing w:after="0" w:line="61" w:lineRule="exact"/>
        <w:rPr>
          <w:rFonts w:ascii="Times New Roman" w:cs="Times New Roman" w:eastAsia="Times New Roman" w:hAnsi="Times New Roman"/>
          <w:sz w:val="15"/>
          <w:szCs w:val="15"/>
          <w:color w:val="auto"/>
        </w:rPr>
      </w:pPr>
    </w:p>
    <w:p>
      <w:pPr>
        <w:ind w:left="1920" w:right="399" w:hanging="354"/>
        <w:spacing w:after="0" w:line="273" w:lineRule="auto"/>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or a third-party service provider experiencing a security breach or cyber-attack where unauthorized parties obtain access to digital assets;</w:t>
      </w:r>
    </w:p>
    <w:p>
      <w:pPr>
        <w:spacing w:after="0" w:line="61" w:lineRule="exact"/>
        <w:rPr>
          <w:rFonts w:ascii="Times New Roman" w:cs="Times New Roman" w:eastAsia="Times New Roman" w:hAnsi="Times New Roman"/>
          <w:sz w:val="15"/>
          <w:szCs w:val="15"/>
          <w:color w:val="auto"/>
        </w:rPr>
      </w:pPr>
    </w:p>
    <w:p>
      <w:pPr>
        <w:ind w:left="1920" w:right="319" w:hanging="354"/>
        <w:spacing w:after="0" w:line="273" w:lineRule="auto"/>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loss of access to or theft or data loss of our digital assets, which could be unrecoverable due to the immutable nature of blockchain transactions;</w:t>
      </w:r>
    </w:p>
    <w:p>
      <w:pPr>
        <w:spacing w:after="0" w:line="61" w:lineRule="exact"/>
        <w:rPr>
          <w:rFonts w:ascii="Times New Roman" w:cs="Times New Roman" w:eastAsia="Times New Roman" w:hAnsi="Times New Roman"/>
          <w:sz w:val="15"/>
          <w:szCs w:val="15"/>
          <w:color w:val="auto"/>
        </w:rPr>
      </w:pPr>
    </w:p>
    <w:p>
      <w:pPr>
        <w:ind w:left="1920" w:right="39" w:hanging="354"/>
        <w:spacing w:after="0" w:line="255" w:lineRule="auto"/>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elect to hold our digital assets through a third-party custodian, the loss of direct control over our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compromised, including as a result of a cyber-attack;</w:t>
      </w:r>
    </w:p>
    <w:p>
      <w:pPr>
        <w:spacing w:after="0" w:line="75" w:lineRule="exact"/>
        <w:rPr>
          <w:rFonts w:ascii="Times New Roman" w:cs="Times New Roman" w:eastAsia="Times New Roman" w:hAnsi="Times New Roman"/>
          <w:sz w:val="15"/>
          <w:szCs w:val="15"/>
          <w:color w:val="auto"/>
        </w:rPr>
      </w:pPr>
    </w:p>
    <w:p>
      <w:pPr>
        <w:ind w:left="1920" w:right="79" w:hanging="354"/>
        <w:spacing w:after="0" w:line="273" w:lineRule="auto"/>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not being subject to the legal and regulatory protections applicable to investment companies such as mutual funds and exchange-traded funds, or to obligations applicable to investment advisers;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non-performance, breach of contract or other violations by counterparties assisting us in effecting our updated Investment Policy;</w:t>
      </w:r>
    </w:p>
    <w:p>
      <w:pPr>
        <w:spacing w:after="0" w:line="104" w:lineRule="exact"/>
        <w:rPr>
          <w:rFonts w:ascii="Times New Roman" w:cs="Times New Roman" w:eastAsia="Times New Roman" w:hAnsi="Times New Roman"/>
          <w:sz w:val="15"/>
          <w:szCs w:val="15"/>
          <w:color w:val="auto"/>
        </w:rPr>
      </w:pPr>
    </w:p>
    <w:p>
      <w:pPr>
        <w:ind w:left="1920" w:right="59" w:hanging="354"/>
        <w:spacing w:after="0" w:line="273" w:lineRule="auto"/>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capital requirements and sources and uses of cash, including funds to satisfy our liquidity needs and continued access to the line of credit provided by Intercontinental Exchange Holdings, Inc.;</w:t>
      </w:r>
    </w:p>
    <w:p>
      <w:pPr>
        <w:spacing w:after="0" w:line="61" w:lineRule="exact"/>
        <w:rPr>
          <w:rFonts w:ascii="Times New Roman" w:cs="Times New Roman" w:eastAsia="Times New Roman" w:hAnsi="Times New Roman"/>
          <w:sz w:val="15"/>
          <w:szCs w:val="15"/>
          <w:color w:val="auto"/>
        </w:rPr>
      </w:pPr>
    </w:p>
    <w:p>
      <w:pPr>
        <w:ind w:left="1920" w:right="379" w:hanging="354"/>
        <w:spacing w:after="0" w:line="273" w:lineRule="auto"/>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market in which we compete, including with respect to our competitive landscape, technology evolution or changes in applicable laws or regulations;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markets that we target;</w:t>
      </w:r>
    </w:p>
    <w:p>
      <w:pPr>
        <w:spacing w:after="0" w:line="104" w:lineRule="exact"/>
        <w:rPr>
          <w:rFonts w:ascii="Times New Roman" w:cs="Times New Roman" w:eastAsia="Times New Roman" w:hAnsi="Times New Roman"/>
          <w:sz w:val="15"/>
          <w:szCs w:val="15"/>
          <w:color w:val="auto"/>
        </w:rPr>
      </w:pPr>
    </w:p>
    <w:p>
      <w:pPr>
        <w:ind w:left="1920" w:right="199" w:hanging="354"/>
        <w:spacing w:after="0" w:line="310" w:lineRule="auto"/>
        <w:tabs>
          <w:tab w:leader="none" w:pos="19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and disruptions in the crypto, digital payments and stablecoin markets that subject us to additional risks, including the risk that banks may not provide banking services to us and market sentiments regarding crypto currencies, digital payments and stablecoins;</w:t>
      </w:r>
    </w:p>
    <w:p>
      <w:pPr>
        <w:spacing w:after="0" w:line="38" w:lineRule="exact"/>
        <w:rPr>
          <w:rFonts w:ascii="Times New Roman" w:cs="Times New Roman" w:eastAsia="Times New Roman" w:hAnsi="Times New Roman"/>
          <w:sz w:val="14"/>
          <w:szCs w:val="14"/>
          <w:color w:val="auto"/>
        </w:rPr>
      </w:pPr>
    </w:p>
    <w:p>
      <w:pPr>
        <w:ind w:left="1920" w:hanging="354"/>
        <w:spacing w:after="0"/>
        <w:tabs>
          <w:tab w:leader="none" w:pos="19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we may be adversely affected by other macroeconomic, geopolitical, business, and/or competitive factors;</w:t>
      </w:r>
    </w:p>
    <w:p>
      <w:pPr>
        <w:spacing w:after="0" w:line="1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0159"/>
          </w:cols>
          <w:pgMar w:left="300" w:top="400"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920" w:hanging="354"/>
        <w:spacing w:after="0" w:line="273" w:lineRule="auto"/>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launch new services and products, including with our expected commercial partners, or to profitably expand into new markets and services;</w:t>
      </w:r>
    </w:p>
    <w:p>
      <w:pPr>
        <w:spacing w:after="0" w:line="61" w:lineRule="exact"/>
        <w:rPr>
          <w:rFonts w:ascii="Times New Roman" w:cs="Times New Roman" w:eastAsia="Times New Roman" w:hAnsi="Times New Roman"/>
          <w:sz w:val="15"/>
          <w:szCs w:val="15"/>
          <w:color w:val="auto"/>
        </w:rPr>
      </w:pPr>
    </w:p>
    <w:p>
      <w:pPr>
        <w:ind w:left="1920" w:right="20" w:hanging="354"/>
        <w:spacing w:after="0" w:line="273" w:lineRule="auto"/>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execute our growth strategies, including identifying and executing acquisitions and divestitures and our initiatives to add new clients;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reach definitive agreements with our expected commercial counterparties;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complete a strategic transaction of the Loyalty business;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comply with extensive government regulations, oversight, licensure and appraisals;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uncertain and evolving regulatory regime governing blockchain technologies, stablecoins, digital payments and crypto;</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establish and maintain effective internal controls and procedures;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exposure to any liability, protracted and costly litigation or reputational damage relating to our data security;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any goodwill or other intangible assets impairments on our operating results;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the listing of our securities on the New York Stock Exchange; and</w:t>
      </w:r>
    </w:p>
    <w:p>
      <w:pPr>
        <w:spacing w:after="0" w:line="102" w:lineRule="exact"/>
        <w:rPr>
          <w:rFonts w:ascii="Times New Roman" w:cs="Times New Roman" w:eastAsia="Times New Roman" w:hAnsi="Times New Roman"/>
          <w:sz w:val="15"/>
          <w:szCs w:val="15"/>
          <w:color w:val="auto"/>
        </w:rPr>
      </w:pPr>
    </w:p>
    <w:p>
      <w:pPr>
        <w:ind w:left="1920" w:right="180" w:hanging="354"/>
        <w:spacing w:after="0" w:line="276" w:lineRule="auto"/>
        <w:tabs>
          <w:tab w:leader="none" w:pos="19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indicated in this prospectus, including those set forth under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and any risk factors described in any amendments or supplements to this prospectus and in the documents incorporated by reference herein.</w:t>
      </w:r>
    </w:p>
    <w:p>
      <w:pPr>
        <w:spacing w:after="0" w:line="8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0160"/>
          </w:cols>
          <w:pgMar w:left="300" w:top="400" w:right="1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84" w:lineRule="exact"/>
        <w:rPr>
          <w:sz w:val="20"/>
          <w:szCs w:val="20"/>
          <w:color w:val="auto"/>
        </w:rPr>
      </w:pPr>
    </w:p>
    <w:p>
      <w:pPr>
        <w:ind w:left="1120" w:right="59" w:firstLine="362"/>
        <w:spacing w:after="0" w:line="260" w:lineRule="auto"/>
        <w:rPr>
          <w:sz w:val="20"/>
          <w:szCs w:val="20"/>
          <w:color w:val="auto"/>
        </w:rPr>
      </w:pPr>
      <w:r>
        <w:rPr>
          <w:rFonts w:ascii="Times New Roman" w:cs="Times New Roman" w:eastAsia="Times New Roman" w:hAnsi="Times New Roman"/>
          <w:sz w:val="15"/>
          <w:szCs w:val="15"/>
          <w:color w:val="auto"/>
        </w:rPr>
        <w:t>We will retain broad discretion over the use of the net proceeds to us from the sale of our securities under this prospectus. Unless otherwise provided in the applicable prospectus supplement, we currently expect to use the net proceeds that we receive from this offering for working capital and other general corporate purposes.</w:t>
      </w:r>
    </w:p>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DESCRIPTION OF CAPITAL STOCK</w:t>
      </w:r>
    </w:p>
    <w:p>
      <w:pPr>
        <w:spacing w:after="0" w:line="184" w:lineRule="exact"/>
        <w:rPr>
          <w:sz w:val="20"/>
          <w:szCs w:val="20"/>
          <w:color w:val="auto"/>
        </w:rPr>
      </w:pPr>
    </w:p>
    <w:p>
      <w:pPr>
        <w:ind w:left="1120" w:right="399" w:firstLine="362"/>
        <w:spacing w:after="0" w:line="273" w:lineRule="auto"/>
        <w:rPr>
          <w:sz w:val="20"/>
          <w:szCs w:val="20"/>
          <w:color w:val="auto"/>
        </w:rPr>
      </w:pPr>
      <w:r>
        <w:rPr>
          <w:rFonts w:ascii="Times New Roman" w:cs="Times New Roman" w:eastAsia="Times New Roman" w:hAnsi="Times New Roman"/>
          <w:sz w:val="15"/>
          <w:szCs w:val="15"/>
          <w:color w:val="auto"/>
        </w:rPr>
        <w:t>The description of our capital stock is incorporated by reference to Exhibit 4.9 to our Annual Report on Form 10-K for the fiscal year ended December 31, 2024, filed with the SEC on March 20, 2025.</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0159"/>
          </w:cols>
          <w:pgMar w:left="300" w:top="400"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DESCRIPTION OF DEBT SECURITIES</w:t>
      </w:r>
    </w:p>
    <w:p>
      <w:pPr>
        <w:spacing w:after="0" w:line="184" w:lineRule="exact"/>
        <w:rPr>
          <w:sz w:val="20"/>
          <w:szCs w:val="20"/>
          <w:color w:val="auto"/>
        </w:rPr>
      </w:pPr>
    </w:p>
    <w:p>
      <w:pPr>
        <w:ind w:left="1120" w:right="180" w:firstLine="362"/>
        <w:spacing w:after="0" w:line="255" w:lineRule="auto"/>
        <w:rPr>
          <w:sz w:val="20"/>
          <w:szCs w:val="20"/>
          <w:color w:val="auto"/>
        </w:rPr>
      </w:pPr>
      <w:r>
        <w:rPr>
          <w:rFonts w:ascii="Times New Roman" w:cs="Times New Roman" w:eastAsia="Times New Roman" w:hAnsi="Times New Roman"/>
          <w:sz w:val="15"/>
          <w:szCs w:val="15"/>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53" w:lineRule="exact"/>
        <w:rPr>
          <w:sz w:val="20"/>
          <w:szCs w:val="20"/>
          <w:color w:val="auto"/>
        </w:rPr>
      </w:pPr>
    </w:p>
    <w:p>
      <w:pPr>
        <w:jc w:val="both"/>
        <w:ind w:left="1120" w:firstLine="362"/>
        <w:spacing w:after="0" w:line="260" w:lineRule="auto"/>
        <w:rPr>
          <w:sz w:val="20"/>
          <w:szCs w:val="20"/>
          <w:color w:val="auto"/>
        </w:rPr>
      </w:pPr>
      <w:r>
        <w:rPr>
          <w:rFonts w:ascii="Times New Roman" w:cs="Times New Roman" w:eastAsia="Times New Roman" w:hAnsi="Times New Roman"/>
          <w:sz w:val="15"/>
          <w:szCs w:val="15"/>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49" w:lineRule="exact"/>
        <w:rPr>
          <w:sz w:val="20"/>
          <w:szCs w:val="20"/>
          <w:color w:val="auto"/>
        </w:rPr>
      </w:pPr>
    </w:p>
    <w:p>
      <w:pPr>
        <w:ind w:left="1120" w:right="200" w:firstLine="362"/>
        <w:spacing w:after="0" w:line="253" w:lineRule="auto"/>
        <w:rPr>
          <w:sz w:val="20"/>
          <w:szCs w:val="20"/>
          <w:color w:val="auto"/>
        </w:rPr>
      </w:pPr>
      <w:r>
        <w:rPr>
          <w:rFonts w:ascii="Times New Roman" w:cs="Times New Roman" w:eastAsia="Times New Roman" w:hAnsi="Times New Roman"/>
          <w:sz w:val="15"/>
          <w:szCs w:val="15"/>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95" w:lineRule="exact"/>
        <w:rPr>
          <w:sz w:val="20"/>
          <w:szCs w:val="20"/>
          <w:color w:val="auto"/>
        </w:rPr>
      </w:pPr>
    </w:p>
    <w:p>
      <w:pPr>
        <w:ind w:left="1120" w:right="20" w:firstLine="362"/>
        <w:spacing w:after="0" w:line="260" w:lineRule="auto"/>
        <w:rPr>
          <w:sz w:val="20"/>
          <w:szCs w:val="20"/>
          <w:color w:val="auto"/>
        </w:rPr>
      </w:pPr>
      <w:r>
        <w:rPr>
          <w:rFonts w:ascii="Times New Roman" w:cs="Times New Roman" w:eastAsia="Times New Roman" w:hAnsi="Times New Roman"/>
          <w:sz w:val="15"/>
          <w:szCs w:val="15"/>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49" w:lineRule="exact"/>
        <w:rPr>
          <w:sz w:val="20"/>
          <w:szCs w:val="20"/>
          <w:color w:val="auto"/>
        </w:rPr>
      </w:pPr>
    </w:p>
    <w:p>
      <w:pPr>
        <w:jc w:val="both"/>
        <w:ind w:left="1120" w:right="120" w:firstLine="362"/>
        <w:spacing w:after="0" w:line="260" w:lineRule="auto"/>
        <w:rPr>
          <w:sz w:val="20"/>
          <w:szCs w:val="20"/>
          <w:color w:val="auto"/>
        </w:rPr>
      </w:pPr>
      <w:r>
        <w:rPr>
          <w:rFonts w:ascii="Times New Roman" w:cs="Times New Roman" w:eastAsia="Times New Roman" w:hAnsi="Times New Roman"/>
          <w:sz w:val="15"/>
          <w:szCs w:val="15"/>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1920" w:hanging="354"/>
        <w:spacing w:after="0"/>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and ranking of the debt securities (including the terms of any subordination provisions);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or prices (expressed as a percentage of the principal amount) at which we will sell the debt securities;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limit upon the aggregate principal amount of the debt securities;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on which the principal of the securities of the series is payable;</w:t>
      </w:r>
    </w:p>
    <w:p>
      <w:pPr>
        <w:spacing w:after="0" w:line="104" w:lineRule="exact"/>
        <w:rPr>
          <w:rFonts w:ascii="Times New Roman" w:cs="Times New Roman" w:eastAsia="Times New Roman" w:hAnsi="Times New Roman"/>
          <w:sz w:val="15"/>
          <w:szCs w:val="15"/>
          <w:color w:val="auto"/>
        </w:rPr>
      </w:pPr>
    </w:p>
    <w:p>
      <w:pPr>
        <w:ind w:left="1920" w:right="120" w:hanging="354"/>
        <w:spacing w:after="0" w:line="255" w:lineRule="auto"/>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5" w:lineRule="exact"/>
        <w:rPr>
          <w:rFonts w:ascii="Times New Roman" w:cs="Times New Roman" w:eastAsia="Times New Roman" w:hAnsi="Times New Roman"/>
          <w:sz w:val="15"/>
          <w:szCs w:val="15"/>
          <w:color w:val="auto"/>
        </w:rPr>
      </w:pPr>
    </w:p>
    <w:p>
      <w:pPr>
        <w:jc w:val="both"/>
        <w:ind w:left="1920" w:right="60" w:hanging="354"/>
        <w:spacing w:after="0" w:line="260" w:lineRule="auto"/>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1" w:lineRule="exact"/>
        <w:rPr>
          <w:rFonts w:ascii="Times New Roman" w:cs="Times New Roman" w:eastAsia="Times New Roman" w:hAnsi="Times New Roman"/>
          <w:sz w:val="15"/>
          <w:szCs w:val="15"/>
          <w:color w:val="auto"/>
        </w:rPr>
      </w:pPr>
    </w:p>
    <w:p>
      <w:pPr>
        <w:ind w:left="1920" w:right="580" w:hanging="354"/>
        <w:spacing w:after="0" w:line="273" w:lineRule="auto"/>
        <w:tabs>
          <w:tab w:leader="none" w:pos="19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period or periods within which, the price or prices at which and the terms and conditions upon which we may redeem the debt securities;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0160"/>
          </w:cols>
          <w:pgMar w:left="300" w:top="400" w:right="1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920" w:right="39" w:hanging="354"/>
        <w:spacing w:after="0" w:line="260" w:lineRule="auto"/>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71" w:lineRule="exact"/>
        <w:rPr>
          <w:rFonts w:ascii="Times New Roman" w:cs="Times New Roman" w:eastAsia="Times New Roman" w:hAnsi="Times New Roman"/>
          <w:sz w:val="15"/>
          <w:szCs w:val="15"/>
          <w:color w:val="auto"/>
        </w:rPr>
      </w:pPr>
    </w:p>
    <w:p>
      <w:pPr>
        <w:ind w:left="1920" w:right="279" w:hanging="354"/>
        <w:spacing w:after="0" w:line="273" w:lineRule="auto"/>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dates on which and the price or prices at which we will repurchase debt securities at the option of the holders of debt securities and other detailed terms and provisions of these repurchase obligations;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denominations in which the debt securities will be issued, if other than denominations of $1,000 and any integral multiple thereof;</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debt securities will be issued in the form of certificated debt securities or global debt securities;</w:t>
      </w:r>
    </w:p>
    <w:p>
      <w:pPr>
        <w:spacing w:after="0" w:line="104" w:lineRule="exact"/>
        <w:rPr>
          <w:rFonts w:ascii="Times New Roman" w:cs="Times New Roman" w:eastAsia="Times New Roman" w:hAnsi="Times New Roman"/>
          <w:sz w:val="15"/>
          <w:szCs w:val="15"/>
          <w:color w:val="auto"/>
        </w:rPr>
      </w:pPr>
    </w:p>
    <w:p>
      <w:pPr>
        <w:ind w:left="1920" w:right="479" w:hanging="354"/>
        <w:spacing w:after="0" w:line="273" w:lineRule="auto"/>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principal amount of the debt securities payable upon declaration of acceleration of the maturity date, if other than the principal amount;</w:t>
      </w:r>
    </w:p>
    <w:p>
      <w:pPr>
        <w:spacing w:after="0" w:line="61" w:lineRule="exact"/>
        <w:rPr>
          <w:rFonts w:ascii="Times New Roman" w:cs="Times New Roman" w:eastAsia="Times New Roman" w:hAnsi="Times New Roman"/>
          <w:sz w:val="15"/>
          <w:szCs w:val="15"/>
          <w:color w:val="auto"/>
        </w:rPr>
      </w:pPr>
    </w:p>
    <w:p>
      <w:pPr>
        <w:ind w:left="1920" w:right="219" w:hanging="354"/>
        <w:spacing w:after="0" w:line="273" w:lineRule="auto"/>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1" w:lineRule="exact"/>
        <w:rPr>
          <w:rFonts w:ascii="Times New Roman" w:cs="Times New Roman" w:eastAsia="Times New Roman" w:hAnsi="Times New Roman"/>
          <w:sz w:val="15"/>
          <w:szCs w:val="15"/>
          <w:color w:val="auto"/>
        </w:rPr>
      </w:pPr>
    </w:p>
    <w:p>
      <w:pPr>
        <w:ind w:left="1920" w:right="99" w:hanging="354"/>
        <w:spacing w:after="0" w:line="273" w:lineRule="auto"/>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of the currency, currencies or currency units in which payment of principal of, premium and interest on the debt securities will be made;</w:t>
      </w:r>
    </w:p>
    <w:p>
      <w:pPr>
        <w:spacing w:after="0" w:line="61" w:lineRule="exact"/>
        <w:rPr>
          <w:rFonts w:ascii="Times New Roman" w:cs="Times New Roman" w:eastAsia="Times New Roman" w:hAnsi="Times New Roman"/>
          <w:sz w:val="15"/>
          <w:szCs w:val="15"/>
          <w:color w:val="auto"/>
        </w:rPr>
      </w:pPr>
    </w:p>
    <w:p>
      <w:pPr>
        <w:ind w:left="1920" w:right="119" w:hanging="354"/>
        <w:spacing w:after="0" w:line="260" w:lineRule="auto"/>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71" w:lineRule="exact"/>
        <w:rPr>
          <w:rFonts w:ascii="Times New Roman" w:cs="Times New Roman" w:eastAsia="Times New Roman" w:hAnsi="Times New Roman"/>
          <w:sz w:val="15"/>
          <w:szCs w:val="15"/>
          <w:color w:val="auto"/>
        </w:rPr>
      </w:pPr>
    </w:p>
    <w:p>
      <w:pPr>
        <w:jc w:val="both"/>
        <w:ind w:left="1920" w:right="59" w:hanging="354"/>
        <w:spacing w:after="0" w:line="260" w:lineRule="auto"/>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relating to any security provided for the debt securities;</w:t>
      </w:r>
    </w:p>
    <w:p>
      <w:pPr>
        <w:spacing w:after="0" w:line="104" w:lineRule="exact"/>
        <w:rPr>
          <w:rFonts w:ascii="Times New Roman" w:cs="Times New Roman" w:eastAsia="Times New Roman" w:hAnsi="Times New Roman"/>
          <w:sz w:val="15"/>
          <w:szCs w:val="15"/>
          <w:color w:val="auto"/>
        </w:rPr>
      </w:pPr>
    </w:p>
    <w:p>
      <w:pPr>
        <w:ind w:left="1920" w:right="99" w:hanging="354"/>
        <w:spacing w:after="0" w:line="310" w:lineRule="auto"/>
        <w:tabs>
          <w:tab w:leader="none" w:pos="19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38" w:lineRule="exact"/>
        <w:rPr>
          <w:rFonts w:ascii="Times New Roman" w:cs="Times New Roman" w:eastAsia="Times New Roman" w:hAnsi="Times New Roman"/>
          <w:sz w:val="14"/>
          <w:szCs w:val="14"/>
          <w:color w:val="auto"/>
        </w:rPr>
      </w:pPr>
    </w:p>
    <w:p>
      <w:pPr>
        <w:ind w:left="1920" w:hanging="354"/>
        <w:spacing w:after="0"/>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 to, deletion of or change in the covenants described in this prospectus or in the indenture with respect to the debt securities;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depositaries, interest rate calculation agents, exchange rate calculation agents or other agents with respect to the debt securities;</w:t>
      </w:r>
    </w:p>
    <w:p>
      <w:pPr>
        <w:spacing w:after="0" w:line="104" w:lineRule="exact"/>
        <w:rPr>
          <w:rFonts w:ascii="Times New Roman" w:cs="Times New Roman" w:eastAsia="Times New Roman" w:hAnsi="Times New Roman"/>
          <w:sz w:val="15"/>
          <w:szCs w:val="15"/>
          <w:color w:val="auto"/>
        </w:rPr>
      </w:pPr>
    </w:p>
    <w:p>
      <w:pPr>
        <w:ind w:left="1920" w:right="199" w:hanging="354"/>
        <w:spacing w:after="0" w:line="260" w:lineRule="auto"/>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71" w:lineRule="exact"/>
        <w:rPr>
          <w:rFonts w:ascii="Times New Roman" w:cs="Times New Roman" w:eastAsia="Times New Roman" w:hAnsi="Times New Roman"/>
          <w:sz w:val="15"/>
          <w:szCs w:val="15"/>
          <w:color w:val="auto"/>
        </w:rPr>
      </w:pPr>
    </w:p>
    <w:p>
      <w:pPr>
        <w:ind w:left="1920" w:right="199" w:hanging="354"/>
        <w:spacing w:after="0" w:line="273" w:lineRule="auto"/>
        <w:tabs>
          <w:tab w:leader="none" w:pos="19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any of our direct or indirect subsidiaries will guarantee the debt securities of that series, including the terms of subordination, if any, of such guarantees.</w:t>
      </w:r>
    </w:p>
    <w:p>
      <w:pPr>
        <w:spacing w:after="0" w:line="140" w:lineRule="exact"/>
        <w:rPr>
          <w:sz w:val="20"/>
          <w:szCs w:val="20"/>
          <w:color w:val="auto"/>
        </w:rPr>
      </w:pPr>
    </w:p>
    <w:p>
      <w:pPr>
        <w:ind w:left="1120" w:right="79" w:firstLine="362"/>
        <w:spacing w:after="0" w:line="260" w:lineRule="auto"/>
        <w:rPr>
          <w:sz w:val="20"/>
          <w:szCs w:val="20"/>
          <w:color w:val="auto"/>
        </w:rPr>
      </w:pPr>
      <w:r>
        <w:rPr>
          <w:rFonts w:ascii="Times New Roman" w:cs="Times New Roman" w:eastAsia="Times New Roman" w:hAnsi="Times New Roman"/>
          <w:sz w:val="15"/>
          <w:szCs w:val="15"/>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49" w:lineRule="exact"/>
        <w:rPr>
          <w:sz w:val="20"/>
          <w:szCs w:val="20"/>
          <w:color w:val="auto"/>
        </w:rPr>
      </w:pPr>
    </w:p>
    <w:p>
      <w:pPr>
        <w:ind w:left="1120" w:right="219" w:firstLine="362"/>
        <w:spacing w:after="0" w:line="273" w:lineRule="auto"/>
        <w:rPr>
          <w:sz w:val="20"/>
          <w:szCs w:val="20"/>
          <w:color w:val="auto"/>
        </w:rPr>
      </w:pPr>
      <w:r>
        <w:rPr>
          <w:rFonts w:ascii="Times New Roman" w:cs="Times New Roman" w:eastAsia="Times New Roman" w:hAnsi="Times New Roman"/>
          <w:sz w:val="15"/>
          <w:szCs w:val="15"/>
          <w:color w:val="auto"/>
        </w:rPr>
        <w:t>If we denominate the purchase price of any of the debt securities in a foreign currency or currencies or a foreign currency unit or units, or if the principal of and any premium and interest on any series of debt securities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0159"/>
          </w:cols>
          <w:pgMar w:left="300" w:top="400"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200"/>
        <w:spacing w:after="0" w:line="260" w:lineRule="auto"/>
        <w:rPr>
          <w:sz w:val="20"/>
          <w:szCs w:val="20"/>
          <w:color w:val="auto"/>
        </w:rPr>
      </w:pPr>
      <w:r>
        <w:rPr>
          <w:rFonts w:ascii="Times New Roman" w:cs="Times New Roman" w:eastAsia="Times New Roman" w:hAnsi="Times New Roman"/>
          <w:sz w:val="15"/>
          <w:szCs w:val="15"/>
          <w:color w:val="auto"/>
        </w:rPr>
        <w:t>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Transfer and Exchange</w:t>
      </w:r>
    </w:p>
    <w:p>
      <w:pPr>
        <w:spacing w:after="0" w:line="95" w:lineRule="exact"/>
        <w:rPr>
          <w:sz w:val="20"/>
          <w:szCs w:val="20"/>
          <w:color w:val="auto"/>
        </w:rPr>
      </w:pPr>
    </w:p>
    <w:p>
      <w:pPr>
        <w:ind w:left="1120" w:firstLine="362"/>
        <w:spacing w:after="0" w:line="275"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a clearing agency registered under the Securities Exchange Act of 1934, as amended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w:t>
      </w:r>
      <w:r>
        <w:rPr>
          <w:rFonts w:ascii="Times New Roman" w:cs="Times New Roman" w:eastAsia="Times New Roman" w:hAnsi="Times New Roman"/>
          <w:sz w:val="14"/>
          <w:szCs w:val="14"/>
          <w:i w:val="1"/>
          <w:iCs w:val="1"/>
          <w:color w:val="auto"/>
        </w:rPr>
        <w:t>Global Debt Securities and Book-Entry System</w:t>
      </w:r>
      <w:r>
        <w:rPr>
          <w:rFonts w:ascii="Times New Roman" w:cs="Times New Roman" w:eastAsia="Times New Roman" w:hAnsi="Times New Roman"/>
          <w:sz w:val="14"/>
          <w:szCs w:val="14"/>
          <w:color w:val="auto"/>
        </w:rPr>
        <w:t>” below, book-entry debt securities will not be issuable in certificated form.</w:t>
      </w:r>
    </w:p>
    <w:p>
      <w:pPr>
        <w:spacing w:after="0" w:line="2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Certificated Debt Securities</w:t>
      </w:r>
    </w:p>
    <w:p>
      <w:pPr>
        <w:spacing w:after="0" w:line="97" w:lineRule="exact"/>
        <w:rPr>
          <w:sz w:val="20"/>
          <w:szCs w:val="20"/>
          <w:color w:val="auto"/>
        </w:rPr>
      </w:pPr>
    </w:p>
    <w:p>
      <w:pPr>
        <w:jc w:val="both"/>
        <w:ind w:left="1120" w:right="60" w:firstLine="362"/>
        <w:spacing w:after="0" w:line="260" w:lineRule="auto"/>
        <w:rPr>
          <w:sz w:val="20"/>
          <w:szCs w:val="20"/>
          <w:color w:val="auto"/>
        </w:rPr>
      </w:pPr>
      <w:r>
        <w:rPr>
          <w:rFonts w:ascii="Times New Roman" w:cs="Times New Roman" w:eastAsia="Times New Roman" w:hAnsi="Times New Roman"/>
          <w:sz w:val="15"/>
          <w:szCs w:val="15"/>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49" w:lineRule="exact"/>
        <w:rPr>
          <w:sz w:val="20"/>
          <w:szCs w:val="20"/>
          <w:color w:val="auto"/>
        </w:rPr>
      </w:pPr>
    </w:p>
    <w:p>
      <w:pPr>
        <w:ind w:left="1120" w:right="80" w:firstLine="362"/>
        <w:spacing w:after="0" w:line="260" w:lineRule="auto"/>
        <w:rPr>
          <w:sz w:val="20"/>
          <w:szCs w:val="20"/>
          <w:color w:val="auto"/>
        </w:rPr>
      </w:pPr>
      <w:r>
        <w:rPr>
          <w:rFonts w:ascii="Times New Roman" w:cs="Times New Roman" w:eastAsia="Times New Roman" w:hAnsi="Times New Roman"/>
          <w:sz w:val="15"/>
          <w:szCs w:val="15"/>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3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i w:val="1"/>
          <w:iCs w:val="1"/>
          <w:color w:val="auto"/>
        </w:rPr>
        <w:t>Global Debt Securities and Book-Entry System</w:t>
      </w:r>
    </w:p>
    <w:p>
      <w:pPr>
        <w:spacing w:after="0" w:line="97" w:lineRule="exact"/>
        <w:rPr>
          <w:sz w:val="20"/>
          <w:szCs w:val="20"/>
          <w:color w:val="auto"/>
        </w:rPr>
      </w:pPr>
    </w:p>
    <w:p>
      <w:pPr>
        <w:ind w:left="1120" w:right="20" w:firstLine="362"/>
        <w:spacing w:after="0" w:line="273" w:lineRule="auto"/>
        <w:rPr>
          <w:sz w:val="20"/>
          <w:szCs w:val="20"/>
          <w:color w:val="auto"/>
        </w:rPr>
      </w:pPr>
      <w:r>
        <w:rPr>
          <w:rFonts w:ascii="Times New Roman" w:cs="Times New Roman" w:eastAsia="Times New Roman" w:hAnsi="Times New Roman"/>
          <w:sz w:val="15"/>
          <w:szCs w:val="15"/>
          <w:color w:val="auto"/>
        </w:rPr>
        <w:t>Each global debt security representing book-entry debt securities will be deposited with, or on behalf of, the depositary, and registered in the name of the depositary or a nominee of the depositary.</w:t>
      </w:r>
    </w:p>
    <w:p>
      <w:pPr>
        <w:spacing w:after="0" w:line="2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Covenants</w:t>
      </w:r>
    </w:p>
    <w:p>
      <w:pPr>
        <w:spacing w:after="0" w:line="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We will set forth in the applicable prospectus supplement any restrictive covenants applicable to any issue of debt securities.</w:t>
      </w:r>
    </w:p>
    <w:p>
      <w:pPr>
        <w:spacing w:after="0" w:line="26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No Protection in the Event of a Change of Control</w:t>
      </w:r>
    </w:p>
    <w:p>
      <w:pPr>
        <w:spacing w:after="0" w:line="95" w:lineRule="exact"/>
        <w:rPr>
          <w:sz w:val="20"/>
          <w:szCs w:val="20"/>
          <w:color w:val="auto"/>
        </w:rPr>
      </w:pPr>
    </w:p>
    <w:p>
      <w:pPr>
        <w:ind w:left="1120" w:right="20" w:firstLine="362"/>
        <w:spacing w:after="0" w:line="260" w:lineRule="auto"/>
        <w:rPr>
          <w:sz w:val="20"/>
          <w:szCs w:val="20"/>
          <w:color w:val="auto"/>
        </w:rPr>
      </w:pPr>
      <w:r>
        <w:rPr>
          <w:rFonts w:ascii="Times New Roman" w:cs="Times New Roman" w:eastAsia="Times New Roman" w:hAnsi="Times New Roman"/>
          <w:sz w:val="15"/>
          <w:szCs w:val="15"/>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Consolidation, Merger and Sale of Assets</w:t>
      </w:r>
    </w:p>
    <w:p>
      <w:pPr>
        <w:spacing w:after="0" w:line="95" w:lineRule="exact"/>
        <w:rPr>
          <w:sz w:val="20"/>
          <w:szCs w:val="20"/>
          <w:color w:val="auto"/>
        </w:rPr>
      </w:pPr>
    </w:p>
    <w:p>
      <w:pPr>
        <w:ind w:left="1120" w:right="160" w:firstLine="362"/>
        <w:spacing w:after="0" w:line="273" w:lineRule="auto"/>
        <w:rPr>
          <w:sz w:val="20"/>
          <w:szCs w:val="20"/>
          <w:color w:val="auto"/>
        </w:rPr>
      </w:pPr>
      <w:r>
        <w:rPr>
          <w:rFonts w:ascii="Times New Roman" w:cs="Times New Roman" w:eastAsia="Times New Roman" w:hAnsi="Times New Roman"/>
          <w:sz w:val="15"/>
          <w:szCs w:val="15"/>
          <w:color w:val="auto"/>
        </w:rPr>
        <w:t>We may not consolidate with or merge with or into, or convey, transfer or lease all or substantially all of our properties and assets to any person, which we refer to as a successor person, unless:</w:t>
      </w:r>
    </w:p>
    <w:p>
      <w:pPr>
        <w:spacing w:after="0" w:line="62" w:lineRule="exact"/>
        <w:rPr>
          <w:sz w:val="20"/>
          <w:szCs w:val="20"/>
          <w:color w:val="auto"/>
        </w:rPr>
      </w:pPr>
    </w:p>
    <w:p>
      <w:pPr>
        <w:ind w:left="1920" w:right="60" w:hanging="354"/>
        <w:spacing w:after="0" w:line="273" w:lineRule="auto"/>
        <w:tabs>
          <w:tab w:leader="none" w:pos="19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0160"/>
          </w:cols>
          <w:pgMar w:left="300" w:top="400" w:right="1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jc w:val="both"/>
        <w:ind w:left="1480" w:right="1080" w:firstLine="86"/>
        <w:spacing w:after="0" w:line="574" w:lineRule="auto"/>
        <w:tabs>
          <w:tab w:leader="none" w:pos="19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 Notwithstanding the above, any of our subsidiaries may consolidate with, merge into or transfer all or part of its properties to us.</w:t>
      </w:r>
    </w:p>
    <w:p>
      <w:pPr>
        <w:spacing w:after="0" w:line="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Events of Default</w:t>
      </w:r>
    </w:p>
    <w:p>
      <w:pPr>
        <w:spacing w:after="0" w:line="9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“Event of Default” means with respect to any series of debt securities, any of the following:</w:t>
      </w:r>
    </w:p>
    <w:p>
      <w:pPr>
        <w:spacing w:after="0" w:line="105" w:lineRule="exact"/>
        <w:rPr>
          <w:sz w:val="20"/>
          <w:szCs w:val="20"/>
          <w:color w:val="auto"/>
        </w:rPr>
      </w:pPr>
    </w:p>
    <w:p>
      <w:pPr>
        <w:ind w:left="1920" w:right="140" w:hanging="354"/>
        <w:spacing w:after="0" w:line="260" w:lineRule="auto"/>
        <w:tabs>
          <w:tab w:leader="none" w:pos="19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principal of any security of that series at its maturity;</w:t>
      </w:r>
    </w:p>
    <w:p>
      <w:pPr>
        <w:spacing w:after="0" w:line="104" w:lineRule="exact"/>
        <w:rPr>
          <w:rFonts w:ascii="Times New Roman" w:cs="Times New Roman" w:eastAsia="Times New Roman" w:hAnsi="Times New Roman"/>
          <w:sz w:val="15"/>
          <w:szCs w:val="15"/>
          <w:color w:val="auto"/>
        </w:rPr>
      </w:pPr>
    </w:p>
    <w:p>
      <w:pPr>
        <w:ind w:left="1920" w:right="80" w:hanging="354"/>
        <w:spacing w:after="0" w:line="255" w:lineRule="auto"/>
        <w:tabs>
          <w:tab w:leader="none" w:pos="19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75"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voluntary or involuntary events of bankruptcy, insolvency or reorganization of us; and</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 that is described in the applicable prospectus supplement.</w:t>
      </w:r>
    </w:p>
    <w:p>
      <w:pPr>
        <w:spacing w:after="0" w:line="194" w:lineRule="exact"/>
        <w:rPr>
          <w:sz w:val="20"/>
          <w:szCs w:val="20"/>
          <w:color w:val="auto"/>
        </w:rPr>
      </w:pPr>
    </w:p>
    <w:p>
      <w:pPr>
        <w:ind w:left="1120" w:right="60" w:firstLine="362"/>
        <w:spacing w:after="0" w:line="287" w:lineRule="auto"/>
        <w:rPr>
          <w:sz w:val="20"/>
          <w:szCs w:val="20"/>
          <w:color w:val="auto"/>
        </w:rPr>
      </w:pPr>
      <w:r>
        <w:rPr>
          <w:rFonts w:ascii="Times New Roman" w:cs="Times New Roman" w:eastAsia="Times New Roman" w:hAnsi="Times New Roman"/>
          <w:sz w:val="14"/>
          <w:szCs w:val="14"/>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32" w:lineRule="exact"/>
        <w:rPr>
          <w:sz w:val="20"/>
          <w:szCs w:val="20"/>
          <w:color w:val="auto"/>
        </w:rPr>
      </w:pPr>
    </w:p>
    <w:p>
      <w:pPr>
        <w:ind w:left="1120" w:right="80" w:firstLine="362"/>
        <w:spacing w:after="0" w:line="260" w:lineRule="auto"/>
        <w:rPr>
          <w:sz w:val="20"/>
          <w:szCs w:val="20"/>
          <w:color w:val="auto"/>
        </w:rPr>
      </w:pPr>
      <w:r>
        <w:rPr>
          <w:rFonts w:ascii="Times New Roman" w:cs="Times New Roman" w:eastAsia="Times New Roman" w:hAnsi="Times New Roman"/>
          <w:sz w:val="15"/>
          <w:szCs w:val="15"/>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49" w:lineRule="exact"/>
        <w:rPr>
          <w:sz w:val="20"/>
          <w:szCs w:val="20"/>
          <w:color w:val="auto"/>
        </w:rPr>
      </w:pPr>
    </w:p>
    <w:p>
      <w:pPr>
        <w:ind w:left="1120" w:firstLine="362"/>
        <w:spacing w:after="0" w:line="268"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0160"/>
          </w:cols>
          <w:pgMar w:left="300" w:top="400" w:right="1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119" w:firstLine="362"/>
        <w:spacing w:after="0" w:line="253" w:lineRule="auto"/>
        <w:rPr>
          <w:sz w:val="20"/>
          <w:szCs w:val="20"/>
          <w:color w:val="auto"/>
        </w:rPr>
      </w:pPr>
      <w:r>
        <w:rPr>
          <w:rFonts w:ascii="Times New Roman" w:cs="Times New Roman" w:eastAsia="Times New Roman" w:hAnsi="Times New Roman"/>
          <w:sz w:val="15"/>
          <w:szCs w:val="15"/>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55" w:lineRule="exact"/>
        <w:rPr>
          <w:sz w:val="20"/>
          <w:szCs w:val="20"/>
          <w:color w:val="auto"/>
        </w:rPr>
      </w:pPr>
    </w:p>
    <w:p>
      <w:pPr>
        <w:ind w:left="1120" w:right="139" w:firstLine="362"/>
        <w:spacing w:after="0" w:line="273" w:lineRule="auto"/>
        <w:rPr>
          <w:sz w:val="20"/>
          <w:szCs w:val="20"/>
          <w:color w:val="auto"/>
        </w:rPr>
      </w:pPr>
      <w:r>
        <w:rPr>
          <w:rFonts w:ascii="Times New Roman" w:cs="Times New Roman" w:eastAsia="Times New Roman" w:hAnsi="Times New Roman"/>
          <w:sz w:val="15"/>
          <w:szCs w:val="15"/>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2" w:lineRule="exact"/>
        <w:rPr>
          <w:sz w:val="20"/>
          <w:szCs w:val="20"/>
          <w:color w:val="auto"/>
        </w:rPr>
      </w:pPr>
    </w:p>
    <w:p>
      <w:pPr>
        <w:ind w:left="1920" w:right="119" w:hanging="354"/>
        <w:spacing w:after="0" w:line="273" w:lineRule="auto"/>
        <w:tabs>
          <w:tab w:leader="none" w:pos="19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holder has previously given to the trustee written notice of a continuing Event of Default with respect to debt securities of that series; and</w:t>
      </w:r>
    </w:p>
    <w:p>
      <w:pPr>
        <w:spacing w:after="0" w:line="61" w:lineRule="exact"/>
        <w:rPr>
          <w:rFonts w:ascii="Times New Roman" w:cs="Times New Roman" w:eastAsia="Times New Roman" w:hAnsi="Times New Roman"/>
          <w:sz w:val="15"/>
          <w:szCs w:val="15"/>
          <w:color w:val="auto"/>
        </w:rPr>
      </w:pPr>
    </w:p>
    <w:p>
      <w:pPr>
        <w:ind w:left="1920" w:right="39" w:hanging="354"/>
        <w:spacing w:after="0" w:line="255" w:lineRule="auto"/>
        <w:tabs>
          <w:tab w:leader="none" w:pos="19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53" w:lineRule="exact"/>
        <w:rPr>
          <w:sz w:val="20"/>
          <w:szCs w:val="20"/>
          <w:color w:val="auto"/>
        </w:rPr>
      </w:pPr>
    </w:p>
    <w:p>
      <w:pPr>
        <w:ind w:left="1120" w:right="159" w:firstLine="362"/>
        <w:spacing w:after="0" w:line="260" w:lineRule="auto"/>
        <w:rPr>
          <w:sz w:val="20"/>
          <w:szCs w:val="20"/>
          <w:color w:val="auto"/>
        </w:rPr>
      </w:pPr>
      <w:r>
        <w:rPr>
          <w:rFonts w:ascii="Times New Roman" w:cs="Times New Roman" w:eastAsia="Times New Roman" w:hAnsi="Times New Roman"/>
          <w:sz w:val="15"/>
          <w:szCs w:val="15"/>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49" w:lineRule="exact"/>
        <w:rPr>
          <w:sz w:val="20"/>
          <w:szCs w:val="20"/>
          <w:color w:val="auto"/>
        </w:rPr>
      </w:pPr>
    </w:p>
    <w:p>
      <w:pPr>
        <w:ind w:left="1120" w:right="19" w:firstLine="362"/>
        <w:spacing w:after="0" w:line="251" w:lineRule="auto"/>
        <w:rPr>
          <w:sz w:val="20"/>
          <w:szCs w:val="20"/>
          <w:color w:val="auto"/>
        </w:rPr>
      </w:pPr>
      <w:r>
        <w:rPr>
          <w:rFonts w:ascii="Times New Roman" w:cs="Times New Roman" w:eastAsia="Times New Roman" w:hAnsi="Times New Roman"/>
          <w:sz w:val="15"/>
          <w:szCs w:val="15"/>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Modification and Waiver</w:t>
      </w:r>
    </w:p>
    <w:p>
      <w:pPr>
        <w:spacing w:after="0" w:line="95" w:lineRule="exact"/>
        <w:rPr>
          <w:sz w:val="20"/>
          <w:szCs w:val="20"/>
          <w:color w:val="auto"/>
        </w:rPr>
      </w:pPr>
    </w:p>
    <w:p>
      <w:pPr>
        <w:ind w:left="1120" w:right="199" w:firstLine="362"/>
        <w:spacing w:after="0" w:line="273" w:lineRule="auto"/>
        <w:rPr>
          <w:sz w:val="20"/>
          <w:szCs w:val="20"/>
          <w:color w:val="auto"/>
        </w:rPr>
      </w:pPr>
      <w:r>
        <w:rPr>
          <w:rFonts w:ascii="Times New Roman" w:cs="Times New Roman" w:eastAsia="Times New Roman" w:hAnsi="Times New Roman"/>
          <w:sz w:val="15"/>
          <w:szCs w:val="15"/>
          <w:color w:val="auto"/>
        </w:rPr>
        <w:t>We and the trustee may modify, amend or supplement the indenture or the debt securities of any series without the consent of any holder of any debt security:</w:t>
      </w:r>
    </w:p>
    <w:p>
      <w:pPr>
        <w:spacing w:after="0" w:line="62" w:lineRule="exact"/>
        <w:rPr>
          <w:sz w:val="20"/>
          <w:szCs w:val="20"/>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defect or inconsistency;</w:t>
      </w:r>
    </w:p>
    <w:p>
      <w:pPr>
        <w:spacing w:after="0" w:line="102"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covenants in the indenture described above under the heading “</w:t>
      </w:r>
      <w:r>
        <w:rPr>
          <w:rFonts w:ascii="Times New Roman" w:cs="Times New Roman" w:eastAsia="Times New Roman" w:hAnsi="Times New Roman"/>
          <w:sz w:val="15"/>
          <w:szCs w:val="15"/>
          <w:i w:val="1"/>
          <w:iCs w:val="1"/>
          <w:color w:val="auto"/>
        </w:rPr>
        <w:t>Consolidation, Merger and Sale of Assets</w:t>
      </w:r>
      <w:r>
        <w:rPr>
          <w:rFonts w:ascii="Times New Roman" w:cs="Times New Roman" w:eastAsia="Times New Roman" w:hAnsi="Times New Roman"/>
          <w:sz w:val="15"/>
          <w:szCs w:val="15"/>
          <w:color w:val="auto"/>
        </w:rPr>
        <w:t>”;</w:t>
      </w:r>
    </w:p>
    <w:p>
      <w:pPr>
        <w:spacing w:after="0" w:line="106"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uncertificated securities in addition to or in place of certificated securities;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guarantees with respect to debt securities of any series or secure debt securities of any series;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surrender any of our rights or powers under the indenture;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covenants or events of default for the benefit of the holders of debt securities of any series;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the applicable procedures of the applicable depositary;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change that does not adversely affect the rights of any holder of debt securities;</w:t>
      </w:r>
    </w:p>
    <w:p>
      <w:pPr>
        <w:spacing w:after="0" w:line="104" w:lineRule="exact"/>
        <w:rPr>
          <w:rFonts w:ascii="Times New Roman" w:cs="Times New Roman" w:eastAsia="Times New Roman" w:hAnsi="Times New Roman"/>
          <w:sz w:val="15"/>
          <w:szCs w:val="15"/>
          <w:color w:val="auto"/>
        </w:rPr>
      </w:pPr>
    </w:p>
    <w:p>
      <w:pPr>
        <w:ind w:left="5580" w:right="19" w:hanging="4014"/>
        <w:spacing w:after="0" w:line="442" w:lineRule="auto"/>
        <w:tabs>
          <w:tab w:leader="none" w:pos="193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the issuance of and establish the form and terms and conditions of debt securities of any series as permitted by the indenture; 15</w:t>
      </w:r>
    </w:p>
    <w:p>
      <w:pPr>
        <w:sectPr>
          <w:pgSz w:w="11900" w:h="16838" w:orient="portrait"/>
          <w:cols w:equalWidth="0" w:num="1">
            <w:col w:w="10159"/>
          </w:cols>
          <w:pgMar w:left="300" w:top="400"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920" w:right="620" w:hanging="354"/>
        <w:spacing w:after="0" w:line="273" w:lineRule="auto"/>
        <w:tabs>
          <w:tab w:leader="none" w:pos="19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requirements of the SEC in order to effect or maintain the qualification of the indenture under the Trust Indenture Act.</w:t>
      </w:r>
    </w:p>
    <w:p>
      <w:pPr>
        <w:spacing w:after="0" w:line="182" w:lineRule="exact"/>
        <w:rPr>
          <w:sz w:val="20"/>
          <w:szCs w:val="20"/>
          <w:color w:val="auto"/>
        </w:rPr>
      </w:pPr>
    </w:p>
    <w:p>
      <w:pPr>
        <w:jc w:val="both"/>
        <w:ind w:left="1120" w:right="260" w:firstLine="362"/>
        <w:spacing w:after="0" w:line="260" w:lineRule="auto"/>
        <w:rPr>
          <w:sz w:val="20"/>
          <w:szCs w:val="20"/>
          <w:color w:val="auto"/>
        </w:rPr>
      </w:pPr>
      <w:r>
        <w:rPr>
          <w:rFonts w:ascii="Times New Roman" w:cs="Times New Roman" w:eastAsia="Times New Roman" w:hAnsi="Times New Roman"/>
          <w:sz w:val="15"/>
          <w:szCs w:val="15"/>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71" w:lineRule="exact"/>
        <w:rPr>
          <w:sz w:val="20"/>
          <w:szCs w:val="20"/>
          <w:color w:val="auto"/>
        </w:rPr>
      </w:pPr>
    </w:p>
    <w:p>
      <w:pPr>
        <w:ind w:left="1920" w:hanging="354"/>
        <w:spacing w:after="0"/>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amount of debt securities whose holders must consent to an amendment, supplement or waiver;</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rate of or extend the time for payment of interest (including default interest) on any debt security;</w:t>
      </w:r>
    </w:p>
    <w:p>
      <w:pPr>
        <w:spacing w:after="0" w:line="104" w:lineRule="exact"/>
        <w:rPr>
          <w:rFonts w:ascii="Times New Roman" w:cs="Times New Roman" w:eastAsia="Times New Roman" w:hAnsi="Times New Roman"/>
          <w:sz w:val="15"/>
          <w:szCs w:val="15"/>
          <w:color w:val="auto"/>
        </w:rPr>
      </w:pPr>
    </w:p>
    <w:p>
      <w:pPr>
        <w:ind w:left="1920" w:right="20" w:hanging="354"/>
        <w:spacing w:after="0" w:line="273" w:lineRule="auto"/>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amount of discount securities payable upon acceleration of maturity;</w:t>
      </w:r>
    </w:p>
    <w:p>
      <w:pPr>
        <w:spacing w:after="0" w:line="104" w:lineRule="exact"/>
        <w:rPr>
          <w:rFonts w:ascii="Times New Roman" w:cs="Times New Roman" w:eastAsia="Times New Roman" w:hAnsi="Times New Roman"/>
          <w:sz w:val="15"/>
          <w:szCs w:val="15"/>
          <w:color w:val="auto"/>
        </w:rPr>
      </w:pPr>
    </w:p>
    <w:p>
      <w:pPr>
        <w:ind w:left="1920" w:right="80" w:hanging="354"/>
        <w:spacing w:after="0" w:line="260" w:lineRule="auto"/>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the principal of or premium or interest on any debt security payable in currency other than that stated in the debt security;</w:t>
      </w:r>
    </w:p>
    <w:p>
      <w:pPr>
        <w:spacing w:after="0" w:line="104" w:lineRule="exact"/>
        <w:rPr>
          <w:rFonts w:ascii="Times New Roman" w:cs="Times New Roman" w:eastAsia="Times New Roman" w:hAnsi="Times New Roman"/>
          <w:sz w:val="15"/>
          <w:szCs w:val="15"/>
          <w:color w:val="auto"/>
        </w:rPr>
      </w:pPr>
    </w:p>
    <w:p>
      <w:pPr>
        <w:ind w:left="1920" w:hanging="354"/>
        <w:spacing w:after="0" w:line="260" w:lineRule="auto"/>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7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 redemption payment with respect to any debt security.</w:t>
      </w:r>
    </w:p>
    <w:p>
      <w:pPr>
        <w:spacing w:after="0" w:line="182" w:lineRule="exact"/>
        <w:rPr>
          <w:sz w:val="20"/>
          <w:szCs w:val="20"/>
          <w:color w:val="auto"/>
        </w:rPr>
      </w:pPr>
    </w:p>
    <w:p>
      <w:pPr>
        <w:ind w:left="1120" w:right="60" w:firstLine="362"/>
        <w:spacing w:after="0" w:line="252" w:lineRule="auto"/>
        <w:rPr>
          <w:sz w:val="20"/>
          <w:szCs w:val="20"/>
          <w:color w:val="auto"/>
        </w:rPr>
      </w:pPr>
      <w:r>
        <w:rPr>
          <w:rFonts w:ascii="Times New Roman" w:cs="Times New Roman" w:eastAsia="Times New Roman" w:hAnsi="Times New Roman"/>
          <w:sz w:val="15"/>
          <w:szCs w:val="15"/>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Defeasance of Debt Securities and Certain Covenants in Certain Circumstances</w:t>
      </w:r>
    </w:p>
    <w:p>
      <w:pPr>
        <w:spacing w:after="0" w:line="9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i w:val="1"/>
          <w:iCs w:val="1"/>
          <w:color w:val="auto"/>
        </w:rPr>
        <w:t>Legal Defeasance</w:t>
      </w:r>
    </w:p>
    <w:p>
      <w:pPr>
        <w:spacing w:after="0" w:line="95" w:lineRule="exact"/>
        <w:rPr>
          <w:sz w:val="20"/>
          <w:szCs w:val="20"/>
          <w:color w:val="auto"/>
        </w:rPr>
      </w:pPr>
    </w:p>
    <w:p>
      <w:pPr>
        <w:ind w:left="1120" w:right="20" w:firstLine="362"/>
        <w:spacing w:after="0" w:line="255" w:lineRule="auto"/>
        <w:rPr>
          <w:sz w:val="20"/>
          <w:szCs w:val="20"/>
          <w:color w:val="auto"/>
        </w:rPr>
      </w:pPr>
      <w:r>
        <w:rPr>
          <w:rFonts w:ascii="Times New Roman" w:cs="Times New Roman" w:eastAsia="Times New Roman" w:hAnsi="Times New Roman"/>
          <w:sz w:val="15"/>
          <w:szCs w:val="15"/>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0160"/>
          </w:cols>
          <w:pgMar w:left="300" w:top="400" w:right="1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2">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139"/>
        <w:spacing w:after="0" w:line="255" w:lineRule="auto"/>
        <w:rPr>
          <w:sz w:val="20"/>
          <w:szCs w:val="20"/>
          <w:color w:val="auto"/>
        </w:rPr>
      </w:pPr>
      <w:r>
        <w:rPr>
          <w:rFonts w:ascii="Times New Roman" w:cs="Times New Roman" w:eastAsia="Times New Roman" w:hAnsi="Times New Roman"/>
          <w:sz w:val="15"/>
          <w:szCs w:val="15"/>
          <w:color w:val="auto"/>
        </w:rPr>
        <w:t>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53" w:lineRule="exact"/>
        <w:rPr>
          <w:sz w:val="20"/>
          <w:szCs w:val="20"/>
          <w:color w:val="auto"/>
        </w:rPr>
      </w:pPr>
    </w:p>
    <w:p>
      <w:pPr>
        <w:ind w:left="1120" w:right="99" w:firstLine="362"/>
        <w:spacing w:after="0" w:line="252" w:lineRule="auto"/>
        <w:rPr>
          <w:sz w:val="20"/>
          <w:szCs w:val="20"/>
          <w:color w:val="auto"/>
        </w:rPr>
      </w:pPr>
      <w:r>
        <w:rPr>
          <w:rFonts w:ascii="Times New Roman" w:cs="Times New Roman" w:eastAsia="Times New Roman" w:hAnsi="Times New Roman"/>
          <w:sz w:val="15"/>
          <w:szCs w:val="15"/>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i w:val="1"/>
          <w:iCs w:val="1"/>
          <w:color w:val="auto"/>
        </w:rPr>
        <w:t>Defeasance of Certain Covenants</w:t>
      </w:r>
    </w:p>
    <w:p>
      <w:pPr>
        <w:spacing w:after="0" w:line="95" w:lineRule="exact"/>
        <w:rPr>
          <w:sz w:val="20"/>
          <w:szCs w:val="20"/>
          <w:color w:val="auto"/>
        </w:rPr>
      </w:pPr>
    </w:p>
    <w:p>
      <w:pPr>
        <w:ind w:left="1120" w:right="399" w:firstLine="362"/>
        <w:spacing w:after="0" w:line="273" w:lineRule="auto"/>
        <w:rPr>
          <w:sz w:val="20"/>
          <w:szCs w:val="20"/>
          <w:color w:val="auto"/>
        </w:rPr>
      </w:pPr>
      <w:r>
        <w:rPr>
          <w:rFonts w:ascii="Times New Roman" w:cs="Times New Roman" w:eastAsia="Times New Roman" w:hAnsi="Times New Roman"/>
          <w:sz w:val="15"/>
          <w:szCs w:val="15"/>
          <w:color w:val="auto"/>
        </w:rPr>
        <w:t>The indenture provides that, unless otherwise provided by the terms of the applicable series of debt securities, upon compliance with certain conditions:</w:t>
      </w:r>
    </w:p>
    <w:p>
      <w:pPr>
        <w:spacing w:after="0" w:line="60" w:lineRule="exact"/>
        <w:rPr>
          <w:sz w:val="20"/>
          <w:szCs w:val="20"/>
          <w:color w:val="auto"/>
        </w:rPr>
      </w:pPr>
    </w:p>
    <w:p>
      <w:pPr>
        <w:ind w:left="1920" w:right="179" w:hanging="354"/>
        <w:spacing w:after="0" w:line="261" w:lineRule="auto"/>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omit to comply with the covenant described under the heading “</w:t>
      </w:r>
      <w:r>
        <w:rPr>
          <w:rFonts w:ascii="Times New Roman" w:cs="Times New Roman" w:eastAsia="Times New Roman" w:hAnsi="Times New Roman"/>
          <w:sz w:val="15"/>
          <w:szCs w:val="15"/>
          <w:i w:val="1"/>
          <w:iCs w:val="1"/>
          <w:color w:val="auto"/>
        </w:rPr>
        <w:t>Consolidation, Merger and Sale of Assets</w:t>
      </w:r>
      <w:r>
        <w:rPr>
          <w:rFonts w:ascii="Times New Roman" w:cs="Times New Roman" w:eastAsia="Times New Roman" w:hAnsi="Times New Roman"/>
          <w:sz w:val="15"/>
          <w:szCs w:val="15"/>
          <w:color w:val="auto"/>
        </w:rPr>
        <w:t>” and certain other covenants set forth in the indenture, as well as any additional covenants which may be set forth in the applicable prospectus supplement; and</w:t>
      </w:r>
    </w:p>
    <w:p>
      <w:pPr>
        <w:spacing w:after="0" w:line="70" w:lineRule="exact"/>
        <w:rPr>
          <w:rFonts w:ascii="Times New Roman" w:cs="Times New Roman" w:eastAsia="Times New Roman" w:hAnsi="Times New Roman"/>
          <w:sz w:val="15"/>
          <w:szCs w:val="15"/>
          <w:color w:val="auto"/>
        </w:rPr>
      </w:pPr>
    </w:p>
    <w:p>
      <w:pPr>
        <w:ind w:left="1920" w:right="79" w:hanging="354"/>
        <w:spacing w:after="0" w:line="273" w:lineRule="auto"/>
        <w:tabs>
          <w:tab w:leader="none" w:pos="192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omission to comply with those covenants will not constitute a Default or an Event of Default with respect to the debt securities of that series.</w:t>
      </w:r>
    </w:p>
    <w:p>
      <w:pPr>
        <w:spacing w:after="0" w:line="1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We refer to this as covenant defeasance. The conditions include:</w:t>
      </w:r>
    </w:p>
    <w:p>
      <w:pPr>
        <w:spacing w:after="0" w:line="105" w:lineRule="exact"/>
        <w:rPr>
          <w:sz w:val="20"/>
          <w:szCs w:val="20"/>
          <w:color w:val="auto"/>
        </w:rPr>
      </w:pPr>
    </w:p>
    <w:p>
      <w:pPr>
        <w:ind w:left="1920" w:right="79" w:hanging="354"/>
        <w:spacing w:after="0" w:line="252" w:lineRule="auto"/>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76" w:lineRule="exact"/>
        <w:rPr>
          <w:rFonts w:ascii="Times New Roman" w:cs="Times New Roman" w:eastAsia="Times New Roman" w:hAnsi="Times New Roman"/>
          <w:sz w:val="15"/>
          <w:szCs w:val="15"/>
          <w:color w:val="auto"/>
        </w:rPr>
      </w:pPr>
    </w:p>
    <w:p>
      <w:pPr>
        <w:ind w:left="1920" w:right="59" w:hanging="354"/>
        <w:spacing w:after="0" w:line="273" w:lineRule="auto"/>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deposit will not result in a breach or violation of, or constitute a default under the indenture or any other agreement to which we are a party;</w:t>
      </w:r>
    </w:p>
    <w:p>
      <w:pPr>
        <w:spacing w:after="0" w:line="61" w:lineRule="exact"/>
        <w:rPr>
          <w:rFonts w:ascii="Times New Roman" w:cs="Times New Roman" w:eastAsia="Times New Roman" w:hAnsi="Times New Roman"/>
          <w:sz w:val="15"/>
          <w:szCs w:val="15"/>
          <w:color w:val="auto"/>
        </w:rPr>
      </w:pPr>
    </w:p>
    <w:p>
      <w:pPr>
        <w:ind w:left="1920" w:right="239" w:hanging="354"/>
        <w:spacing w:after="0" w:line="273" w:lineRule="auto"/>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Default or Event of Default with respect to the applicable series of debt securities shall have occurred or is continuing on the date of such deposit; and</w:t>
      </w:r>
    </w:p>
    <w:p>
      <w:pPr>
        <w:spacing w:after="0" w:line="61" w:lineRule="exact"/>
        <w:rPr>
          <w:rFonts w:ascii="Times New Roman" w:cs="Times New Roman" w:eastAsia="Times New Roman" w:hAnsi="Times New Roman"/>
          <w:sz w:val="15"/>
          <w:szCs w:val="15"/>
          <w:color w:val="auto"/>
        </w:rPr>
      </w:pPr>
    </w:p>
    <w:p>
      <w:pPr>
        <w:ind w:left="1920" w:right="39" w:hanging="354"/>
        <w:spacing w:after="0" w:line="252" w:lineRule="auto"/>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No Personal Liability of Directors, Officers, Employees or Stockholders</w:t>
      </w:r>
    </w:p>
    <w:p>
      <w:pPr>
        <w:spacing w:after="0" w:line="95" w:lineRule="exact"/>
        <w:rPr>
          <w:sz w:val="20"/>
          <w:szCs w:val="20"/>
          <w:color w:val="auto"/>
        </w:rPr>
      </w:pPr>
    </w:p>
    <w:p>
      <w:pPr>
        <w:ind w:left="1120" w:right="119" w:firstLine="362"/>
        <w:spacing w:after="0" w:line="273" w:lineRule="auto"/>
        <w:rPr>
          <w:sz w:val="20"/>
          <w:szCs w:val="20"/>
          <w:color w:val="auto"/>
        </w:rPr>
      </w:pPr>
      <w:r>
        <w:rPr>
          <w:rFonts w:ascii="Times New Roman" w:cs="Times New Roman" w:eastAsia="Times New Roman" w:hAnsi="Times New Roman"/>
          <w:sz w:val="15"/>
          <w:szCs w:val="15"/>
          <w:color w:val="auto"/>
        </w:rPr>
        <w:t>None of our past, present or future directors, officers, employees or stockholders, as such, will have any liability for any of our obligations under the debt securities or the indenture or for any claim based on, or in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0159"/>
          </w:cols>
          <w:pgMar w:left="300" w:top="400"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3">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219"/>
        <w:spacing w:after="0" w:line="260" w:lineRule="auto"/>
        <w:rPr>
          <w:sz w:val="20"/>
          <w:szCs w:val="20"/>
          <w:color w:val="auto"/>
        </w:rPr>
      </w:pPr>
      <w:r>
        <w:rPr>
          <w:rFonts w:ascii="Times New Roman" w:cs="Times New Roman" w:eastAsia="Times New Roman" w:hAnsi="Times New Roman"/>
          <w:sz w:val="15"/>
          <w:szCs w:val="15"/>
          <w:color w:val="auto"/>
        </w:rPr>
        <w:t>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95" w:lineRule="exact"/>
        <w:rPr>
          <w:sz w:val="20"/>
          <w:szCs w:val="20"/>
          <w:color w:val="auto"/>
        </w:rPr>
      </w:pPr>
    </w:p>
    <w:p>
      <w:pPr>
        <w:ind w:left="1120" w:right="459" w:firstLine="362"/>
        <w:spacing w:after="0" w:line="273" w:lineRule="auto"/>
        <w:rPr>
          <w:sz w:val="20"/>
          <w:szCs w:val="20"/>
          <w:color w:val="auto"/>
        </w:rPr>
      </w:pPr>
      <w:r>
        <w:rPr>
          <w:rFonts w:ascii="Times New Roman" w:cs="Times New Roman" w:eastAsia="Times New Roman" w:hAnsi="Times New Roman"/>
          <w:sz w:val="15"/>
          <w:szCs w:val="15"/>
          <w:color w:val="auto"/>
        </w:rPr>
        <w:t>The indenture and the debt securities, including any claim or controversy arising out of or relating to the indenture or the securities, will be governed by the laws of the State of New York.</w:t>
      </w:r>
    </w:p>
    <w:p>
      <w:pPr>
        <w:spacing w:after="0" w:line="140" w:lineRule="exact"/>
        <w:rPr>
          <w:sz w:val="20"/>
          <w:szCs w:val="20"/>
          <w:color w:val="auto"/>
        </w:rPr>
      </w:pPr>
    </w:p>
    <w:p>
      <w:pPr>
        <w:ind w:left="1120" w:right="59" w:firstLine="362"/>
        <w:spacing w:after="0" w:line="260" w:lineRule="auto"/>
        <w:rPr>
          <w:sz w:val="20"/>
          <w:szCs w:val="20"/>
          <w:color w:val="auto"/>
        </w:rPr>
      </w:pPr>
      <w:r>
        <w:rPr>
          <w:rFonts w:ascii="Times New Roman" w:cs="Times New Roman" w:eastAsia="Times New Roman" w:hAnsi="Times New Roman"/>
          <w:sz w:val="15"/>
          <w:szCs w:val="15"/>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49" w:lineRule="exact"/>
        <w:rPr>
          <w:sz w:val="20"/>
          <w:szCs w:val="20"/>
          <w:color w:val="auto"/>
        </w:rPr>
      </w:pPr>
    </w:p>
    <w:p>
      <w:pPr>
        <w:ind w:left="1120" w:right="59" w:firstLine="362"/>
        <w:spacing w:after="0" w:line="250" w:lineRule="auto"/>
        <w:rPr>
          <w:sz w:val="20"/>
          <w:szCs w:val="20"/>
          <w:color w:val="auto"/>
        </w:rPr>
      </w:pPr>
      <w:r>
        <w:rPr>
          <w:rFonts w:ascii="Times New Roman" w:cs="Times New Roman" w:eastAsia="Times New Roman" w:hAnsi="Times New Roman"/>
          <w:sz w:val="15"/>
          <w:szCs w:val="15"/>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0159"/>
          </w:cols>
          <w:pgMar w:left="300" w:top="400"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4">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DESCRIPTION OF WARRANTS</w:t>
      </w:r>
    </w:p>
    <w:p>
      <w:pPr>
        <w:spacing w:after="0" w:line="184" w:lineRule="exact"/>
        <w:rPr>
          <w:sz w:val="20"/>
          <w:szCs w:val="20"/>
          <w:color w:val="auto"/>
        </w:rPr>
      </w:pPr>
    </w:p>
    <w:p>
      <w:pPr>
        <w:jc w:val="both"/>
        <w:ind w:left="1120" w:right="100" w:firstLine="362"/>
        <w:spacing w:after="0" w:line="253" w:lineRule="auto"/>
        <w:rPr>
          <w:sz w:val="20"/>
          <w:szCs w:val="20"/>
          <w:color w:val="auto"/>
        </w:rPr>
      </w:pPr>
      <w:r>
        <w:rPr>
          <w:rFonts w:ascii="Times New Roman" w:cs="Times New Roman" w:eastAsia="Times New Roman" w:hAnsi="Times New Roman"/>
          <w:sz w:val="15"/>
          <w:szCs w:val="15"/>
          <w:color w:val="auto"/>
        </w:rPr>
        <w:t>We may issue warrants to purchase debt securities, preferred stock or Class A Common Stock. We may offer warrants separately or together with one or more additional warrants, debt securities, preferred stock or Class A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77" w:lineRule="exact"/>
        <w:rPr>
          <w:sz w:val="20"/>
          <w:szCs w:val="20"/>
          <w:color w:val="auto"/>
        </w:rPr>
      </w:pPr>
    </w:p>
    <w:p>
      <w:pPr>
        <w:ind w:left="1920" w:hanging="354"/>
        <w:spacing w:after="0"/>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specific designation and aggregate number of, and the offering price at which we will issue, the warrants;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or currency units in which the offering price, if any, and the exercise price are payable;</w:t>
      </w:r>
    </w:p>
    <w:p>
      <w:pPr>
        <w:spacing w:after="0" w:line="104" w:lineRule="exact"/>
        <w:rPr>
          <w:rFonts w:ascii="Times New Roman" w:cs="Times New Roman" w:eastAsia="Times New Roman" w:hAnsi="Times New Roman"/>
          <w:sz w:val="15"/>
          <w:szCs w:val="15"/>
          <w:color w:val="auto"/>
        </w:rPr>
      </w:pPr>
    </w:p>
    <w:p>
      <w:pPr>
        <w:ind w:left="1920" w:right="120" w:hanging="354"/>
        <w:spacing w:after="0" w:line="273" w:lineRule="auto"/>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warrants are to be sold separately or with other securities as parts of units;</w:t>
      </w:r>
    </w:p>
    <w:p>
      <w:pPr>
        <w:spacing w:after="0" w:line="104" w:lineRule="exact"/>
        <w:rPr>
          <w:rFonts w:ascii="Times New Roman" w:cs="Times New Roman" w:eastAsia="Times New Roman" w:hAnsi="Times New Roman"/>
          <w:sz w:val="15"/>
          <w:szCs w:val="15"/>
          <w:color w:val="auto"/>
        </w:rPr>
      </w:pPr>
    </w:p>
    <w:p>
      <w:pPr>
        <w:ind w:left="1920" w:right="120" w:hanging="354"/>
        <w:spacing w:after="0" w:line="273" w:lineRule="auto"/>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applicable material U.S. federal income tax consequences;</w:t>
      </w:r>
    </w:p>
    <w:p>
      <w:pPr>
        <w:spacing w:after="0" w:line="104" w:lineRule="exact"/>
        <w:rPr>
          <w:rFonts w:ascii="Times New Roman" w:cs="Times New Roman" w:eastAsia="Times New Roman" w:hAnsi="Times New Roman"/>
          <w:sz w:val="15"/>
          <w:szCs w:val="15"/>
          <w:color w:val="auto"/>
        </w:rPr>
      </w:pPr>
    </w:p>
    <w:p>
      <w:pPr>
        <w:ind w:left="1920" w:right="240" w:hanging="354"/>
        <w:spacing w:after="0" w:line="273" w:lineRule="auto"/>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identity of the warrant agent for the warrants and of any other depositaries, execution or paying agents, transfer agents, registrars or other agents;</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listing, if any, of the warrants or any securities purchasable upon exercise of the warrants on any securities exchange;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and terms of any equity securities purchasable upon exercise of the warrants;</w:t>
      </w:r>
    </w:p>
    <w:p>
      <w:pPr>
        <w:spacing w:after="0" w:line="104" w:lineRule="exact"/>
        <w:rPr>
          <w:rFonts w:ascii="Times New Roman" w:cs="Times New Roman" w:eastAsia="Times New Roman" w:hAnsi="Times New Roman"/>
          <w:sz w:val="15"/>
          <w:szCs w:val="15"/>
          <w:color w:val="auto"/>
        </w:rPr>
      </w:pPr>
    </w:p>
    <w:p>
      <w:pPr>
        <w:ind w:left="1920" w:right="560" w:hanging="354"/>
        <w:spacing w:after="0" w:line="273" w:lineRule="auto"/>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aggregate principal amount, currency and terms of any debt securities that may be purchased upon exercise of the warrants;</w:t>
      </w:r>
    </w:p>
    <w:p>
      <w:pPr>
        <w:spacing w:after="0" w:line="61" w:lineRule="exact"/>
        <w:rPr>
          <w:rFonts w:ascii="Times New Roman" w:cs="Times New Roman" w:eastAsia="Times New Roman" w:hAnsi="Times New Roman"/>
          <w:sz w:val="15"/>
          <w:szCs w:val="15"/>
          <w:color w:val="auto"/>
        </w:rPr>
      </w:pPr>
    </w:p>
    <w:p>
      <w:pPr>
        <w:ind w:left="1920" w:hanging="354"/>
        <w:spacing w:after="0" w:line="273" w:lineRule="auto"/>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designation and terms of the debt securities, preferred stock or Class A Common Stock with which the warrants are issued and the number of warrants issued with each security;</w:t>
      </w:r>
    </w:p>
    <w:p>
      <w:pPr>
        <w:spacing w:after="0" w:line="61" w:lineRule="exact"/>
        <w:rPr>
          <w:rFonts w:ascii="Times New Roman" w:cs="Times New Roman" w:eastAsia="Times New Roman" w:hAnsi="Times New Roman"/>
          <w:sz w:val="15"/>
          <w:szCs w:val="15"/>
          <w:color w:val="auto"/>
        </w:rPr>
      </w:pPr>
    </w:p>
    <w:p>
      <w:pPr>
        <w:ind w:left="1920" w:right="120" w:hanging="354"/>
        <w:spacing w:after="0" w:line="273" w:lineRule="auto"/>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date from and after which any warrants issued as part of a unit and the related debt securities, preferred stock or Class A Common Stock will be separately transferable;</w:t>
      </w:r>
    </w:p>
    <w:p>
      <w:pPr>
        <w:spacing w:after="0" w:line="61" w:lineRule="exact"/>
        <w:rPr>
          <w:rFonts w:ascii="Times New Roman" w:cs="Times New Roman" w:eastAsia="Times New Roman" w:hAnsi="Times New Roman"/>
          <w:sz w:val="15"/>
          <w:szCs w:val="15"/>
          <w:color w:val="auto"/>
        </w:rPr>
      </w:pPr>
    </w:p>
    <w:p>
      <w:pPr>
        <w:ind w:left="1920" w:right="60" w:hanging="354"/>
        <w:spacing w:after="0" w:line="273" w:lineRule="auto"/>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of preferred stock or the number of shares of Class A Common Stock purchasable upon exercise of a warrant and the price at which those shares may be purchased;</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minimum or maximum amount of the warrants that may be exercised at any one time;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information with respect to book-entry procedures, if any;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antidilution provisions, and other provisions for changes to or adjustment in the exercise price, of the warrants, if any;</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redemption or call provisions; and</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additional terms of the warrants, including terms, procedures and limitations relating to the exchange or exercise of the warrants.</w:t>
      </w:r>
    </w:p>
    <w:p>
      <w:pPr>
        <w:spacing w:after="0" w:line="1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0160"/>
          </w:cols>
          <w:pgMar w:left="300" w:top="400" w:right="1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5"/>
          <w:szCs w:val="15"/>
          <w:b w:val="1"/>
          <w:bCs w:val="1"/>
          <w:color w:val="auto"/>
        </w:rPr>
        <w:t>DESCRIPTION OF UNITS</w:t>
      </w:r>
    </w:p>
    <w:p>
      <w:pPr>
        <w:spacing w:after="0" w:line="184" w:lineRule="exact"/>
        <w:rPr>
          <w:sz w:val="20"/>
          <w:szCs w:val="20"/>
          <w:color w:val="auto"/>
        </w:rPr>
      </w:pPr>
    </w:p>
    <w:p>
      <w:pPr>
        <w:ind w:left="1120" w:right="300" w:firstLine="362"/>
        <w:spacing w:after="0" w:line="255" w:lineRule="auto"/>
        <w:rPr>
          <w:sz w:val="20"/>
          <w:szCs w:val="20"/>
          <w:color w:val="auto"/>
        </w:rPr>
      </w:pPr>
      <w:r>
        <w:rPr>
          <w:rFonts w:ascii="Times New Roman" w:cs="Times New Roman" w:eastAsia="Times New Roman" w:hAnsi="Times New Roman"/>
          <w:sz w:val="15"/>
          <w:szCs w:val="15"/>
          <w:color w:val="auto"/>
        </w:rPr>
        <w:t>We may issue units comprising two or more securities described in this prospectus in any combination. For example, we might issue units consisting of a combination of debt securities and warrants to purchase Class A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53" w:lineRule="exact"/>
        <w:rPr>
          <w:sz w:val="20"/>
          <w:szCs w:val="20"/>
          <w:color w:val="auto"/>
        </w:rPr>
      </w:pPr>
    </w:p>
    <w:p>
      <w:pPr>
        <w:ind w:left="1120" w:right="60" w:firstLine="362"/>
        <w:spacing w:after="0" w:line="252" w:lineRule="auto"/>
        <w:rPr>
          <w:sz w:val="20"/>
          <w:szCs w:val="20"/>
          <w:color w:val="auto"/>
        </w:rPr>
      </w:pPr>
      <w:r>
        <w:rPr>
          <w:rFonts w:ascii="Times New Roman" w:cs="Times New Roman" w:eastAsia="Times New Roman" w:hAnsi="Times New Roman"/>
          <w:sz w:val="15"/>
          <w:szCs w:val="15"/>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titled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ind w:left="1120" w:firstLine="362"/>
        <w:spacing w:after="0" w:line="273" w:lineRule="auto"/>
        <w:rPr>
          <w:sz w:val="20"/>
          <w:szCs w:val="20"/>
          <w:color w:val="auto"/>
        </w:rPr>
      </w:pPr>
      <w:r>
        <w:rPr>
          <w:rFonts w:ascii="Times New Roman" w:cs="Times New Roman" w:eastAsia="Times New Roman" w:hAnsi="Times New Roman"/>
          <w:sz w:val="15"/>
          <w:szCs w:val="15"/>
          <w:color w:val="auto"/>
        </w:rPr>
        <w:t>The prospectus supplement relating to any particular issuance of units will describe the terms of those units, including, to the extent applicable, the following:</w:t>
      </w:r>
    </w:p>
    <w:p>
      <w:pPr>
        <w:spacing w:after="0" w:line="62" w:lineRule="exact"/>
        <w:rPr>
          <w:sz w:val="20"/>
          <w:szCs w:val="20"/>
          <w:color w:val="auto"/>
        </w:rPr>
      </w:pPr>
    </w:p>
    <w:p>
      <w:pPr>
        <w:ind w:left="1920" w:right="400" w:hanging="354"/>
        <w:spacing w:after="0" w:line="273" w:lineRule="auto"/>
        <w:tabs>
          <w:tab w:leader="none" w:pos="19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and terms of the units and the securities comprising the units, including whether and under what circumstances those securities may be held or transferred separately;</w:t>
      </w:r>
    </w:p>
    <w:p>
      <w:pPr>
        <w:spacing w:after="0" w:line="61"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 for the issuance, payment, settlement, transfer or exchange of the units or of the securities comprising the units; and</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units will be issued in fully registered or global form.</w:t>
      </w:r>
    </w:p>
    <w:p>
      <w:pPr>
        <w:spacing w:after="0" w:line="1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20</w:t>
      </w:r>
    </w:p>
    <w:p>
      <w:pPr>
        <w:sectPr>
          <w:pgSz w:w="11900" w:h="16838" w:orient="portrait"/>
          <w:cols w:equalWidth="0" w:num="1">
            <w:col w:w="10160"/>
          </w:cols>
          <w:pgMar w:left="300" w:top="400" w:right="1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6">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8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We may sell securities:</w:t>
      </w:r>
    </w:p>
    <w:p>
      <w:pPr>
        <w:spacing w:after="0" w:line="105" w:lineRule="exact"/>
        <w:rPr>
          <w:sz w:val="20"/>
          <w:szCs w:val="20"/>
          <w:color w:val="auto"/>
        </w:rPr>
      </w:pPr>
    </w:p>
    <w:p>
      <w:pPr>
        <w:ind w:left="1920" w:hanging="354"/>
        <w:spacing w:after="0"/>
        <w:tabs>
          <w:tab w:leader="none" w:pos="19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underwriters;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dealers;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agents;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to purchasers; or</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 combination of any of these methods of sale.</w:t>
      </w:r>
    </w:p>
    <w:p>
      <w:pPr>
        <w:spacing w:after="0" w:line="1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In addition, we may issue the securities as a dividend or distribution or in a subscription rights offering to our existing securityholders.</w:t>
      </w:r>
    </w:p>
    <w:p>
      <w:pPr>
        <w:spacing w:after="0" w:line="182" w:lineRule="exact"/>
        <w:rPr>
          <w:sz w:val="20"/>
          <w:szCs w:val="20"/>
          <w:color w:val="auto"/>
        </w:rPr>
      </w:pPr>
    </w:p>
    <w:p>
      <w:pPr>
        <w:ind w:left="1120" w:right="59" w:firstLine="362"/>
        <w:spacing w:after="0" w:line="253" w:lineRule="auto"/>
        <w:rPr>
          <w:sz w:val="20"/>
          <w:szCs w:val="20"/>
          <w:color w:val="auto"/>
        </w:rPr>
      </w:pPr>
      <w:r>
        <w:rPr>
          <w:rFonts w:ascii="Times New Roman" w:cs="Times New Roman" w:eastAsia="Times New Roman" w:hAnsi="Times New Roman"/>
          <w:sz w:val="15"/>
          <w:szCs w:val="15"/>
          <w:color w:val="auto"/>
        </w:rPr>
        <w:t>We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5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The distribution of the securities may be effected from time to time in one or more transactions:</w:t>
      </w:r>
    </w:p>
    <w:p>
      <w:pPr>
        <w:spacing w:after="0" w:line="105" w:lineRule="exact"/>
        <w:rPr>
          <w:sz w:val="20"/>
          <w:szCs w:val="20"/>
          <w:color w:val="auto"/>
        </w:rPr>
      </w:pPr>
    </w:p>
    <w:p>
      <w:pPr>
        <w:ind w:left="1920" w:hanging="354"/>
        <w:spacing w:after="0"/>
        <w:tabs>
          <w:tab w:leader="none" w:pos="19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 fixed price or prices that may be changed from time to time;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market prices prevailing at the time of sale;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prices related to such prevailing market prices; or</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negotiated prices.</w:t>
      </w:r>
    </w:p>
    <w:p>
      <w:pPr>
        <w:spacing w:after="0" w:line="1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Each prospectus supplement will describe the method of distribution of the securities and any applicable restrictions.</w:t>
      </w:r>
    </w:p>
    <w:p>
      <w:pPr>
        <w:spacing w:after="0" w:line="182" w:lineRule="exact"/>
        <w:rPr>
          <w:sz w:val="20"/>
          <w:szCs w:val="20"/>
          <w:color w:val="auto"/>
        </w:rPr>
      </w:pPr>
    </w:p>
    <w:p>
      <w:pPr>
        <w:ind w:left="1120" w:right="19" w:firstLine="362"/>
        <w:spacing w:after="0" w:line="273" w:lineRule="auto"/>
        <w:rPr>
          <w:sz w:val="20"/>
          <w:szCs w:val="20"/>
          <w:color w:val="auto"/>
        </w:rPr>
      </w:pPr>
      <w:r>
        <w:rPr>
          <w:rFonts w:ascii="Times New Roman" w:cs="Times New Roman" w:eastAsia="Times New Roman" w:hAnsi="Times New Roman"/>
          <w:sz w:val="15"/>
          <w:szCs w:val="15"/>
          <w:color w:val="auto"/>
        </w:rPr>
        <w:t>The prospectus supplement with respect to the securities of a particular series will describe the terms of the offering of the securities, including the following:</w:t>
      </w:r>
    </w:p>
    <w:p>
      <w:pPr>
        <w:spacing w:after="0" w:line="62" w:lineRule="exact"/>
        <w:rPr>
          <w:sz w:val="20"/>
          <w:szCs w:val="20"/>
          <w:color w:val="auto"/>
        </w:rPr>
      </w:pPr>
    </w:p>
    <w:p>
      <w:pPr>
        <w:ind w:left="1920" w:hanging="354"/>
        <w:spacing w:after="0"/>
        <w:tabs>
          <w:tab w:leader="none" w:pos="19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of the agent or any underwriters;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public offering or purchase price;</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names of any selling securityholders;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discounts and commissions to be allowed or paid to the agent or underwriters;</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items constituting underwriting compensation;</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discounts and commissions to be allowed or paid to dealers; and</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exchanges on which the securities will be listed.</w:t>
      </w:r>
    </w:p>
    <w:p>
      <w:pPr>
        <w:spacing w:after="0" w:line="182" w:lineRule="exact"/>
        <w:rPr>
          <w:sz w:val="20"/>
          <w:szCs w:val="20"/>
          <w:color w:val="auto"/>
        </w:rPr>
      </w:pPr>
    </w:p>
    <w:p>
      <w:pPr>
        <w:ind w:left="1120" w:right="279" w:firstLine="362"/>
        <w:spacing w:after="0" w:line="260" w:lineRule="auto"/>
        <w:rPr>
          <w:sz w:val="20"/>
          <w:szCs w:val="20"/>
          <w:color w:val="auto"/>
        </w:rPr>
      </w:pPr>
      <w:r>
        <w:rPr>
          <w:rFonts w:ascii="Times New Roman" w:cs="Times New Roman" w:eastAsia="Times New Roman" w:hAnsi="Times New Roman"/>
          <w:sz w:val="15"/>
          <w:szCs w:val="15"/>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21</w:t>
      </w:r>
    </w:p>
    <w:p>
      <w:pPr>
        <w:sectPr>
          <w:pgSz w:w="11900" w:h="16838" w:orient="portrait"/>
          <w:cols w:equalWidth="0" w:num="1">
            <w:col w:w="10159"/>
          </w:cols>
          <w:pgMar w:left="300" w:top="400"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2" w:lineRule="exact"/>
        <w:rPr>
          <w:sz w:val="20"/>
          <w:szCs w:val="20"/>
          <w:color w:val="auto"/>
        </w:rPr>
      </w:pPr>
    </w:p>
    <w:p>
      <w:pPr>
        <w:ind w:left="1120" w:right="460" w:firstLine="362"/>
        <w:spacing w:after="0" w:line="273" w:lineRule="auto"/>
        <w:rPr>
          <w:sz w:val="20"/>
          <w:szCs w:val="20"/>
          <w:color w:val="auto"/>
        </w:rPr>
      </w:pPr>
      <w:r>
        <w:rPr>
          <w:rFonts w:ascii="Times New Roman" w:cs="Times New Roman" w:eastAsia="Times New Roman" w:hAnsi="Times New Roman"/>
          <w:sz w:val="15"/>
          <w:szCs w:val="15"/>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40" w:lineRule="exact"/>
        <w:rPr>
          <w:sz w:val="20"/>
          <w:szCs w:val="20"/>
          <w:color w:val="auto"/>
        </w:rPr>
      </w:pPr>
    </w:p>
    <w:p>
      <w:pPr>
        <w:ind w:left="1120" w:firstLine="362"/>
        <w:spacing w:after="0" w:line="273" w:lineRule="auto"/>
        <w:rPr>
          <w:sz w:val="20"/>
          <w:szCs w:val="20"/>
          <w:color w:val="auto"/>
        </w:rPr>
      </w:pPr>
      <w:r>
        <w:rPr>
          <w:rFonts w:ascii="Times New Roman" w:cs="Times New Roman" w:eastAsia="Times New Roman" w:hAnsi="Times New Roman"/>
          <w:sz w:val="15"/>
          <w:szCs w:val="15"/>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40" w:lineRule="exact"/>
        <w:rPr>
          <w:sz w:val="20"/>
          <w:szCs w:val="20"/>
          <w:color w:val="auto"/>
        </w:rPr>
      </w:pPr>
    </w:p>
    <w:p>
      <w:pPr>
        <w:ind w:left="1120" w:right="200" w:firstLine="362"/>
        <w:spacing w:after="0" w:line="273"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65" w:lineRule="exact"/>
        <w:rPr>
          <w:sz w:val="20"/>
          <w:szCs w:val="20"/>
          <w:color w:val="auto"/>
        </w:rPr>
      </w:pPr>
    </w:p>
    <w:p>
      <w:pPr>
        <w:ind w:left="1920" w:right="120" w:hanging="354"/>
        <w:spacing w:after="0" w:line="273" w:lineRule="auto"/>
        <w:tabs>
          <w:tab w:leader="none" w:pos="19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 by an institution of the securities covered under that contract shall not at the time of delivery be prohibited under the laws of the jurisdiction to which that institution is subject; and</w:t>
      </w:r>
    </w:p>
    <w:p>
      <w:pPr>
        <w:spacing w:after="0" w:line="61" w:lineRule="exact"/>
        <w:rPr>
          <w:rFonts w:ascii="Times New Roman" w:cs="Times New Roman" w:eastAsia="Times New Roman" w:hAnsi="Times New Roman"/>
          <w:sz w:val="15"/>
          <w:szCs w:val="15"/>
          <w:color w:val="auto"/>
        </w:rPr>
      </w:pPr>
    </w:p>
    <w:p>
      <w:pPr>
        <w:ind w:left="1920" w:right="160" w:hanging="354"/>
        <w:spacing w:after="0" w:line="273" w:lineRule="auto"/>
        <w:tabs>
          <w:tab w:leader="none" w:pos="19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securities are also being sold to underwriters acting as principals for their own account, the underwriters shall have purchased such securities not sold for delayed delivery.</w:t>
      </w:r>
    </w:p>
    <w:p>
      <w:pPr>
        <w:spacing w:after="0" w:line="140" w:lineRule="exact"/>
        <w:rPr>
          <w:sz w:val="20"/>
          <w:szCs w:val="20"/>
          <w:color w:val="auto"/>
        </w:rPr>
      </w:pPr>
    </w:p>
    <w:p>
      <w:pPr>
        <w:ind w:left="1120" w:right="120" w:firstLine="362"/>
        <w:spacing w:after="0" w:line="273" w:lineRule="auto"/>
        <w:rPr>
          <w:sz w:val="20"/>
          <w:szCs w:val="20"/>
          <w:color w:val="auto"/>
        </w:rPr>
      </w:pPr>
      <w:r>
        <w:rPr>
          <w:rFonts w:ascii="Times New Roman" w:cs="Times New Roman" w:eastAsia="Times New Roman" w:hAnsi="Times New Roman"/>
          <w:sz w:val="15"/>
          <w:szCs w:val="15"/>
          <w:color w:val="auto"/>
        </w:rPr>
        <w:t>The underwriters and other persons acting as agents will not have any responsibility in respect of the validity or performance of delayed delivery contracts.</w:t>
      </w:r>
    </w:p>
    <w:p>
      <w:pPr>
        <w:spacing w:after="0" w:line="140" w:lineRule="exact"/>
        <w:rPr>
          <w:sz w:val="20"/>
          <w:szCs w:val="20"/>
          <w:color w:val="auto"/>
        </w:rPr>
      </w:pPr>
    </w:p>
    <w:p>
      <w:pPr>
        <w:ind w:left="1120" w:right="60" w:firstLine="362"/>
        <w:spacing w:after="0" w:line="260" w:lineRule="auto"/>
        <w:rPr>
          <w:sz w:val="20"/>
          <w:szCs w:val="20"/>
          <w:color w:val="auto"/>
        </w:rPr>
      </w:pPr>
      <w:r>
        <w:rPr>
          <w:rFonts w:ascii="Times New Roman" w:cs="Times New Roman" w:eastAsia="Times New Roman" w:hAnsi="Times New Roman"/>
          <w:sz w:val="15"/>
          <w:szCs w:val="15"/>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49" w:lineRule="exact"/>
        <w:rPr>
          <w:sz w:val="20"/>
          <w:szCs w:val="20"/>
          <w:color w:val="auto"/>
        </w:rPr>
      </w:pPr>
    </w:p>
    <w:p>
      <w:pPr>
        <w:ind w:left="1120" w:firstLine="362"/>
        <w:spacing w:after="0" w:line="270" w:lineRule="auto"/>
        <w:rPr>
          <w:sz w:val="20"/>
          <w:szCs w:val="20"/>
          <w:color w:val="auto"/>
        </w:rPr>
      </w:pPr>
      <w:r>
        <w:rPr>
          <w:rFonts w:ascii="Times New Roman" w:cs="Times New Roman" w:eastAsia="Times New Roman" w:hAnsi="Times New Roman"/>
          <w:sz w:val="14"/>
          <w:szCs w:val="14"/>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47" w:lineRule="exact"/>
        <w:rPr>
          <w:sz w:val="20"/>
          <w:szCs w:val="20"/>
          <w:color w:val="auto"/>
        </w:rPr>
      </w:pPr>
    </w:p>
    <w:p>
      <w:pPr>
        <w:ind w:left="1120" w:firstLine="362"/>
        <w:spacing w:after="0" w:line="255" w:lineRule="auto"/>
        <w:rPr>
          <w:sz w:val="20"/>
          <w:szCs w:val="20"/>
          <w:color w:val="auto"/>
        </w:rPr>
      </w:pPr>
      <w:r>
        <w:rPr>
          <w:rFonts w:ascii="Times New Roman" w:cs="Times New Roman" w:eastAsia="Times New Roman" w:hAnsi="Times New Roman"/>
          <w:sz w:val="15"/>
          <w:szCs w:val="15"/>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before the original issue date for your securities, you may be required to make alternative settlement arrangements to prevent a failed settlement.</w:t>
      </w:r>
    </w:p>
    <w:p>
      <w:pPr>
        <w:spacing w:after="0" w:line="153" w:lineRule="exact"/>
        <w:rPr>
          <w:sz w:val="20"/>
          <w:szCs w:val="20"/>
          <w:color w:val="auto"/>
        </w:rPr>
      </w:pPr>
    </w:p>
    <w:p>
      <w:pPr>
        <w:ind w:left="1120" w:right="120" w:firstLine="362"/>
        <w:spacing w:after="0" w:line="273" w:lineRule="auto"/>
        <w:rPr>
          <w:sz w:val="20"/>
          <w:szCs w:val="20"/>
          <w:color w:val="auto"/>
        </w:rPr>
      </w:pPr>
      <w:r>
        <w:rPr>
          <w:rFonts w:ascii="Times New Roman" w:cs="Times New Roman" w:eastAsia="Times New Roman" w:hAnsi="Times New Roman"/>
          <w:sz w:val="15"/>
          <w:szCs w:val="15"/>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22</w:t>
      </w:r>
    </w:p>
    <w:p>
      <w:pPr>
        <w:sectPr>
          <w:pgSz w:w="11900" w:h="16838" w:orient="portrait"/>
          <w:cols w:equalWidth="0" w:num="1">
            <w:col w:w="10160"/>
          </w:cols>
          <w:pgMar w:left="300" w:top="400" w:right="1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VALIDITY OF THE SECURITIES</w:t>
      </w:r>
    </w:p>
    <w:p>
      <w:pPr>
        <w:spacing w:after="0" w:line="184" w:lineRule="exact"/>
        <w:rPr>
          <w:sz w:val="20"/>
          <w:szCs w:val="20"/>
          <w:color w:val="auto"/>
        </w:rPr>
      </w:pPr>
    </w:p>
    <w:p>
      <w:pPr>
        <w:ind w:left="1120" w:right="339" w:firstLine="362"/>
        <w:spacing w:after="0" w:line="273" w:lineRule="auto"/>
        <w:rPr>
          <w:sz w:val="20"/>
          <w:szCs w:val="20"/>
          <w:color w:val="auto"/>
        </w:rPr>
      </w:pPr>
      <w:r>
        <w:rPr>
          <w:rFonts w:ascii="Times New Roman" w:cs="Times New Roman" w:eastAsia="Times New Roman" w:hAnsi="Times New Roman"/>
          <w:sz w:val="15"/>
          <w:szCs w:val="15"/>
          <w:color w:val="auto"/>
        </w:rPr>
        <w:t>The validity of the securities offered hereby will be passed upon for us by Sullivan &amp; Cromwell LLP, New York, New York. Additional legal matters may be passed on for us, or any underwriters, dealers or agents by counsel we will name in the applicable prospectus supplement.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23</w:t>
      </w:r>
    </w:p>
    <w:p>
      <w:pPr>
        <w:sectPr>
          <w:pgSz w:w="11900" w:h="16838" w:orient="portrait"/>
          <w:cols w:equalWidth="0" w:num="1">
            <w:col w:w="10159"/>
          </w:cols>
          <w:pgMar w:left="300" w:top="400"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84" w:lineRule="exact"/>
        <w:rPr>
          <w:sz w:val="20"/>
          <w:szCs w:val="20"/>
          <w:color w:val="auto"/>
        </w:rPr>
      </w:pPr>
    </w:p>
    <w:p>
      <w:pPr>
        <w:jc w:val="both"/>
        <w:ind w:left="1120" w:right="379" w:firstLine="362"/>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of Bakkt Holdings, Inc. as of and for the year ended December 31, 2024 appearing in the Company’s Annual Report (Form 10-K) have been incorporated by reference herein in reliance upon the report of KPMG LLP, independent registered public accounting firm, included thereon, and incorporated by reference herein, and upon the authority of said firm as experts in accounting and auditing.</w:t>
      </w:r>
    </w:p>
    <w:p>
      <w:pPr>
        <w:spacing w:after="0" w:line="132" w:lineRule="exact"/>
        <w:rPr>
          <w:sz w:val="20"/>
          <w:szCs w:val="20"/>
          <w:color w:val="auto"/>
        </w:rPr>
      </w:pPr>
    </w:p>
    <w:p>
      <w:pPr>
        <w:ind w:left="1120" w:right="119" w:firstLine="362"/>
        <w:spacing w:after="0" w:line="252" w:lineRule="auto"/>
        <w:rPr>
          <w:sz w:val="20"/>
          <w:szCs w:val="20"/>
          <w:color w:val="auto"/>
        </w:rPr>
      </w:pPr>
      <w:r>
        <w:rPr>
          <w:rFonts w:ascii="Times New Roman" w:cs="Times New Roman" w:eastAsia="Times New Roman" w:hAnsi="Times New Roman"/>
          <w:sz w:val="15"/>
          <w:szCs w:val="15"/>
          <w:color w:val="auto"/>
        </w:rPr>
        <w:t>The consolidated financial statements of Bakkt Holdings, Inc., at December 31, 2023 and for each of the two years in the period ended December 31, 2023 appearing in the Company’s Annual Report (Form 10-K) for the period ended December 31, 2024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such reports pertaining to such financial statements (to the extent covered by consents filed with the Securities and Exchange Commission) given on the authority of such firm as experts in accounting and auditing.</w:t>
      </w:r>
    </w:p>
    <w:p>
      <w:pPr>
        <w:spacing w:after="0" w:line="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24</w:t>
      </w:r>
    </w:p>
    <w:p>
      <w:pPr>
        <w:sectPr>
          <w:pgSz w:w="11900" w:h="16838" w:orient="portrait"/>
          <w:cols w:equalWidth="0" w:num="1">
            <w:col w:w="10159"/>
          </w:cols>
          <w:pgMar w:left="300" w:top="400"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84" w:lineRule="exact"/>
        <w:rPr>
          <w:sz w:val="20"/>
          <w:szCs w:val="20"/>
          <w:color w:val="auto"/>
        </w:rPr>
      </w:pPr>
    </w:p>
    <w:p>
      <w:pPr>
        <w:ind w:left="1120" w:right="239" w:firstLine="362"/>
        <w:spacing w:after="0" w:line="260" w:lineRule="auto"/>
        <w:rPr>
          <w:sz w:val="20"/>
          <w:szCs w:val="20"/>
          <w:color w:val="auto"/>
        </w:rPr>
      </w:pPr>
      <w:r>
        <w:rPr>
          <w:rFonts w:ascii="Times New Roman" w:cs="Times New Roman" w:eastAsia="Times New Roman" w:hAnsi="Times New Roman"/>
          <w:sz w:val="15"/>
          <w:szCs w:val="15"/>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 xml:space="preserve">. Copies of certain information filed by us with the SEC are also available on our website at </w:t>
      </w:r>
      <w:r>
        <w:rPr>
          <w:rFonts w:ascii="Times New Roman" w:cs="Times New Roman" w:eastAsia="Times New Roman" w:hAnsi="Times New Roman"/>
          <w:sz w:val="15"/>
          <w:szCs w:val="15"/>
          <w:i w:val="1"/>
          <w:iCs w:val="1"/>
          <w:color w:val="auto"/>
        </w:rPr>
        <w:t>investors.bakkt.com</w:t>
      </w:r>
      <w:r>
        <w:rPr>
          <w:rFonts w:ascii="Times New Roman" w:cs="Times New Roman" w:eastAsia="Times New Roman" w:hAnsi="Times New Roman"/>
          <w:sz w:val="15"/>
          <w:szCs w:val="15"/>
          <w:color w:val="auto"/>
        </w:rPr>
        <w:t>. Information accessible on or through our website is not a part of this prospectus.</w:t>
      </w:r>
    </w:p>
    <w:p>
      <w:pPr>
        <w:spacing w:after="0" w:line="149" w:lineRule="exact"/>
        <w:rPr>
          <w:sz w:val="20"/>
          <w:szCs w:val="20"/>
          <w:color w:val="auto"/>
        </w:rPr>
      </w:pPr>
    </w:p>
    <w:p>
      <w:pPr>
        <w:ind w:left="1120" w:right="19" w:firstLine="362"/>
        <w:spacing w:after="0" w:line="251" w:lineRule="auto"/>
        <w:rPr>
          <w:sz w:val="20"/>
          <w:szCs w:val="20"/>
          <w:color w:val="auto"/>
        </w:rPr>
      </w:pPr>
      <w:r>
        <w:rPr>
          <w:rFonts w:ascii="Times New Roman" w:cs="Times New Roman" w:eastAsia="Times New Roman" w:hAnsi="Times New Roman"/>
          <w:sz w:val="15"/>
          <w:szCs w:val="15"/>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25</w:t>
      </w:r>
    </w:p>
    <w:p>
      <w:pPr>
        <w:sectPr>
          <w:pgSz w:w="11900" w:h="16838" w:orient="portrait"/>
          <w:cols w:equalWidth="0" w:num="1">
            <w:col w:w="10159"/>
          </w:cols>
          <w:pgMar w:left="300" w:top="400"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INCORPORATION BY REFERENCE</w:t>
      </w:r>
    </w:p>
    <w:p>
      <w:pPr>
        <w:spacing w:after="0" w:line="184" w:lineRule="exact"/>
        <w:rPr>
          <w:sz w:val="20"/>
          <w:szCs w:val="20"/>
          <w:color w:val="auto"/>
        </w:rPr>
      </w:pPr>
    </w:p>
    <w:p>
      <w:pPr>
        <w:ind w:left="1120" w:right="239" w:firstLine="362"/>
        <w:spacing w:after="0" w:line="273" w:lineRule="auto"/>
        <w:rPr>
          <w:sz w:val="20"/>
          <w:szCs w:val="20"/>
          <w:color w:val="auto"/>
        </w:rPr>
      </w:pPr>
      <w:r>
        <w:rPr>
          <w:rFonts w:ascii="Times New Roman" w:cs="Times New Roman" w:eastAsia="Times New Roman" w:hAnsi="Times New Roman"/>
          <w:sz w:val="15"/>
          <w:szCs w:val="15"/>
          <w:color w:val="auto"/>
        </w:rPr>
        <w:t>The SEC allows us to incorporate by reference much of the information that we file with the SEC, which means that we can disclose important information to you by referring you to those publicly available documents.</w:t>
      </w:r>
    </w:p>
    <w:p>
      <w:pPr>
        <w:spacing w:after="0" w:line="140" w:lineRule="exact"/>
        <w:rPr>
          <w:sz w:val="20"/>
          <w:szCs w:val="20"/>
          <w:color w:val="auto"/>
        </w:rPr>
      </w:pPr>
    </w:p>
    <w:p>
      <w:pPr>
        <w:ind w:left="1120" w:right="139" w:firstLine="362"/>
        <w:spacing w:after="0" w:line="270" w:lineRule="auto"/>
        <w:rPr>
          <w:sz w:val="20"/>
          <w:szCs w:val="20"/>
          <w:color w:val="auto"/>
        </w:rPr>
      </w:pPr>
      <w:r>
        <w:rPr>
          <w:rFonts w:ascii="Times New Roman" w:cs="Times New Roman" w:eastAsia="Times New Roman" w:hAnsi="Times New Roman"/>
          <w:sz w:val="14"/>
          <w:szCs w:val="14"/>
          <w:color w:val="auto"/>
        </w:rPr>
        <w:t>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69" w:lineRule="exact"/>
        <w:rPr>
          <w:sz w:val="20"/>
          <w:szCs w:val="20"/>
          <w:color w:val="auto"/>
        </w:rPr>
      </w:pPr>
    </w:p>
    <w:p>
      <w:pPr>
        <w:ind w:left="1920" w:hanging="354"/>
        <w:spacing w:after="0"/>
        <w:tabs>
          <w:tab w:leader="none" w:pos="19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w:t>
      </w:r>
      <w:hyperlink r:id="rId41">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year ended December 31, 2024, filed with the SEC on March 20, 2025 (our “Annual Report”);</w:t>
      </w:r>
    </w:p>
    <w:p>
      <w:pPr>
        <w:spacing w:after="0" w:line="104" w:lineRule="exact"/>
        <w:rPr>
          <w:rFonts w:ascii="Times New Roman" w:cs="Times New Roman" w:eastAsia="Times New Roman" w:hAnsi="Times New Roman"/>
          <w:sz w:val="15"/>
          <w:szCs w:val="15"/>
          <w:color w:val="auto"/>
        </w:rPr>
      </w:pPr>
    </w:p>
    <w:p>
      <w:pPr>
        <w:ind w:left="1920" w:hanging="354"/>
        <w:spacing w:after="0"/>
        <w:tabs>
          <w:tab w:leader="none" w:pos="19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 on </w:t>
      </w:r>
      <w:hyperlink r:id="rId44">
        <w:r>
          <w:rPr>
            <w:rFonts w:ascii="Times New Roman" w:cs="Times New Roman" w:eastAsia="Times New Roman" w:hAnsi="Times New Roman"/>
            <w:sz w:val="15"/>
            <w:szCs w:val="15"/>
            <w:u w:val="single" w:color="auto"/>
            <w:color w:val="0000EE"/>
          </w:rPr>
          <w:t>Form 10-Q</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quarter ended March 31, 2025, filed with the SEC on May 12, 2025;</w:t>
      </w:r>
    </w:p>
    <w:p>
      <w:pPr>
        <w:spacing w:after="0" w:line="104" w:lineRule="exact"/>
        <w:rPr>
          <w:rFonts w:ascii="Times New Roman" w:cs="Times New Roman" w:eastAsia="Times New Roman" w:hAnsi="Times New Roman"/>
          <w:sz w:val="15"/>
          <w:szCs w:val="15"/>
          <w:color w:val="auto"/>
        </w:rPr>
      </w:pPr>
    </w:p>
    <w:p>
      <w:pPr>
        <w:ind w:left="1920" w:right="119" w:hanging="354"/>
        <w:spacing w:after="0" w:line="273" w:lineRule="auto"/>
        <w:tabs>
          <w:tab w:leader="none" w:pos="19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portions of our </w:t>
      </w:r>
      <w:hyperlink r:id="rId112">
        <w:r>
          <w:rPr>
            <w:rFonts w:ascii="Times New Roman" w:cs="Times New Roman" w:eastAsia="Times New Roman" w:hAnsi="Times New Roman"/>
            <w:sz w:val="15"/>
            <w:szCs w:val="15"/>
            <w:u w:val="single" w:color="auto"/>
            <w:color w:val="0000EE"/>
          </w:rPr>
          <w:t>Definitive Proxy Statement</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on Schedule 14A, filed with the SEC on April 28, 2025, that are incorporated by reference into our Annual Report;</w:t>
      </w:r>
    </w:p>
    <w:p>
      <w:pPr>
        <w:spacing w:after="0" w:line="61" w:lineRule="exact"/>
        <w:rPr>
          <w:rFonts w:ascii="Times New Roman" w:cs="Times New Roman" w:eastAsia="Times New Roman" w:hAnsi="Times New Roman"/>
          <w:sz w:val="15"/>
          <w:szCs w:val="15"/>
          <w:color w:val="auto"/>
        </w:rPr>
      </w:pPr>
    </w:p>
    <w:p>
      <w:pPr>
        <w:jc w:val="both"/>
        <w:ind w:left="1920" w:right="119" w:hanging="354"/>
        <w:spacing w:after="0" w:line="260" w:lineRule="auto"/>
        <w:tabs>
          <w:tab w:leader="none" w:pos="1920" w:val="left"/>
        </w:tabs>
        <w:numPr>
          <w:ilvl w:val="0"/>
          <w:numId w:val="46"/>
        </w:numPr>
        <w:rPr>
          <w:rFonts w:ascii="Times New Roman" w:cs="Times New Roman" w:eastAsia="Times New Roman" w:hAnsi="Times New Roman"/>
          <w:sz w:val="15"/>
          <w:szCs w:val="15"/>
          <w:color w:val="0000EE"/>
        </w:rPr>
      </w:pPr>
      <w:hyperlink r:id="rId47">
        <w:r>
          <w:rPr>
            <w:rFonts w:ascii="Times New Roman" w:cs="Times New Roman" w:eastAsia="Times New Roman" w:hAnsi="Times New Roman"/>
            <w:sz w:val="15"/>
            <w:szCs w:val="15"/>
            <w:color w:val="auto"/>
          </w:rPr>
          <w:t xml:space="preserve">our Current Reports on Form 8-K, filed with the SEC on </w:t>
        </w:r>
        <w:r>
          <w:rPr>
            <w:rFonts w:ascii="Times New Roman" w:cs="Times New Roman" w:eastAsia="Times New Roman" w:hAnsi="Times New Roman"/>
            <w:sz w:val="15"/>
            <w:szCs w:val="15"/>
            <w:u w:val="single" w:color="auto"/>
            <w:color w:val="0000EE"/>
          </w:rPr>
          <w:t>March 17, 2025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March 20, 2025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March 31, 2025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April 22, 2025</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June 10,</w:t>
        </w:r>
      </w:hyperlink>
      <w:r>
        <w:rPr>
          <w:rFonts w:ascii="Times New Roman" w:cs="Times New Roman" w:eastAsia="Times New Roman" w:hAnsi="Times New Roman"/>
          <w:sz w:val="15"/>
          <w:szCs w:val="15"/>
          <w:color w:val="auto"/>
        </w:rPr>
        <w:t xml:space="preserve"> </w:t>
      </w:r>
      <w:hyperlink r:id="rId113">
        <w:r>
          <w:rPr>
            <w:rFonts w:ascii="Times New Roman" w:cs="Times New Roman" w:eastAsia="Times New Roman" w:hAnsi="Times New Roman"/>
            <w:sz w:val="15"/>
            <w:szCs w:val="15"/>
            <w:u w:val="single" w:color="auto"/>
            <w:color w:val="0000EE"/>
          </w:rPr>
          <w:t>2025</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June 10, 2025</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June 13, 2025</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and</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June 20, 2025</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and our Current Report on Form 8-K/A filed with the Commission on</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u w:val="single" w:color="auto"/>
            <w:color w:val="0000EE"/>
          </w:rPr>
          <w:t>March 20,</w:t>
        </w:r>
      </w:hyperlink>
      <w:r>
        <w:rPr>
          <w:rFonts w:ascii="Times New Roman" w:cs="Times New Roman" w:eastAsia="Times New Roman" w:hAnsi="Times New Roman"/>
          <w:sz w:val="15"/>
          <w:szCs w:val="15"/>
          <w:color w:val="0000EE"/>
        </w:rPr>
        <w:t xml:space="preserve"> </w:t>
      </w:r>
      <w:hyperlink r:id="rId113">
        <w:r>
          <w:rPr>
            <w:rFonts w:ascii="Times New Roman" w:cs="Times New Roman" w:eastAsia="Times New Roman" w:hAnsi="Times New Roman"/>
            <w:sz w:val="15"/>
            <w:szCs w:val="15"/>
            <w:u w:val="single" w:color="auto"/>
            <w:color w:val="0000EE"/>
          </w:rPr>
          <w:t>2025</w:t>
        </w:r>
        <w:r>
          <w:rPr>
            <w:rFonts w:ascii="Times New Roman" w:cs="Times New Roman" w:eastAsia="Times New Roman" w:hAnsi="Times New Roman"/>
            <w:sz w:val="15"/>
            <w:szCs w:val="15"/>
            <w:color w:val="000000"/>
          </w:rPr>
          <w:t>; and</w:t>
        </w:r>
      </w:hyperlink>
    </w:p>
    <w:p>
      <w:pPr>
        <w:spacing w:after="0" w:line="71" w:lineRule="exact"/>
        <w:rPr>
          <w:rFonts w:ascii="Times New Roman" w:cs="Times New Roman" w:eastAsia="Times New Roman" w:hAnsi="Times New Roman"/>
          <w:sz w:val="15"/>
          <w:szCs w:val="15"/>
          <w:color w:val="0000EE"/>
        </w:rPr>
      </w:pPr>
    </w:p>
    <w:p>
      <w:pPr>
        <w:ind w:left="1920" w:right="39" w:hanging="354"/>
        <w:spacing w:after="0" w:line="273" w:lineRule="auto"/>
        <w:tabs>
          <w:tab w:leader="none" w:pos="192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securities contained in the Registration Statement on </w:t>
      </w:r>
      <w:hyperlink r:id="rId114">
        <w:r>
          <w:rPr>
            <w:rFonts w:ascii="Times New Roman" w:cs="Times New Roman" w:eastAsia="Times New Roman" w:hAnsi="Times New Roman"/>
            <w:sz w:val="15"/>
            <w:szCs w:val="15"/>
            <w:u w:val="single" w:color="auto"/>
            <w:color w:val="0000EE"/>
          </w:rPr>
          <w:t>Form 8-A</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relating thereto, filed on October 15, 2021, including any amendment or report filed for the purpose of updating such description.</w:t>
      </w:r>
    </w:p>
    <w:p>
      <w:pPr>
        <w:spacing w:after="0" w:line="140" w:lineRule="exact"/>
        <w:rPr>
          <w:rFonts w:ascii="Times New Roman" w:cs="Times New Roman" w:eastAsia="Times New Roman" w:hAnsi="Times New Roman"/>
          <w:sz w:val="15"/>
          <w:szCs w:val="15"/>
          <w:color w:val="0000EE"/>
        </w:rPr>
      </w:pPr>
    </w:p>
    <w:p>
      <w:pPr>
        <w:ind w:left="1480"/>
        <w:spacing w:after="0"/>
        <w:rPr>
          <w:sz w:val="20"/>
          <w:szCs w:val="20"/>
          <w:color w:val="auto"/>
        </w:rPr>
      </w:pPr>
      <w:r>
        <w:rPr>
          <w:rFonts w:ascii="Times New Roman" w:cs="Times New Roman" w:eastAsia="Times New Roman" w:hAnsi="Times New Roman"/>
          <w:sz w:val="15"/>
          <w:szCs w:val="15"/>
          <w:color w:val="auto"/>
        </w:rPr>
        <w:t>You may request a copy of these filings, at no cost, by writing or telephoning us at the following address:</w:t>
      </w:r>
    </w:p>
    <w:p>
      <w:pPr>
        <w:spacing w:after="0" w:line="357" w:lineRule="exact"/>
        <w:rPr>
          <w:rFonts w:ascii="Times New Roman" w:cs="Times New Roman" w:eastAsia="Times New Roman" w:hAnsi="Times New Roman"/>
          <w:sz w:val="15"/>
          <w:szCs w:val="15"/>
          <w:color w:val="0000EE"/>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10000 Avalon Boulevard, Suite 1000</w:t>
      </w:r>
    </w:p>
    <w:p>
      <w:pPr>
        <w:spacing w:after="0" w:line="21" w:lineRule="exact"/>
        <w:rPr>
          <w:rFonts w:ascii="Times New Roman" w:cs="Times New Roman" w:eastAsia="Times New Roman" w:hAnsi="Times New Roman"/>
          <w:sz w:val="15"/>
          <w:szCs w:val="15"/>
          <w:color w:val="0000EE"/>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Alpharetta, Georgia 30009</w:t>
      </w:r>
    </w:p>
    <w:p>
      <w:pPr>
        <w:spacing w:after="0" w:line="5" w:lineRule="exact"/>
        <w:rPr>
          <w:rFonts w:ascii="Times New Roman" w:cs="Times New Roman" w:eastAsia="Times New Roman" w:hAnsi="Times New Roman"/>
          <w:sz w:val="15"/>
          <w:szCs w:val="15"/>
          <w:color w:val="0000EE"/>
        </w:rPr>
      </w:pPr>
    </w:p>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(678) 534-5849</w:t>
      </w:r>
    </w:p>
    <w:p>
      <w:pPr>
        <w:spacing w:after="0" w:line="168" w:lineRule="exact"/>
        <w:rPr>
          <w:rFonts w:ascii="Times New Roman" w:cs="Times New Roman" w:eastAsia="Times New Roman" w:hAnsi="Times New Roman"/>
          <w:sz w:val="15"/>
          <w:szCs w:val="15"/>
          <w:color w:val="0000EE"/>
        </w:rPr>
      </w:pPr>
    </w:p>
    <w:p>
      <w:pPr>
        <w:ind w:left="1120" w:right="199" w:firstLine="362"/>
        <w:spacing w:after="0" w:line="273" w:lineRule="auto"/>
        <w:rPr>
          <w:sz w:val="20"/>
          <w:szCs w:val="20"/>
          <w:color w:val="auto"/>
        </w:rPr>
      </w:pPr>
      <w:r>
        <w:rPr>
          <w:rFonts w:ascii="Times New Roman" w:cs="Times New Roman" w:eastAsia="Times New Roman" w:hAnsi="Times New Roman"/>
          <w:sz w:val="15"/>
          <w:szCs w:val="15"/>
          <w:color w:val="auto"/>
        </w:rPr>
        <w:t>Exhibits to the filings will not be sent, however, unless those exhibits have specifically been incorporated by reference in this prospectus or any accompanying prospectus supplement.</w:t>
      </w:r>
    </w:p>
    <w:p>
      <w:pPr>
        <w:spacing w:after="0" w:line="84" w:lineRule="exact"/>
        <w:rPr>
          <w:rFonts w:ascii="Times New Roman" w:cs="Times New Roman" w:eastAsia="Times New Roman" w:hAnsi="Times New Roman"/>
          <w:sz w:val="15"/>
          <w:szCs w:val="15"/>
          <w:color w:val="0000EE"/>
        </w:rPr>
      </w:pPr>
    </w:p>
    <w:p>
      <w:pPr>
        <w:ind w:left="5580"/>
        <w:spacing w:after="0"/>
        <w:rPr>
          <w:sz w:val="20"/>
          <w:szCs w:val="20"/>
          <w:color w:val="auto"/>
        </w:rPr>
      </w:pPr>
      <w:r>
        <w:rPr>
          <w:rFonts w:ascii="Times New Roman" w:cs="Times New Roman" w:eastAsia="Times New Roman" w:hAnsi="Times New Roman"/>
          <w:sz w:val="15"/>
          <w:szCs w:val="15"/>
          <w:color w:val="auto"/>
        </w:rPr>
        <w:t>26</w:t>
      </w:r>
    </w:p>
    <w:p>
      <w:pPr>
        <w:sectPr>
          <w:pgSz w:w="11900" w:h="16838" w:orient="portrait"/>
          <w:cols w:equalWidth="0" w:num="1">
            <w:col w:w="10159"/>
          </w:cols>
          <w:pgMar w:left="300" w:top="400"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183515</wp:posOffset>
            </wp:positionH>
            <wp:positionV relativeFrom="page">
              <wp:posOffset>88900</wp:posOffset>
            </wp:positionV>
            <wp:extent cx="7196455" cy="33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5">
                      <a:extLst>
                        <a:ext uri="{28A0092B-C50C-407E-A947-70E740481C1C}"/>
                      </a:extLst>
                    </a:blip>
                    <a:srcRect/>
                    <a:stretch>
                      <a:fillRect/>
                    </a:stretch>
                  </pic:blipFill>
                  <pic:spPr bwMode="auto">
                    <a:xfrm>
                      <a:off x="0" y="0"/>
                      <a:ext cx="7196455" cy="336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203835</wp:posOffset>
            </wp:positionV>
            <wp:extent cx="5742305"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6">
                      <a:extLst>
                        <a:ext uri="{28A0092B-C50C-407E-A947-70E740481C1C}"/>
                      </a:extLst>
                    </a:blip>
                    <a:srcRect/>
                    <a:stretch>
                      <a:fillRect/>
                    </a:stretch>
                  </pic:blipFill>
                  <pic:spPr bwMode="auto">
                    <a:xfrm>
                      <a:off x="0" y="0"/>
                      <a:ext cx="5742305" cy="1397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246380</wp:posOffset>
            </wp:positionV>
            <wp:extent cx="574230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7">
                      <a:extLst>
                        <a:ext uri="{28A0092B-C50C-407E-A947-70E740481C1C}"/>
                      </a:extLst>
                    </a:blip>
                    <a:srcRect/>
                    <a:stretch>
                      <a:fillRect/>
                    </a:stretch>
                  </pic:blipFill>
                  <pic:spPr bwMode="auto">
                    <a:xfrm>
                      <a:off x="0" y="0"/>
                      <a:ext cx="5742305" cy="6985"/>
                    </a:xfrm>
                    <a:prstGeom prst="rect">
                      <a:avLst/>
                    </a:prstGeom>
                    <a:noFill/>
                  </pic:spPr>
                </pic:pic>
              </a:graphicData>
            </a:graphic>
          </wp:anchor>
        </w:drawing>
        <w:drawing>
          <wp:anchor simplePos="0" relativeHeight="251657728" behindDoc="1" locked="0" layoutInCell="0" allowOverlap="1">
            <wp:simplePos x="0" y="0"/>
            <wp:positionH relativeFrom="column">
              <wp:posOffset>3129915</wp:posOffset>
            </wp:positionH>
            <wp:positionV relativeFrom="paragraph">
              <wp:posOffset>534670</wp:posOffset>
            </wp:positionV>
            <wp:extent cx="908050" cy="3448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8">
                      <a:extLst>
                        <a:ext uri="{28A0092B-C50C-407E-A947-70E740481C1C}"/>
                      </a:extLst>
                    </a:blip>
                    <a:srcRect/>
                    <a:stretch>
                      <a:fillRect/>
                    </a:stretch>
                  </pic:blipFill>
                  <pic:spPr bwMode="auto">
                    <a:xfrm>
                      <a:off x="0" y="0"/>
                      <a:ext cx="908050" cy="344805"/>
                    </a:xfrm>
                    <a:prstGeom prst="rect">
                      <a:avLst/>
                    </a:prstGeom>
                    <a:noFill/>
                  </pic:spPr>
                </pic:pic>
              </a:graphicData>
            </a:graphic>
          </wp:anchor>
        </w:drawing>
      </w:r>
    </w:p>
    <w:p>
      <w:pPr>
        <w:sectPr>
          <w:pgSz w:w="11900" w:h="16838" w:orient="portrait"/>
          <w:cols w:equalWidth="0" w:num="1">
            <w:col w:w="10160"/>
          </w:cols>
          <w:pgMar w:left="300" w:top="400"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21"/>
          <w:szCs w:val="21"/>
          <w:b w:val="1"/>
          <w:bCs w:val="1"/>
          <w:color w:val="auto"/>
        </w:rPr>
        <w:t>Bakkt Holdings, Inc.</w:t>
      </w:r>
    </w:p>
    <w:p>
      <w:pPr>
        <w:spacing w:after="0" w:line="28"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21"/>
          <w:szCs w:val="21"/>
          <w:b w:val="1"/>
          <w:bCs w:val="1"/>
          <w:color w:val="auto"/>
        </w:rPr>
        <w:t>(to be renamed Bakkt, Inc.)</w:t>
      </w:r>
    </w:p>
    <w:p>
      <w:pPr>
        <w:spacing w:after="0" w:line="3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4"/>
          <w:szCs w:val="24"/>
          <w:b w:val="1"/>
          <w:bCs w:val="1"/>
          <w:color w:val="auto"/>
        </w:rPr>
        <w:t>Up to $300,000,000</w:t>
      </w:r>
    </w:p>
    <w:p>
      <w:pPr>
        <w:spacing w:after="0" w:line="36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1373505</wp:posOffset>
            </wp:positionV>
            <wp:extent cx="120332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9">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193675</wp:posOffset>
            </wp:positionV>
            <wp:extent cx="120332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0">
                      <a:extLst>
                        <a:ext uri="{28A0092B-C50C-407E-A947-70E740481C1C}"/>
                      </a:extLst>
                    </a:blip>
                    <a:srcRect/>
                    <a:stretch>
                      <a:fillRect/>
                    </a:stretch>
                  </pic:blipFill>
                  <pic:spPr bwMode="auto">
                    <a:xfrm>
                      <a:off x="0" y="0"/>
                      <a:ext cx="12033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120"/>
        <w:spacing w:after="0"/>
        <w:tabs>
          <w:tab w:leader="none" w:pos="9180" w:val="left"/>
        </w:tabs>
        <w:rPr>
          <w:sz w:val="20"/>
          <w:szCs w:val="20"/>
          <w:color w:val="auto"/>
        </w:rPr>
      </w:pPr>
      <w:r>
        <w:rPr>
          <w:rFonts w:ascii="Times New Roman" w:cs="Times New Roman" w:eastAsia="Times New Roman" w:hAnsi="Times New Roman"/>
          <w:sz w:val="15"/>
          <w:szCs w:val="15"/>
          <w:b w:val="1"/>
          <w:bCs w:val="1"/>
          <w:color w:val="auto"/>
        </w:rPr>
        <w:t>Benchmark, a StoneX Company</w:t>
      </w:r>
      <w:r>
        <w:rPr>
          <w:sz w:val="20"/>
          <w:szCs w:val="20"/>
          <w:color w:val="auto"/>
        </w:rPr>
        <w:tab/>
      </w:r>
      <w:r>
        <w:rPr>
          <w:rFonts w:ascii="Times New Roman" w:cs="Times New Roman" w:eastAsia="Times New Roman" w:hAnsi="Times New Roman"/>
          <w:sz w:val="14"/>
          <w:szCs w:val="14"/>
          <w:b w:val="1"/>
          <w:bCs w:val="1"/>
          <w:color w:val="auto"/>
        </w:rPr>
        <w:t>Virtu Financial</w:t>
      </w:r>
    </w:p>
    <w:p>
      <w:pPr>
        <w:spacing w:after="0" w:line="193" w:lineRule="exact"/>
        <w:rPr>
          <w:sz w:val="20"/>
          <w:szCs w:val="20"/>
          <w:color w:val="auto"/>
        </w:rPr>
      </w:pPr>
    </w:p>
    <w:p>
      <w:pPr>
        <w:ind w:left="1120"/>
        <w:spacing w:after="0"/>
        <w:tabs>
          <w:tab w:leader="none" w:pos="2640" w:val="left"/>
          <w:tab w:leader="none" w:pos="5980" w:val="left"/>
          <w:tab w:leader="none" w:pos="7560" w:val="left"/>
          <w:tab w:leader="none" w:pos="8740" w:val="left"/>
        </w:tabs>
        <w:rPr>
          <w:sz w:val="20"/>
          <w:szCs w:val="20"/>
          <w:color w:val="auto"/>
        </w:rPr>
      </w:pPr>
      <w:r>
        <w:rPr>
          <w:rFonts w:ascii="Times New Roman" w:cs="Times New Roman" w:eastAsia="Times New Roman" w:hAnsi="Times New Roman"/>
          <w:sz w:val="15"/>
          <w:szCs w:val="15"/>
          <w:b w:val="1"/>
          <w:bCs w:val="1"/>
          <w:color w:val="auto"/>
        </w:rPr>
        <w:t>Clear Street</w:t>
      </w:r>
      <w:r>
        <w:rPr>
          <w:sz w:val="20"/>
          <w:szCs w:val="20"/>
          <w:color w:val="auto"/>
        </w:rPr>
        <w:tab/>
      </w:r>
      <w:r>
        <w:rPr>
          <w:rFonts w:ascii="Times New Roman" w:cs="Times New Roman" w:eastAsia="Times New Roman" w:hAnsi="Times New Roman"/>
          <w:sz w:val="15"/>
          <w:szCs w:val="15"/>
          <w:b w:val="1"/>
          <w:bCs w:val="1"/>
          <w:color w:val="auto"/>
        </w:rPr>
        <w:t>Cohen &amp; Company Capital Markets</w:t>
      </w:r>
      <w:r>
        <w:rPr>
          <w:sz w:val="20"/>
          <w:szCs w:val="20"/>
          <w:color w:val="auto"/>
        </w:rPr>
        <w:tab/>
      </w:r>
      <w:r>
        <w:rPr>
          <w:rFonts w:ascii="Times New Roman" w:cs="Times New Roman" w:eastAsia="Times New Roman" w:hAnsi="Times New Roman"/>
          <w:sz w:val="15"/>
          <w:szCs w:val="15"/>
          <w:b w:val="1"/>
          <w:bCs w:val="1"/>
          <w:color w:val="auto"/>
        </w:rPr>
        <w:t>Macquarie Capital</w:t>
      </w:r>
      <w:r>
        <w:rPr>
          <w:sz w:val="20"/>
          <w:szCs w:val="20"/>
          <w:color w:val="auto"/>
        </w:rPr>
        <w:tab/>
      </w:r>
      <w:r>
        <w:rPr>
          <w:rFonts w:ascii="Times New Roman" w:cs="Times New Roman" w:eastAsia="Times New Roman" w:hAnsi="Times New Roman"/>
          <w:sz w:val="15"/>
          <w:szCs w:val="15"/>
          <w:b w:val="1"/>
          <w:bCs w:val="1"/>
          <w:color w:val="auto"/>
        </w:rPr>
        <w:t>Rosenblatt</w:t>
      </w:r>
      <w:r>
        <w:rPr>
          <w:sz w:val="20"/>
          <w:szCs w:val="20"/>
          <w:color w:val="auto"/>
        </w:rPr>
        <w:tab/>
      </w:r>
      <w:r>
        <w:rPr>
          <w:rFonts w:ascii="Times New Roman" w:cs="Times New Roman" w:eastAsia="Times New Roman" w:hAnsi="Times New Roman"/>
          <w:sz w:val="14"/>
          <w:szCs w:val="14"/>
          <w:b w:val="1"/>
          <w:bCs w:val="1"/>
          <w:color w:val="auto"/>
        </w:rPr>
        <w:t>Roth Capital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b w:val="1"/>
          <w:bCs w:val="1"/>
          <w:color w:val="auto"/>
        </w:rPr>
        <w:t>January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351155</wp:posOffset>
            </wp:positionV>
            <wp:extent cx="574230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1">
                      <a:extLst>
                        <a:ext uri="{28A0092B-C50C-407E-A947-70E740481C1C}"/>
                      </a:extLst>
                    </a:blip>
                    <a:srcRect/>
                    <a:stretch>
                      <a:fillRect/>
                    </a:stretch>
                  </pic:blipFill>
                  <pic:spPr bwMode="auto">
                    <a:xfrm>
                      <a:off x="0" y="0"/>
                      <a:ext cx="5742305" cy="698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407670</wp:posOffset>
            </wp:positionV>
            <wp:extent cx="5742305"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2">
                      <a:extLst>
                        <a:ext uri="{28A0092B-C50C-407E-A947-70E740481C1C}"/>
                      </a:extLst>
                    </a:blip>
                    <a:srcRect/>
                    <a:stretch>
                      <a:fillRect/>
                    </a:stretch>
                  </pic:blipFill>
                  <pic:spPr bwMode="auto">
                    <a:xfrm>
                      <a:off x="0" y="0"/>
                      <a:ext cx="5742305" cy="13970"/>
                    </a:xfrm>
                    <a:prstGeom prst="rect">
                      <a:avLst/>
                    </a:prstGeom>
                    <a:noFill/>
                  </pic:spPr>
                </pic:pic>
              </a:graphicData>
            </a:graphic>
          </wp:anchor>
        </w:drawing>
      </w:r>
    </w:p>
    <w:p>
      <w:pPr>
        <w:sectPr>
          <w:pgSz w:w="11900" w:h="16838" w:orient="portrait"/>
          <w:cols w:equalWidth="0" w:num="1">
            <w:col w:w="10160"/>
          </w:cols>
          <w:pgMar w:left="300" w:top="400" w:right="1439" w:bottom="1440" w:gutter="0" w:footer="0" w:header="0"/>
          <w:type w:val="continuous"/>
        </w:sectPr>
      </w:pPr>
    </w:p>
    <w:bookmarkStart w:id="57" w:name="page58"/>
    <w:bookmarkEnd w:id="57"/>
    <w:p>
      <w:pPr>
        <w:ind w:left="3380"/>
        <w:spacing w:after="0"/>
        <w:rPr>
          <w:sz w:val="20"/>
          <w:szCs w:val="20"/>
          <w:color w:val="auto"/>
        </w:rPr>
      </w:pPr>
      <w:r>
        <w:rPr>
          <w:rFonts w:ascii="Arial" w:cs="Arial" w:eastAsia="Arial" w:hAnsi="Arial"/>
          <w:sz w:val="30"/>
          <w:szCs w:val="30"/>
          <w:b w:val="1"/>
          <w:bCs w:val="1"/>
          <w:color w:val="auto"/>
        </w:rPr>
        <w:t>Calculation of Filing Fee Tables</w:t>
      </w:r>
    </w:p>
    <w:p>
      <w:pPr>
        <w:spacing w:after="0" w:line="176" w:lineRule="exact"/>
        <w:rPr>
          <w:sz w:val="20"/>
          <w:szCs w:val="20"/>
          <w:color w:val="auto"/>
        </w:rPr>
      </w:pPr>
    </w:p>
    <w:p>
      <w:pPr>
        <w:ind w:left="5340"/>
        <w:spacing w:after="0"/>
        <w:rPr>
          <w:sz w:val="20"/>
          <w:szCs w:val="20"/>
          <w:color w:val="auto"/>
        </w:rPr>
      </w:pPr>
      <w:r>
        <w:rPr>
          <w:rFonts w:ascii="Arial" w:cs="Arial" w:eastAsia="Arial" w:hAnsi="Arial"/>
          <w:sz w:val="30"/>
          <w:szCs w:val="30"/>
          <w:b w:val="1"/>
          <w:bCs w:val="1"/>
          <w:color w:val="auto"/>
        </w:rPr>
        <w:t>S-3</w:t>
      </w:r>
    </w:p>
    <w:p>
      <w:pPr>
        <w:spacing w:after="0" w:line="98" w:lineRule="exact"/>
        <w:rPr>
          <w:sz w:val="20"/>
          <w:szCs w:val="20"/>
          <w:color w:val="auto"/>
        </w:rPr>
      </w:pPr>
    </w:p>
    <w:p>
      <w:pPr>
        <w:jc w:val="center"/>
        <w:ind w:right="220"/>
        <w:spacing w:after="0"/>
        <w:rPr>
          <w:sz w:val="20"/>
          <w:szCs w:val="20"/>
          <w:color w:val="auto"/>
        </w:rPr>
      </w:pPr>
      <w:r>
        <w:rPr>
          <w:rFonts w:ascii="Arial" w:cs="Arial" w:eastAsia="Arial" w:hAnsi="Arial"/>
          <w:sz w:val="30"/>
          <w:szCs w:val="30"/>
          <w:b w:val="1"/>
          <w:bCs w:val="1"/>
          <w:color w:val="auto"/>
        </w:rPr>
        <w:t>Bakkt Holdings, Inc.</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29"/>
          </w:tcPr>
          <w:p>
            <w:pPr>
              <w:spacing w:after="0"/>
              <w:rPr>
                <w:sz w:val="20"/>
                <w:szCs w:val="20"/>
                <w:color w:val="auto"/>
              </w:rPr>
            </w:pPr>
            <w:r>
              <w:rPr>
                <w:rFonts w:ascii="Arial" w:cs="Arial" w:eastAsia="Arial" w:hAnsi="Arial"/>
                <w:sz w:val="18"/>
                <w:szCs w:val="18"/>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ind w:left="2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Not Applicable</w:t>
            </w:r>
          </w:p>
        </w:tc>
        <w:tc>
          <w:tcPr>
            <w:tcW w:w="0" w:type="dxa"/>
            <w:vAlign w:val="bottom"/>
          </w:tcPr>
          <w:p>
            <w:pPr>
              <w:spacing w:after="0"/>
              <w:rPr>
                <w:sz w:val="1"/>
                <w:szCs w:val="1"/>
                <w:color w:val="auto"/>
              </w:rPr>
            </w:pPr>
          </w:p>
        </w:tc>
      </w:tr>
      <w:tr>
        <w:trPr>
          <w:trHeight w:val="205"/>
        </w:trPr>
        <w:tc>
          <w:tcPr>
            <w:tcW w:w="2060" w:type="dxa"/>
            <w:vAlign w:val="bottom"/>
            <w:tcBorders>
              <w:left w:val="single" w:sz="8" w:color="auto"/>
              <w:right w:val="single" w:sz="8" w:color="9ADAF6"/>
            </w:tcBorders>
            <w:gridSpan w:val="13"/>
          </w:tcPr>
          <w:p>
            <w:pPr>
              <w:spacing w:after="0"/>
              <w:rPr>
                <w:sz w:val="17"/>
                <w:szCs w:val="17"/>
                <w:color w:val="auto"/>
              </w:rPr>
            </w:pPr>
          </w:p>
        </w:tc>
        <w:tc>
          <w:tcPr>
            <w:tcW w:w="1720" w:type="dxa"/>
            <w:vAlign w:val="bottom"/>
            <w:tcBorders>
              <w:right w:val="single" w:sz="8" w:color="9ADAF6"/>
            </w:tcBorders>
            <w:gridSpan w:val="9"/>
            <w:shd w:val="clear" w:color="auto" w:fill="9ADAF6"/>
          </w:tcPr>
          <w:p>
            <w:pPr>
              <w:spacing w:after="0"/>
              <w:rPr>
                <w:sz w:val="17"/>
                <w:szCs w:val="17"/>
                <w:color w:val="auto"/>
              </w:rPr>
            </w:pPr>
          </w:p>
        </w:tc>
        <w:tc>
          <w:tcPr>
            <w:tcW w:w="780" w:type="dxa"/>
            <w:vAlign w:val="bottom"/>
            <w:tcBorders>
              <w:right w:val="single" w:sz="8" w:color="9ADAF6"/>
            </w:tcBorders>
            <w:gridSpan w:val="2"/>
            <w:shd w:val="clear" w:color="auto" w:fill="9ADAF6"/>
          </w:tcPr>
          <w:p>
            <w:pPr>
              <w:spacing w:after="0"/>
              <w:rPr>
                <w:sz w:val="17"/>
                <w:szCs w:val="17"/>
                <w:color w:val="auto"/>
              </w:rPr>
            </w:pPr>
          </w:p>
        </w:tc>
        <w:tc>
          <w:tcPr>
            <w:tcW w:w="620" w:type="dxa"/>
            <w:vAlign w:val="bottom"/>
            <w:tcBorders>
              <w:right w:val="single" w:sz="8" w:color="9ADAF6"/>
            </w:tcBorders>
            <w:gridSpan w:val="6"/>
            <w:shd w:val="clear" w:color="auto" w:fill="9ADAF6"/>
          </w:tcPr>
          <w:p>
            <w:pPr>
              <w:spacing w:after="0"/>
              <w:rPr>
                <w:sz w:val="17"/>
                <w:szCs w:val="17"/>
                <w:color w:val="auto"/>
              </w:rPr>
            </w:pPr>
          </w:p>
        </w:tc>
        <w:tc>
          <w:tcPr>
            <w:tcW w:w="1320" w:type="dxa"/>
            <w:vAlign w:val="bottom"/>
            <w:gridSpan w:val="8"/>
            <w:shd w:val="clear" w:color="auto" w:fill="9ADAF6"/>
          </w:tcPr>
          <w:p>
            <w:pPr>
              <w:spacing w:after="0"/>
              <w:rPr>
                <w:sz w:val="17"/>
                <w:szCs w:val="17"/>
                <w:color w:val="auto"/>
              </w:rPr>
            </w:pPr>
          </w:p>
        </w:tc>
        <w:tc>
          <w:tcPr>
            <w:tcW w:w="2040" w:type="dxa"/>
            <w:vAlign w:val="bottom"/>
            <w:tcBorders>
              <w:left w:val="single" w:sz="8" w:color="9ADAF6"/>
            </w:tcBorders>
            <w:gridSpan w:val="10"/>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Filing Fee</w:t>
            </w:r>
          </w:p>
        </w:tc>
        <w:tc>
          <w:tcPr>
            <w:tcW w:w="0" w:type="dxa"/>
            <w:vAlign w:val="bottom"/>
          </w:tcPr>
          <w:p>
            <w:pPr>
              <w:spacing w:after="0"/>
              <w:rPr>
                <w:sz w:val="1"/>
                <w:szCs w:val="1"/>
                <w:color w:val="auto"/>
              </w:rPr>
            </w:pPr>
          </w:p>
        </w:tc>
      </w:tr>
      <w:tr>
        <w:trPr>
          <w:trHeight w:val="199"/>
        </w:trPr>
        <w:tc>
          <w:tcPr>
            <w:tcW w:w="2060" w:type="dxa"/>
            <w:vAlign w:val="bottom"/>
            <w:tcBorders>
              <w:left w:val="single" w:sz="8" w:color="auto"/>
              <w:right w:val="single" w:sz="8" w:color="9ADAF6"/>
            </w:tcBorders>
            <w:gridSpan w:val="13"/>
          </w:tcPr>
          <w:p>
            <w:pPr>
              <w:spacing w:after="0"/>
              <w:rPr>
                <w:sz w:val="17"/>
                <w:szCs w:val="17"/>
                <w:color w:val="auto"/>
              </w:rPr>
            </w:pPr>
          </w:p>
        </w:tc>
        <w:tc>
          <w:tcPr>
            <w:tcW w:w="1720" w:type="dxa"/>
            <w:vAlign w:val="bottom"/>
            <w:tcBorders>
              <w:right w:val="single" w:sz="8" w:color="9ADAF6"/>
            </w:tcBorders>
            <w:gridSpan w:val="9"/>
            <w:shd w:val="clear" w:color="auto" w:fill="9ADAF6"/>
          </w:tcPr>
          <w:p>
            <w:pPr>
              <w:spacing w:after="0"/>
              <w:rPr>
                <w:sz w:val="17"/>
                <w:szCs w:val="17"/>
                <w:color w:val="auto"/>
              </w:rPr>
            </w:pPr>
          </w:p>
        </w:tc>
        <w:tc>
          <w:tcPr>
            <w:tcW w:w="780" w:type="dxa"/>
            <w:vAlign w:val="bottom"/>
            <w:tcBorders>
              <w:right w:val="single" w:sz="8" w:color="9ADAF6"/>
            </w:tcBorders>
            <w:gridSpan w:val="2"/>
            <w:shd w:val="clear" w:color="auto" w:fill="9ADAF6"/>
          </w:tcPr>
          <w:p>
            <w:pPr>
              <w:spacing w:after="0"/>
              <w:rPr>
                <w:sz w:val="17"/>
                <w:szCs w:val="17"/>
                <w:color w:val="auto"/>
              </w:rPr>
            </w:pPr>
          </w:p>
        </w:tc>
        <w:tc>
          <w:tcPr>
            <w:tcW w:w="620" w:type="dxa"/>
            <w:vAlign w:val="bottom"/>
            <w:tcBorders>
              <w:right w:val="single" w:sz="8" w:color="9ADAF6"/>
            </w:tcBorders>
            <w:gridSpan w:val="6"/>
            <w:shd w:val="clear" w:color="auto" w:fill="9ADAF6"/>
          </w:tcPr>
          <w:p>
            <w:pPr>
              <w:spacing w:after="0"/>
              <w:rPr>
                <w:sz w:val="17"/>
                <w:szCs w:val="17"/>
                <w:color w:val="auto"/>
              </w:rPr>
            </w:pPr>
          </w:p>
        </w:tc>
        <w:tc>
          <w:tcPr>
            <w:tcW w:w="1320" w:type="dxa"/>
            <w:vAlign w:val="bottom"/>
            <w:gridSpan w:val="8"/>
            <w:shd w:val="clear" w:color="auto" w:fill="9ADAF6"/>
          </w:tcPr>
          <w:p>
            <w:pPr>
              <w:spacing w:after="0"/>
              <w:rPr>
                <w:sz w:val="17"/>
                <w:szCs w:val="17"/>
                <w:color w:val="auto"/>
              </w:rPr>
            </w:pPr>
          </w:p>
        </w:tc>
        <w:tc>
          <w:tcPr>
            <w:tcW w:w="2040" w:type="dxa"/>
            <w:vAlign w:val="bottom"/>
            <w:tcBorders>
              <w:left w:val="single" w:sz="8" w:color="9ADAF6"/>
            </w:tcBorders>
            <w:gridSpan w:val="10"/>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Previously</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720" w:type="dxa"/>
            <w:vAlign w:val="bottom"/>
            <w:gridSpan w:val="3"/>
            <w:vMerge w:val="restart"/>
            <w:shd w:val="clear" w:color="auto" w:fill="9ADAF6"/>
          </w:tcPr>
          <w:p>
            <w:pPr>
              <w:jc w:val="center"/>
              <w:ind w:right="173"/>
              <w:spacing w:after="0"/>
              <w:rPr>
                <w:sz w:val="20"/>
                <w:szCs w:val="20"/>
                <w:color w:val="auto"/>
              </w:rPr>
            </w:pPr>
            <w:r>
              <w:rPr>
                <w:rFonts w:ascii="Arial" w:cs="Arial" w:eastAsia="Arial" w:hAnsi="Arial"/>
                <w:sz w:val="18"/>
                <w:szCs w:val="18"/>
                <w:b w:val="1"/>
                <w:bCs w:val="1"/>
                <w:color w:val="auto"/>
                <w:w w:val="96"/>
              </w:rPr>
              <w:t>Fee</w:t>
            </w:r>
          </w:p>
        </w:tc>
        <w:tc>
          <w:tcPr>
            <w:tcW w:w="4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5"/>
            <w:vMerge w:val="restart"/>
            <w:shd w:val="clear" w:color="auto" w:fill="9ADAF6"/>
          </w:tcPr>
          <w:p>
            <w:pPr>
              <w:ind w:left="20"/>
              <w:spacing w:after="0"/>
              <w:rPr>
                <w:sz w:val="20"/>
                <w:szCs w:val="20"/>
                <w:color w:val="auto"/>
              </w:rPr>
            </w:pPr>
            <w:r>
              <w:rPr>
                <w:rFonts w:ascii="Arial" w:cs="Arial" w:eastAsia="Arial" w:hAnsi="Arial"/>
                <w:sz w:val="18"/>
                <w:szCs w:val="18"/>
                <w:b w:val="1"/>
                <w:bCs w:val="1"/>
                <w:color w:val="auto"/>
                <w:w w:val="98"/>
              </w:rPr>
              <w:t>Proposed</w:t>
            </w: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80" w:type="dxa"/>
            <w:vAlign w:val="bottom"/>
            <w:tcBorders>
              <w:left w:val="single" w:sz="8" w:color="9ADAF6"/>
            </w:tcBorders>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Carry</w:t>
            </w: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820" w:type="dxa"/>
            <w:vAlign w:val="bottom"/>
            <w:tcBorders>
              <w:right w:val="single" w:sz="8" w:color="auto"/>
            </w:tcBorders>
            <w:gridSpan w:val="4"/>
            <w:shd w:val="clear" w:color="auto" w:fill="9ADAF6"/>
          </w:tcPr>
          <w:p>
            <w:pPr>
              <w:jc w:val="center"/>
              <w:ind w:right="240"/>
              <w:spacing w:after="0" w:line="200" w:lineRule="exact"/>
              <w:rPr>
                <w:sz w:val="20"/>
                <w:szCs w:val="20"/>
                <w:color w:val="auto"/>
              </w:rPr>
            </w:pPr>
            <w:r>
              <w:rPr>
                <w:rFonts w:ascii="Arial" w:cs="Arial" w:eastAsia="Arial" w:hAnsi="Arial"/>
                <w:sz w:val="18"/>
                <w:szCs w:val="18"/>
                <w:b w:val="1"/>
                <w:bCs w:val="1"/>
                <w:color w:val="auto"/>
                <w:w w:val="98"/>
              </w:rPr>
              <w:t>Paid in</w:t>
            </w: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8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720" w:type="dxa"/>
            <w:vAlign w:val="bottom"/>
            <w:gridSpan w:val="3"/>
            <w:vMerge w:val="continue"/>
            <w:shd w:val="clear" w:color="auto" w:fill="9ADAF6"/>
          </w:tcPr>
          <w:p>
            <w:pPr>
              <w:spacing w:after="0"/>
              <w:rPr>
                <w:sz w:val="15"/>
                <w:szCs w:val="15"/>
                <w:color w:val="auto"/>
              </w:rPr>
            </w:pPr>
          </w:p>
        </w:tc>
        <w:tc>
          <w:tcPr>
            <w:tcW w:w="4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60" w:type="dxa"/>
            <w:vAlign w:val="bottom"/>
            <w:tcBorders>
              <w:right w:val="single" w:sz="8" w:color="9ADAF6"/>
            </w:tcBorders>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5"/>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5"/>
            <w:shd w:val="clear" w:color="auto" w:fill="9ADAF6"/>
          </w:tcPr>
          <w:p>
            <w:pPr>
              <w:jc w:val="right"/>
              <w:ind w:right="40"/>
              <w:spacing w:after="0" w:line="178" w:lineRule="exact"/>
              <w:rPr>
                <w:sz w:val="20"/>
                <w:szCs w:val="20"/>
                <w:color w:val="auto"/>
              </w:rPr>
            </w:pPr>
            <w:r>
              <w:rPr>
                <w:rFonts w:ascii="Arial" w:cs="Arial" w:eastAsia="Arial" w:hAnsi="Arial"/>
                <w:sz w:val="18"/>
                <w:szCs w:val="18"/>
                <w:b w:val="1"/>
                <w:bCs w:val="1"/>
                <w:color w:val="auto"/>
              </w:rPr>
              <w:t>Maximum</w:t>
            </w:r>
          </w:p>
        </w:tc>
        <w:tc>
          <w:tcPr>
            <w:tcW w:w="80" w:type="dxa"/>
            <w:vAlign w:val="bottom"/>
            <w:tcBorders>
              <w:left w:val="single" w:sz="8" w:color="9ADAF6"/>
            </w:tcBorders>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9ADAF6"/>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right w:val="single" w:sz="8" w:color="9ADAF6"/>
            </w:tcBorders>
            <w:gridSpan w:val="3"/>
            <w:shd w:val="clear" w:color="auto" w:fill="9ADAF6"/>
          </w:tcPr>
          <w:p>
            <w:pPr>
              <w:jc w:val="center"/>
              <w:ind w:left="51"/>
              <w:spacing w:after="0" w:line="178" w:lineRule="exact"/>
              <w:rPr>
                <w:sz w:val="20"/>
                <w:szCs w:val="20"/>
                <w:color w:val="auto"/>
              </w:rPr>
            </w:pPr>
            <w:r>
              <w:rPr>
                <w:rFonts w:ascii="Arial" w:cs="Arial" w:eastAsia="Arial" w:hAnsi="Arial"/>
                <w:sz w:val="18"/>
                <w:szCs w:val="18"/>
                <w:b w:val="1"/>
                <w:bCs w:val="1"/>
                <w:color w:val="auto"/>
                <w:w w:val="97"/>
              </w:rPr>
              <w:t>Carry</w:t>
            </w:r>
          </w:p>
        </w:tc>
        <w:tc>
          <w:tcPr>
            <w:tcW w:w="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w w:val="97"/>
              </w:rPr>
              <w:t>Carry</w:t>
            </w:r>
          </w:p>
        </w:tc>
        <w:tc>
          <w:tcPr>
            <w:tcW w:w="40" w:type="dxa"/>
            <w:vAlign w:val="bottom"/>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7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right w:val="single" w:sz="8" w:color="auto"/>
            </w:tcBorders>
            <w:gridSpan w:val="5"/>
            <w:shd w:val="clear" w:color="auto" w:fill="9ADAF6"/>
          </w:tcPr>
          <w:p>
            <w:pPr>
              <w:jc w:val="center"/>
              <w:ind w:right="40"/>
              <w:spacing w:after="0" w:line="178" w:lineRule="exact"/>
              <w:rPr>
                <w:sz w:val="20"/>
                <w:szCs w:val="20"/>
                <w:color w:val="auto"/>
              </w:rPr>
            </w:pPr>
            <w:r>
              <w:rPr>
                <w:rFonts w:ascii="Arial" w:cs="Arial" w:eastAsia="Arial" w:hAnsi="Arial"/>
                <w:sz w:val="18"/>
                <w:szCs w:val="18"/>
                <w:b w:val="1"/>
                <w:bCs w:val="1"/>
                <w:color w:val="auto"/>
                <w:w w:val="98"/>
              </w:rPr>
              <w:t>Connection</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shd w:val="clear" w:color="auto" w:fill="9ADAF6"/>
          </w:tcPr>
          <w:p>
            <w:pPr>
              <w:ind w:left="20"/>
              <w:spacing w:after="0" w:line="200" w:lineRule="exact"/>
              <w:rPr>
                <w:sz w:val="20"/>
                <w:szCs w:val="20"/>
                <w:color w:val="auto"/>
              </w:rPr>
            </w:pPr>
            <w:r>
              <w:rPr>
                <w:rFonts w:ascii="Arial" w:cs="Arial" w:eastAsia="Arial" w:hAnsi="Arial"/>
                <w:sz w:val="18"/>
                <w:szCs w:val="18"/>
                <w:b w:val="1"/>
                <w:bCs w:val="1"/>
                <w:color w:val="auto"/>
                <w:w w:val="98"/>
              </w:rPr>
              <w:t>Security</w:t>
            </w:r>
          </w:p>
        </w:tc>
        <w:tc>
          <w:tcPr>
            <w:tcW w:w="80" w:type="dxa"/>
            <w:vAlign w:val="bottom"/>
            <w:tcBorders>
              <w:right w:val="single" w:sz="8" w:color="9ADAF6"/>
            </w:tcBorders>
          </w:tcPr>
          <w:p>
            <w:pPr>
              <w:spacing w:after="0"/>
              <w:rPr>
                <w:sz w:val="17"/>
                <w:szCs w:val="17"/>
                <w:color w:val="auto"/>
              </w:rPr>
            </w:pPr>
          </w:p>
        </w:tc>
        <w:tc>
          <w:tcPr>
            <w:tcW w:w="680" w:type="dxa"/>
            <w:vAlign w:val="bottom"/>
            <w:gridSpan w:val="2"/>
            <w:shd w:val="clear" w:color="auto" w:fill="9ADAF6"/>
          </w:tcPr>
          <w:p>
            <w:pPr>
              <w:spacing w:after="0" w:line="200" w:lineRule="exact"/>
              <w:rPr>
                <w:sz w:val="20"/>
                <w:szCs w:val="20"/>
                <w:color w:val="auto"/>
              </w:rPr>
            </w:pPr>
            <w:r>
              <w:rPr>
                <w:rFonts w:ascii="Arial" w:cs="Arial" w:eastAsia="Arial" w:hAnsi="Arial"/>
                <w:sz w:val="18"/>
                <w:szCs w:val="18"/>
                <w:b w:val="1"/>
                <w:bCs w:val="1"/>
                <w:color w:val="auto"/>
                <w:w w:val="92"/>
              </w:rPr>
              <w:t>Security</w:t>
            </w:r>
          </w:p>
        </w:tc>
        <w:tc>
          <w:tcPr>
            <w:tcW w:w="20" w:type="dxa"/>
            <w:vAlign w:val="bottom"/>
          </w:tcPr>
          <w:p>
            <w:pPr>
              <w:spacing w:after="0"/>
              <w:rPr>
                <w:sz w:val="17"/>
                <w:szCs w:val="17"/>
                <w:color w:val="auto"/>
              </w:rPr>
            </w:pPr>
          </w:p>
        </w:tc>
        <w:tc>
          <w:tcPr>
            <w:tcW w:w="980" w:type="dxa"/>
            <w:vAlign w:val="bottom"/>
            <w:gridSpan w:val="5"/>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6"/>
              </w:rPr>
              <w:t>Calculation</w:t>
            </w:r>
          </w:p>
        </w:tc>
        <w:tc>
          <w:tcPr>
            <w:tcW w:w="4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900" w:type="dxa"/>
            <w:vAlign w:val="bottom"/>
            <w:gridSpan w:val="3"/>
            <w:shd w:val="clear" w:color="auto" w:fill="9ADAF6"/>
          </w:tcPr>
          <w:p>
            <w:pPr>
              <w:jc w:val="right"/>
              <w:ind w:right="35"/>
              <w:spacing w:after="0" w:line="200" w:lineRule="exact"/>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17"/>
                <w:szCs w:val="17"/>
                <w:color w:val="auto"/>
              </w:rPr>
            </w:pPr>
          </w:p>
        </w:tc>
        <w:tc>
          <w:tcPr>
            <w:tcW w:w="860" w:type="dxa"/>
            <w:vAlign w:val="bottom"/>
            <w:gridSpan w:val="5"/>
            <w:shd w:val="clear" w:color="auto" w:fill="9ADAF6"/>
          </w:tcPr>
          <w:p>
            <w:pPr>
              <w:ind w:left="20"/>
              <w:spacing w:after="0" w:line="200" w:lineRule="exact"/>
              <w:rPr>
                <w:sz w:val="20"/>
                <w:szCs w:val="20"/>
                <w:color w:val="auto"/>
              </w:rPr>
            </w:pPr>
            <w:r>
              <w:rPr>
                <w:rFonts w:ascii="Arial" w:cs="Arial" w:eastAsia="Arial" w:hAnsi="Arial"/>
                <w:sz w:val="18"/>
                <w:szCs w:val="18"/>
                <w:b w:val="1"/>
                <w:bCs w:val="1"/>
                <w:color w:val="auto"/>
                <w:w w:val="98"/>
              </w:rPr>
              <w:t>Maximum</w:t>
            </w:r>
          </w:p>
        </w:tc>
        <w:tc>
          <w:tcPr>
            <w:tcW w:w="20" w:type="dxa"/>
            <w:vAlign w:val="bottom"/>
          </w:tcPr>
          <w:p>
            <w:pPr>
              <w:spacing w:after="0"/>
              <w:rPr>
                <w:sz w:val="17"/>
                <w:szCs w:val="17"/>
                <w:color w:val="auto"/>
              </w:rPr>
            </w:pPr>
          </w:p>
        </w:tc>
        <w:tc>
          <w:tcPr>
            <w:tcW w:w="900" w:type="dxa"/>
            <w:vAlign w:val="bottom"/>
            <w:gridSpan w:val="5"/>
            <w:shd w:val="clear" w:color="auto" w:fill="9ADAF6"/>
          </w:tcPr>
          <w:p>
            <w:pPr>
              <w:jc w:val="right"/>
              <w:ind w:right="20"/>
              <w:spacing w:after="0" w:line="200" w:lineRule="exact"/>
              <w:rPr>
                <w:sz w:val="20"/>
                <w:szCs w:val="20"/>
                <w:color w:val="auto"/>
              </w:rPr>
            </w:pPr>
            <w:r>
              <w:rPr>
                <w:rFonts w:ascii="Arial" w:cs="Arial" w:eastAsia="Arial" w:hAnsi="Arial"/>
                <w:sz w:val="18"/>
                <w:szCs w:val="18"/>
                <w:b w:val="1"/>
                <w:bCs w:val="1"/>
                <w:color w:val="auto"/>
                <w:w w:val="96"/>
              </w:rPr>
              <w:t>Aggregate</w:t>
            </w:r>
          </w:p>
        </w:tc>
        <w:tc>
          <w:tcPr>
            <w:tcW w:w="440" w:type="dxa"/>
            <w:vAlign w:val="bottom"/>
            <w:tcBorders>
              <w:left w:val="single" w:sz="8" w:color="9ADAF6"/>
            </w:tcBorders>
            <w:gridSpan w:val="2"/>
            <w:shd w:val="clear" w:color="auto" w:fill="9ADAF6"/>
          </w:tcPr>
          <w:p>
            <w:pPr>
              <w:ind w:left="80"/>
              <w:spacing w:after="0" w:line="200" w:lineRule="exact"/>
              <w:rPr>
                <w:sz w:val="20"/>
                <w:szCs w:val="20"/>
                <w:color w:val="auto"/>
              </w:rPr>
            </w:pPr>
            <w:r>
              <w:rPr>
                <w:rFonts w:ascii="Arial" w:cs="Arial" w:eastAsia="Arial" w:hAnsi="Arial"/>
                <w:sz w:val="18"/>
                <w:szCs w:val="18"/>
                <w:b w:val="1"/>
                <w:bCs w:val="1"/>
                <w:color w:val="auto"/>
              </w:rPr>
              <w:t>Fee</w:t>
            </w:r>
          </w:p>
        </w:tc>
        <w:tc>
          <w:tcPr>
            <w:tcW w:w="20" w:type="dxa"/>
            <w:vAlign w:val="bottom"/>
          </w:tcPr>
          <w:p>
            <w:pPr>
              <w:spacing w:after="0"/>
              <w:rPr>
                <w:sz w:val="17"/>
                <w:szCs w:val="17"/>
                <w:color w:val="auto"/>
              </w:rPr>
            </w:pPr>
          </w:p>
        </w:tc>
        <w:tc>
          <w:tcPr>
            <w:tcW w:w="10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Amount of</w:t>
            </w:r>
          </w:p>
        </w:tc>
        <w:tc>
          <w:tcPr>
            <w:tcW w:w="20" w:type="dxa"/>
            <w:vAlign w:val="bottom"/>
          </w:tcPr>
          <w:p>
            <w:pPr>
              <w:spacing w:after="0"/>
              <w:rPr>
                <w:sz w:val="17"/>
                <w:szCs w:val="17"/>
                <w:color w:val="auto"/>
              </w:rPr>
            </w:pPr>
          </w:p>
        </w:tc>
        <w:tc>
          <w:tcPr>
            <w:tcW w:w="74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Forward</w:t>
            </w:r>
          </w:p>
        </w:tc>
        <w:tc>
          <w:tcPr>
            <w:tcW w:w="20" w:type="dxa"/>
            <w:vAlign w:val="bottom"/>
          </w:tcPr>
          <w:p>
            <w:pPr>
              <w:spacing w:after="0"/>
              <w:rPr>
                <w:sz w:val="17"/>
                <w:szCs w:val="17"/>
                <w:color w:val="auto"/>
              </w:rPr>
            </w:pPr>
          </w:p>
        </w:tc>
        <w:tc>
          <w:tcPr>
            <w:tcW w:w="72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Forward</w:t>
            </w:r>
          </w:p>
        </w:tc>
        <w:tc>
          <w:tcPr>
            <w:tcW w:w="40" w:type="dxa"/>
            <w:vAlign w:val="bottom"/>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Forward</w:t>
            </w: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780" w:type="dxa"/>
            <w:vAlign w:val="bottom"/>
            <w:tcBorders>
              <w:right w:val="single" w:sz="8" w:color="auto"/>
            </w:tcBorders>
            <w:gridSpan w:val="3"/>
            <w:shd w:val="clear" w:color="auto" w:fill="9ADAF6"/>
          </w:tcPr>
          <w:p>
            <w:pPr>
              <w:jc w:val="center"/>
              <w:ind w:right="260"/>
              <w:spacing w:after="0" w:line="200" w:lineRule="exact"/>
              <w:rPr>
                <w:sz w:val="20"/>
                <w:szCs w:val="20"/>
                <w:color w:val="auto"/>
              </w:rPr>
            </w:pPr>
            <w:r>
              <w:rPr>
                <w:rFonts w:ascii="Arial" w:cs="Arial" w:eastAsia="Arial" w:hAnsi="Arial"/>
                <w:sz w:val="18"/>
                <w:szCs w:val="18"/>
                <w:b w:val="1"/>
                <w:bCs w:val="1"/>
                <w:color w:val="auto"/>
                <w:w w:val="99"/>
              </w:rPr>
              <w:t>with</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shd w:val="clear" w:color="auto" w:fill="9ADAF6"/>
          </w:tcPr>
          <w:p>
            <w:pPr>
              <w:ind w:left="180"/>
              <w:spacing w:after="0" w:line="200" w:lineRule="exact"/>
              <w:rPr>
                <w:sz w:val="20"/>
                <w:szCs w:val="20"/>
                <w:color w:val="auto"/>
              </w:rPr>
            </w:pPr>
            <w:r>
              <w:rPr>
                <w:rFonts w:ascii="Arial" w:cs="Arial" w:eastAsia="Arial" w:hAnsi="Arial"/>
                <w:sz w:val="18"/>
                <w:szCs w:val="18"/>
                <w:b w:val="1"/>
                <w:bCs w:val="1"/>
                <w:color w:val="auto"/>
              </w:rPr>
              <w:t>Type</w:t>
            </w:r>
          </w:p>
        </w:tc>
        <w:tc>
          <w:tcPr>
            <w:tcW w:w="8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5"/>
              </w:rPr>
              <w:t>Class</w:t>
            </w: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840" w:type="dxa"/>
            <w:vAlign w:val="bottom"/>
            <w:gridSpan w:val="4"/>
            <w:shd w:val="clear" w:color="auto" w:fill="9ADAF6"/>
          </w:tcPr>
          <w:p>
            <w:pPr>
              <w:jc w:val="center"/>
              <w:ind w:right="53"/>
              <w:spacing w:after="0" w:line="200" w:lineRule="exact"/>
              <w:rPr>
                <w:sz w:val="20"/>
                <w:szCs w:val="20"/>
                <w:color w:val="auto"/>
              </w:rPr>
            </w:pPr>
            <w:r>
              <w:rPr>
                <w:rFonts w:ascii="Arial" w:cs="Arial" w:eastAsia="Arial" w:hAnsi="Arial"/>
                <w:sz w:val="18"/>
                <w:szCs w:val="18"/>
                <w:b w:val="1"/>
                <w:bCs w:val="1"/>
                <w:color w:val="auto"/>
                <w:w w:val="99"/>
              </w:rPr>
              <w:t>or Carry</w:t>
            </w:r>
          </w:p>
        </w:tc>
        <w:tc>
          <w:tcPr>
            <w:tcW w:w="40" w:type="dxa"/>
            <w:vAlign w:val="bottom"/>
            <w:tcBorders>
              <w:right w:val="single" w:sz="8" w:color="9ADAF6"/>
            </w:tcBorders>
          </w:tcPr>
          <w:p>
            <w:pPr>
              <w:spacing w:after="0"/>
              <w:rPr>
                <w:sz w:val="17"/>
                <w:szCs w:val="17"/>
                <w:color w:val="auto"/>
              </w:rPr>
            </w:pPr>
          </w:p>
        </w:tc>
        <w:tc>
          <w:tcPr>
            <w:tcW w:w="920" w:type="dxa"/>
            <w:vAlign w:val="bottom"/>
            <w:gridSpan w:val="4"/>
            <w:shd w:val="clear" w:color="auto" w:fill="9ADAF6"/>
          </w:tcPr>
          <w:p>
            <w:pPr>
              <w:jc w:val="right"/>
              <w:spacing w:after="0" w:line="200" w:lineRule="exact"/>
              <w:rPr>
                <w:sz w:val="20"/>
                <w:szCs w:val="20"/>
                <w:color w:val="auto"/>
              </w:rPr>
            </w:pPr>
            <w:r>
              <w:rPr>
                <w:rFonts w:ascii="Arial" w:cs="Arial" w:eastAsia="Arial" w:hAnsi="Arial"/>
                <w:sz w:val="18"/>
                <w:szCs w:val="18"/>
                <w:b w:val="1"/>
                <w:bCs w:val="1"/>
                <w:color w:val="auto"/>
                <w:w w:val="96"/>
              </w:rPr>
              <w:t>Registered</w:t>
            </w:r>
          </w:p>
        </w:tc>
        <w:tc>
          <w:tcPr>
            <w:tcW w:w="20" w:type="dxa"/>
            <w:vAlign w:val="bottom"/>
          </w:tcPr>
          <w:p>
            <w:pPr>
              <w:spacing w:after="0"/>
              <w:rPr>
                <w:sz w:val="17"/>
                <w:szCs w:val="17"/>
                <w:color w:val="auto"/>
              </w:rPr>
            </w:pPr>
          </w:p>
        </w:tc>
        <w:tc>
          <w:tcPr>
            <w:tcW w:w="860" w:type="dxa"/>
            <w:vAlign w:val="bottom"/>
            <w:gridSpan w:val="5"/>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Offering</w:t>
            </w:r>
          </w:p>
        </w:tc>
        <w:tc>
          <w:tcPr>
            <w:tcW w:w="20" w:type="dxa"/>
            <w:vAlign w:val="bottom"/>
          </w:tcPr>
          <w:p>
            <w:pPr>
              <w:spacing w:after="0"/>
              <w:rPr>
                <w:sz w:val="17"/>
                <w:szCs w:val="17"/>
                <w:color w:val="auto"/>
              </w:rPr>
            </w:pPr>
          </w:p>
        </w:tc>
        <w:tc>
          <w:tcPr>
            <w:tcW w:w="900" w:type="dxa"/>
            <w:vAlign w:val="bottom"/>
            <w:gridSpan w:val="5"/>
            <w:shd w:val="clear" w:color="auto" w:fill="9ADAF6"/>
          </w:tcPr>
          <w:p>
            <w:pPr>
              <w:jc w:val="right"/>
              <w:ind w:right="100"/>
              <w:spacing w:after="0" w:line="200" w:lineRule="exact"/>
              <w:rPr>
                <w:sz w:val="20"/>
                <w:szCs w:val="20"/>
                <w:color w:val="auto"/>
              </w:rPr>
            </w:pPr>
            <w:r>
              <w:rPr>
                <w:rFonts w:ascii="Arial" w:cs="Arial" w:eastAsia="Arial" w:hAnsi="Arial"/>
                <w:sz w:val="18"/>
                <w:szCs w:val="18"/>
                <w:b w:val="1"/>
                <w:bCs w:val="1"/>
                <w:color w:val="auto"/>
              </w:rPr>
              <w:t>Offering</w:t>
            </w:r>
          </w:p>
        </w:tc>
        <w:tc>
          <w:tcPr>
            <w:tcW w:w="440" w:type="dxa"/>
            <w:vAlign w:val="bottom"/>
            <w:tcBorders>
              <w:left w:val="single" w:sz="8" w:color="9ADAF6"/>
            </w:tcBorders>
            <w:gridSpan w:val="2"/>
            <w:shd w:val="clear" w:color="auto" w:fill="9ADAF6"/>
          </w:tcPr>
          <w:p>
            <w:pPr>
              <w:ind w:left="40"/>
              <w:spacing w:after="0" w:line="200" w:lineRule="exact"/>
              <w:rPr>
                <w:sz w:val="20"/>
                <w:szCs w:val="20"/>
                <w:color w:val="auto"/>
              </w:rPr>
            </w:pPr>
            <w:r>
              <w:rPr>
                <w:rFonts w:ascii="Arial" w:cs="Arial" w:eastAsia="Arial" w:hAnsi="Arial"/>
                <w:sz w:val="18"/>
                <w:szCs w:val="18"/>
                <w:b w:val="1"/>
                <w:bCs w:val="1"/>
                <w:color w:val="auto"/>
                <w:w w:val="97"/>
              </w:rPr>
              <w:t>Rate</w:t>
            </w:r>
          </w:p>
        </w:tc>
        <w:tc>
          <w:tcPr>
            <w:tcW w:w="20" w:type="dxa"/>
            <w:vAlign w:val="bottom"/>
          </w:tcPr>
          <w:p>
            <w:pPr>
              <w:spacing w:after="0"/>
              <w:rPr>
                <w:sz w:val="17"/>
                <w:szCs w:val="17"/>
                <w:color w:val="auto"/>
              </w:rPr>
            </w:pPr>
          </w:p>
        </w:tc>
        <w:tc>
          <w:tcPr>
            <w:tcW w:w="1060" w:type="dxa"/>
            <w:vAlign w:val="bottom"/>
            <w:gridSpan w:val="4"/>
            <w:shd w:val="clear" w:color="auto" w:fill="9ADAF6"/>
          </w:tcPr>
          <w:p>
            <w:pPr>
              <w:jc w:val="right"/>
              <w:spacing w:after="0" w:line="200" w:lineRule="exact"/>
              <w:rPr>
                <w:sz w:val="20"/>
                <w:szCs w:val="20"/>
                <w:color w:val="auto"/>
              </w:rPr>
            </w:pPr>
            <w:r>
              <w:rPr>
                <w:rFonts w:ascii="Arial" w:cs="Arial" w:eastAsia="Arial" w:hAnsi="Arial"/>
                <w:sz w:val="18"/>
                <w:szCs w:val="18"/>
                <w:b w:val="1"/>
                <w:bCs w:val="1"/>
                <w:color w:val="auto"/>
                <w:w w:val="97"/>
              </w:rPr>
              <w:t>Registration</w:t>
            </w:r>
          </w:p>
        </w:tc>
        <w:tc>
          <w:tcPr>
            <w:tcW w:w="20" w:type="dxa"/>
            <w:vAlign w:val="bottom"/>
          </w:tcPr>
          <w:p>
            <w:pPr>
              <w:spacing w:after="0"/>
              <w:rPr>
                <w:sz w:val="17"/>
                <w:szCs w:val="17"/>
                <w:color w:val="auto"/>
              </w:rPr>
            </w:pPr>
          </w:p>
        </w:tc>
        <w:tc>
          <w:tcPr>
            <w:tcW w:w="600" w:type="dxa"/>
            <w:vAlign w:val="bottom"/>
            <w:tcBorders>
              <w:right w:val="single" w:sz="8" w:color="9ADAF6"/>
            </w:tcBorders>
            <w:gridSpan w:val="3"/>
            <w:shd w:val="clear" w:color="auto" w:fill="9ADAF6"/>
          </w:tcPr>
          <w:p>
            <w:pPr>
              <w:jc w:val="center"/>
              <w:ind w:left="51"/>
              <w:spacing w:after="0" w:line="200" w:lineRule="exact"/>
              <w:rPr>
                <w:sz w:val="20"/>
                <w:szCs w:val="20"/>
                <w:color w:val="auto"/>
              </w:rPr>
            </w:pPr>
            <w:r>
              <w:rPr>
                <w:rFonts w:ascii="Arial" w:cs="Arial" w:eastAsia="Arial" w:hAnsi="Arial"/>
                <w:sz w:val="18"/>
                <w:szCs w:val="18"/>
                <w:b w:val="1"/>
                <w:bCs w:val="1"/>
                <w:color w:val="auto"/>
              </w:rPr>
              <w:t>Form</w:t>
            </w: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rPr>
              <w:t>File</w:t>
            </w:r>
          </w:p>
        </w:tc>
        <w:tc>
          <w:tcPr>
            <w:tcW w:w="40" w:type="dxa"/>
            <w:vAlign w:val="bottom"/>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Initial</w:t>
            </w: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820" w:type="dxa"/>
            <w:vAlign w:val="bottom"/>
            <w:tcBorders>
              <w:right w:val="single" w:sz="8" w:color="auto"/>
            </w:tcBorders>
            <w:gridSpan w:val="4"/>
            <w:shd w:val="clear" w:color="auto" w:fill="9ADAF6"/>
          </w:tcPr>
          <w:p>
            <w:pPr>
              <w:jc w:val="center"/>
              <w:ind w:right="220"/>
              <w:spacing w:after="0" w:line="200" w:lineRule="exact"/>
              <w:rPr>
                <w:sz w:val="20"/>
                <w:szCs w:val="20"/>
                <w:color w:val="auto"/>
              </w:rPr>
            </w:pPr>
            <w:r>
              <w:rPr>
                <w:rFonts w:ascii="Arial" w:cs="Arial" w:eastAsia="Arial" w:hAnsi="Arial"/>
                <w:sz w:val="18"/>
                <w:szCs w:val="18"/>
                <w:b w:val="1"/>
                <w:bCs w:val="1"/>
                <w:color w:val="auto"/>
                <w:w w:val="98"/>
              </w:rPr>
              <w:t>Unsold</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rPr>
              <w:t>Title</w:t>
            </w: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840" w:type="dxa"/>
            <w:vAlign w:val="bottom"/>
            <w:gridSpan w:val="4"/>
            <w:shd w:val="clear" w:color="auto" w:fill="9ADAF6"/>
          </w:tcPr>
          <w:p>
            <w:pPr>
              <w:jc w:val="center"/>
              <w:ind w:right="53"/>
              <w:spacing w:after="0" w:line="200" w:lineRule="exact"/>
              <w:rPr>
                <w:sz w:val="20"/>
                <w:szCs w:val="20"/>
                <w:color w:val="auto"/>
              </w:rPr>
            </w:pPr>
            <w:r>
              <w:rPr>
                <w:rFonts w:ascii="Arial" w:cs="Arial" w:eastAsia="Arial" w:hAnsi="Arial"/>
                <w:sz w:val="18"/>
                <w:szCs w:val="18"/>
                <w:b w:val="1"/>
                <w:bCs w:val="1"/>
                <w:color w:val="auto"/>
                <w:w w:val="98"/>
              </w:rPr>
              <w:t>Forward</w:t>
            </w:r>
          </w:p>
        </w:tc>
        <w:tc>
          <w:tcPr>
            <w:tcW w:w="4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5"/>
            <w:shd w:val="clear" w:color="auto" w:fill="9ADAF6"/>
          </w:tcPr>
          <w:p>
            <w:pPr>
              <w:ind w:left="40"/>
              <w:spacing w:after="0" w:line="200" w:lineRule="exact"/>
              <w:rPr>
                <w:sz w:val="20"/>
                <w:szCs w:val="20"/>
                <w:color w:val="auto"/>
              </w:rPr>
            </w:pPr>
            <w:r>
              <w:rPr>
                <w:rFonts w:ascii="Arial" w:cs="Arial" w:eastAsia="Arial" w:hAnsi="Arial"/>
                <w:sz w:val="18"/>
                <w:szCs w:val="18"/>
                <w:b w:val="1"/>
                <w:bCs w:val="1"/>
                <w:color w:val="auto"/>
              </w:rPr>
              <w:t>Price Per</w:t>
            </w: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680" w:type="dxa"/>
            <w:vAlign w:val="bottom"/>
            <w:gridSpan w:val="4"/>
            <w:shd w:val="clear" w:color="auto" w:fill="9ADAF6"/>
          </w:tcPr>
          <w:p>
            <w:pPr>
              <w:jc w:val="right"/>
              <w:ind w:right="240"/>
              <w:spacing w:after="0" w:line="200" w:lineRule="exact"/>
              <w:rPr>
                <w:sz w:val="20"/>
                <w:szCs w:val="20"/>
                <w:color w:val="auto"/>
              </w:rPr>
            </w:pPr>
            <w:r>
              <w:rPr>
                <w:rFonts w:ascii="Arial" w:cs="Arial" w:eastAsia="Arial" w:hAnsi="Arial"/>
                <w:sz w:val="18"/>
                <w:szCs w:val="18"/>
                <w:b w:val="1"/>
                <w:bCs w:val="1"/>
                <w:color w:val="auto"/>
                <w:w w:val="95"/>
              </w:rPr>
              <w:t>Price</w:t>
            </w:r>
          </w:p>
        </w:tc>
        <w:tc>
          <w:tcPr>
            <w:tcW w:w="80" w:type="dxa"/>
            <w:vAlign w:val="bottom"/>
            <w:tcBorders>
              <w:left w:val="single" w:sz="8" w:color="9ADAF6"/>
            </w:tcBorders>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6"/>
              </w:rPr>
              <w:t>Fee</w:t>
            </w:r>
          </w:p>
        </w:tc>
        <w:tc>
          <w:tcPr>
            <w:tcW w:w="20" w:type="dxa"/>
            <w:vAlign w:val="bottom"/>
          </w:tcPr>
          <w:p>
            <w:pPr>
              <w:spacing w:after="0"/>
              <w:rPr>
                <w:sz w:val="17"/>
                <w:szCs w:val="17"/>
                <w:color w:val="auto"/>
              </w:rPr>
            </w:pPr>
          </w:p>
        </w:tc>
        <w:tc>
          <w:tcPr>
            <w:tcW w:w="600" w:type="dxa"/>
            <w:vAlign w:val="bottom"/>
            <w:tcBorders>
              <w:right w:val="single" w:sz="8" w:color="9ADAF6"/>
            </w:tcBorders>
            <w:gridSpan w:val="3"/>
            <w:shd w:val="clear" w:color="auto" w:fill="9ADAF6"/>
          </w:tcPr>
          <w:p>
            <w:pPr>
              <w:jc w:val="center"/>
              <w:ind w:left="31"/>
              <w:spacing w:after="0" w:line="200" w:lineRule="exact"/>
              <w:rPr>
                <w:sz w:val="20"/>
                <w:szCs w:val="20"/>
                <w:color w:val="auto"/>
              </w:rPr>
            </w:pPr>
            <w:r>
              <w:rPr>
                <w:rFonts w:ascii="Arial" w:cs="Arial" w:eastAsia="Arial" w:hAnsi="Arial"/>
                <w:sz w:val="18"/>
                <w:szCs w:val="18"/>
                <w:b w:val="1"/>
                <w:bCs w:val="1"/>
                <w:color w:val="auto"/>
                <w:w w:val="95"/>
              </w:rPr>
              <w:t>Type</w:t>
            </w: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Number</w:t>
            </w:r>
          </w:p>
        </w:tc>
        <w:tc>
          <w:tcPr>
            <w:tcW w:w="40" w:type="dxa"/>
            <w:vAlign w:val="bottom"/>
          </w:tcPr>
          <w:p>
            <w:pPr>
              <w:spacing w:after="0"/>
              <w:rPr>
                <w:sz w:val="17"/>
                <w:szCs w:val="17"/>
                <w:color w:val="auto"/>
              </w:rPr>
            </w:pPr>
          </w:p>
        </w:tc>
        <w:tc>
          <w:tcPr>
            <w:tcW w:w="760" w:type="dxa"/>
            <w:vAlign w:val="bottom"/>
            <w:gridSpan w:val="2"/>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Effective</w:t>
            </w:r>
          </w:p>
        </w:tc>
        <w:tc>
          <w:tcPr>
            <w:tcW w:w="20" w:type="dxa"/>
            <w:vAlign w:val="bottom"/>
          </w:tcPr>
          <w:p>
            <w:pPr>
              <w:spacing w:after="0"/>
              <w:rPr>
                <w:sz w:val="17"/>
                <w:szCs w:val="17"/>
                <w:color w:val="auto"/>
              </w:rPr>
            </w:pPr>
          </w:p>
        </w:tc>
        <w:tc>
          <w:tcPr>
            <w:tcW w:w="1020" w:type="dxa"/>
            <w:vAlign w:val="bottom"/>
            <w:tcBorders>
              <w:right w:val="single" w:sz="8" w:color="auto"/>
            </w:tcBorders>
            <w:gridSpan w:val="5"/>
            <w:shd w:val="clear" w:color="auto" w:fill="9ADAF6"/>
          </w:tcPr>
          <w:p>
            <w:pPr>
              <w:jc w:val="center"/>
              <w:ind w:right="20"/>
              <w:spacing w:after="0" w:line="200" w:lineRule="exact"/>
              <w:rPr>
                <w:sz w:val="20"/>
                <w:szCs w:val="20"/>
                <w:color w:val="auto"/>
              </w:rPr>
            </w:pPr>
            <w:r>
              <w:rPr>
                <w:rFonts w:ascii="Arial" w:cs="Arial" w:eastAsia="Arial" w:hAnsi="Arial"/>
                <w:sz w:val="18"/>
                <w:szCs w:val="18"/>
                <w:b w:val="1"/>
                <w:bCs w:val="1"/>
                <w:color w:val="auto"/>
                <w:w w:val="97"/>
              </w:rPr>
              <w:t>Securities</w:t>
            </w:r>
          </w:p>
        </w:tc>
        <w:tc>
          <w:tcPr>
            <w:tcW w:w="0" w:type="dxa"/>
            <w:vAlign w:val="bottom"/>
          </w:tcPr>
          <w:p>
            <w:pPr>
              <w:spacing w:after="0"/>
              <w:rPr>
                <w:sz w:val="1"/>
                <w:szCs w:val="1"/>
                <w:color w:val="auto"/>
              </w:rPr>
            </w:pPr>
          </w:p>
        </w:tc>
      </w:tr>
      <w:tr>
        <w:trPr>
          <w:trHeight w:val="199"/>
        </w:trPr>
        <w:tc>
          <w:tcPr>
            <w:tcW w:w="2060" w:type="dxa"/>
            <w:vAlign w:val="bottom"/>
            <w:tcBorders>
              <w:left w:val="single" w:sz="8" w:color="auto"/>
              <w:right w:val="single" w:sz="8" w:color="9ADAF6"/>
            </w:tcBorders>
            <w:gridSpan w:val="13"/>
          </w:tcPr>
          <w:p>
            <w:pPr>
              <w:spacing w:after="0"/>
              <w:rPr>
                <w:sz w:val="17"/>
                <w:szCs w:val="17"/>
                <w:color w:val="auto"/>
              </w:rPr>
            </w:pPr>
          </w:p>
        </w:tc>
        <w:tc>
          <w:tcPr>
            <w:tcW w:w="1720" w:type="dxa"/>
            <w:vAlign w:val="bottom"/>
            <w:tcBorders>
              <w:right w:val="single" w:sz="8" w:color="9ADAF6"/>
            </w:tcBorders>
            <w:gridSpan w:val="9"/>
            <w:shd w:val="clear" w:color="auto" w:fill="9ADAF6"/>
          </w:tcPr>
          <w:p>
            <w:pPr>
              <w:spacing w:after="0"/>
              <w:rPr>
                <w:sz w:val="20"/>
                <w:szCs w:val="20"/>
                <w:color w:val="auto"/>
              </w:rPr>
            </w:pPr>
            <w:r>
              <w:rPr>
                <w:rFonts w:ascii="Arial" w:cs="Arial" w:eastAsia="Arial" w:hAnsi="Arial"/>
                <w:sz w:val="18"/>
                <w:szCs w:val="18"/>
                <w:b w:val="1"/>
                <w:bCs w:val="1"/>
                <w:color w:val="auto"/>
              </w:rPr>
              <w:t>Rule</w:t>
            </w:r>
          </w:p>
        </w:tc>
        <w:tc>
          <w:tcPr>
            <w:tcW w:w="780" w:type="dxa"/>
            <w:vAlign w:val="bottom"/>
            <w:tcBorders>
              <w:right w:val="single" w:sz="8" w:color="9ADAF6"/>
            </w:tcBorders>
            <w:gridSpan w:val="2"/>
            <w:shd w:val="clear" w:color="auto" w:fill="9ADAF6"/>
          </w:tcPr>
          <w:p>
            <w:pPr>
              <w:spacing w:after="0"/>
              <w:rPr>
                <w:sz w:val="17"/>
                <w:szCs w:val="17"/>
                <w:color w:val="auto"/>
              </w:rPr>
            </w:pPr>
          </w:p>
        </w:tc>
        <w:tc>
          <w:tcPr>
            <w:tcW w:w="1940" w:type="dxa"/>
            <w:vAlign w:val="bottom"/>
            <w:gridSpan w:val="14"/>
            <w:shd w:val="clear" w:color="auto" w:fill="9ADAF6"/>
          </w:tcPr>
          <w:p>
            <w:pPr>
              <w:spacing w:after="0"/>
              <w:rPr>
                <w:sz w:val="20"/>
                <w:szCs w:val="20"/>
                <w:color w:val="auto"/>
              </w:rPr>
            </w:pPr>
            <w:r>
              <w:rPr>
                <w:rFonts w:ascii="Arial" w:cs="Arial" w:eastAsia="Arial" w:hAnsi="Arial"/>
                <w:sz w:val="18"/>
                <w:szCs w:val="18"/>
                <w:b w:val="1"/>
                <w:bCs w:val="1"/>
                <w:color w:val="auto"/>
              </w:rPr>
              <w:t>Unit</w:t>
            </w:r>
          </w:p>
        </w:tc>
        <w:tc>
          <w:tcPr>
            <w:tcW w:w="2040" w:type="dxa"/>
            <w:vAlign w:val="bottom"/>
            <w:tcBorders>
              <w:left w:val="single" w:sz="8" w:color="9ADAF6"/>
            </w:tcBorders>
            <w:gridSpan w:val="10"/>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1940" w:type="dxa"/>
            <w:vAlign w:val="bottom"/>
            <w:gridSpan w:val="11"/>
            <w:shd w:val="clear" w:color="auto" w:fill="9ADAF6"/>
          </w:tcPr>
          <w:p>
            <w:pPr>
              <w:spacing w:after="0"/>
              <w:rPr>
                <w:sz w:val="20"/>
                <w:szCs w:val="20"/>
                <w:color w:val="auto"/>
              </w:rPr>
            </w:pPr>
            <w:r>
              <w:rPr>
                <w:rFonts w:ascii="Arial" w:cs="Arial" w:eastAsia="Arial" w:hAnsi="Arial"/>
                <w:sz w:val="18"/>
                <w:szCs w:val="18"/>
                <w:b w:val="1"/>
                <w:bCs w:val="1"/>
                <w:color w:val="auto"/>
              </w:rPr>
              <w:t>Date</w:t>
            </w:r>
          </w:p>
        </w:tc>
        <w:tc>
          <w:tcPr>
            <w:tcW w:w="780" w:type="dxa"/>
            <w:vAlign w:val="bottom"/>
            <w:tcBorders>
              <w:right w:val="single" w:sz="8" w:color="auto"/>
            </w:tcBorders>
            <w:gridSpan w:val="3"/>
            <w:vMerge w:val="restart"/>
            <w:shd w:val="clear" w:color="auto" w:fill="9ADAF6"/>
          </w:tcPr>
          <w:p>
            <w:pPr>
              <w:jc w:val="center"/>
              <w:ind w:right="280"/>
              <w:spacing w:after="0"/>
              <w:rPr>
                <w:sz w:val="20"/>
                <w:szCs w:val="20"/>
                <w:color w:val="auto"/>
              </w:rPr>
            </w:pPr>
            <w:r>
              <w:rPr>
                <w:rFonts w:ascii="Arial" w:cs="Arial" w:eastAsia="Arial" w:hAnsi="Arial"/>
                <w:sz w:val="18"/>
                <w:szCs w:val="18"/>
                <w:b w:val="1"/>
                <w:bCs w:val="1"/>
                <w:color w:val="auto"/>
                <w:w w:val="97"/>
              </w:rPr>
              <w:t>to be</w:t>
            </w:r>
          </w:p>
        </w:tc>
        <w:tc>
          <w:tcPr>
            <w:tcW w:w="0" w:type="dxa"/>
            <w:vAlign w:val="bottom"/>
          </w:tcPr>
          <w:p>
            <w:pPr>
              <w:spacing w:after="0"/>
              <w:rPr>
                <w:sz w:val="1"/>
                <w:szCs w:val="1"/>
                <w:color w:val="auto"/>
              </w:rPr>
            </w:pPr>
          </w:p>
        </w:tc>
      </w:tr>
      <w:tr>
        <w:trPr>
          <w:trHeight w:val="21"/>
        </w:trPr>
        <w:tc>
          <w:tcPr>
            <w:tcW w:w="2060" w:type="dxa"/>
            <w:vAlign w:val="bottom"/>
            <w:tcBorders>
              <w:left w:val="single" w:sz="8" w:color="auto"/>
              <w:right w:val="single" w:sz="8" w:color="9ADAF6"/>
            </w:tcBorders>
            <w:gridSpan w:val="13"/>
          </w:tcPr>
          <w:p>
            <w:pPr>
              <w:spacing w:after="0" w:line="20" w:lineRule="exact"/>
              <w:rPr>
                <w:sz w:val="1"/>
                <w:szCs w:val="1"/>
                <w:color w:val="auto"/>
              </w:rPr>
            </w:pPr>
          </w:p>
        </w:tc>
        <w:tc>
          <w:tcPr>
            <w:tcW w:w="1720" w:type="dxa"/>
            <w:vAlign w:val="bottom"/>
            <w:tcBorders>
              <w:right w:val="single" w:sz="8" w:color="9ADAF6"/>
            </w:tcBorders>
            <w:gridSpan w:val="9"/>
            <w:shd w:val="clear" w:color="auto" w:fill="9ADAF6"/>
          </w:tcPr>
          <w:p>
            <w:pPr>
              <w:spacing w:after="0" w:line="20" w:lineRule="exact"/>
              <w:rPr>
                <w:sz w:val="1"/>
                <w:szCs w:val="1"/>
                <w:color w:val="auto"/>
              </w:rPr>
            </w:pPr>
          </w:p>
        </w:tc>
        <w:tc>
          <w:tcPr>
            <w:tcW w:w="780" w:type="dxa"/>
            <w:vAlign w:val="bottom"/>
            <w:tcBorders>
              <w:right w:val="single" w:sz="8" w:color="9ADAF6"/>
            </w:tcBorders>
            <w:gridSpan w:val="2"/>
            <w:shd w:val="clear" w:color="auto" w:fill="9ADAF6"/>
          </w:tcPr>
          <w:p>
            <w:pPr>
              <w:spacing w:after="0" w:line="20" w:lineRule="exact"/>
              <w:rPr>
                <w:sz w:val="1"/>
                <w:szCs w:val="1"/>
                <w:color w:val="auto"/>
              </w:rPr>
            </w:pPr>
          </w:p>
        </w:tc>
        <w:tc>
          <w:tcPr>
            <w:tcW w:w="620" w:type="dxa"/>
            <w:vAlign w:val="bottom"/>
            <w:tcBorders>
              <w:right w:val="single" w:sz="8" w:color="9ADAF6"/>
            </w:tcBorders>
            <w:gridSpan w:val="6"/>
            <w:shd w:val="clear" w:color="auto" w:fill="9ADAF6"/>
          </w:tcPr>
          <w:p>
            <w:pPr>
              <w:spacing w:after="0" w:line="20" w:lineRule="exact"/>
              <w:rPr>
                <w:sz w:val="1"/>
                <w:szCs w:val="1"/>
                <w:color w:val="auto"/>
              </w:rPr>
            </w:pPr>
          </w:p>
        </w:tc>
        <w:tc>
          <w:tcPr>
            <w:tcW w:w="1320" w:type="dxa"/>
            <w:vAlign w:val="bottom"/>
            <w:gridSpan w:val="8"/>
            <w:shd w:val="clear" w:color="auto" w:fill="9ADAF6"/>
          </w:tcPr>
          <w:p>
            <w:pPr>
              <w:spacing w:after="0" w:line="20" w:lineRule="exact"/>
              <w:rPr>
                <w:sz w:val="1"/>
                <w:szCs w:val="1"/>
                <w:color w:val="auto"/>
              </w:rPr>
            </w:pPr>
          </w:p>
        </w:tc>
        <w:tc>
          <w:tcPr>
            <w:tcW w:w="2040" w:type="dxa"/>
            <w:vAlign w:val="bottom"/>
            <w:tcBorders>
              <w:left w:val="single" w:sz="8" w:color="9ADAF6"/>
            </w:tcBorders>
            <w:gridSpan w:val="10"/>
            <w:shd w:val="clear" w:color="auto" w:fill="9ADAF6"/>
          </w:tcPr>
          <w:p>
            <w:pPr>
              <w:spacing w:after="0" w:line="20" w:lineRule="exact"/>
              <w:rPr>
                <w:sz w:val="1"/>
                <w:szCs w:val="1"/>
                <w:color w:val="auto"/>
              </w:rPr>
            </w:pPr>
          </w:p>
        </w:tc>
        <w:tc>
          <w:tcPr>
            <w:tcW w:w="100" w:type="dxa"/>
            <w:vAlign w:val="bottom"/>
            <w:tcBorders>
              <w:left w:val="single" w:sz="8" w:color="9ADAF6"/>
              <w:right w:val="single" w:sz="8" w:color="9ADAF6"/>
            </w:tcBorders>
            <w:shd w:val="clear" w:color="auto" w:fill="9ADAF6"/>
          </w:tcPr>
          <w:p>
            <w:pPr>
              <w:spacing w:after="0" w:line="20" w:lineRule="exact"/>
              <w:rPr>
                <w:sz w:val="1"/>
                <w:szCs w:val="1"/>
                <w:color w:val="auto"/>
              </w:rPr>
            </w:pPr>
          </w:p>
        </w:tc>
        <w:tc>
          <w:tcPr>
            <w:tcW w:w="1940" w:type="dxa"/>
            <w:vAlign w:val="bottom"/>
            <w:gridSpan w:val="11"/>
            <w:shd w:val="clear" w:color="auto" w:fill="9ADAF6"/>
          </w:tcPr>
          <w:p>
            <w:pPr>
              <w:spacing w:after="0" w:line="20" w:lineRule="exact"/>
              <w:rPr>
                <w:sz w:val="1"/>
                <w:szCs w:val="1"/>
                <w:color w:val="auto"/>
              </w:rPr>
            </w:pPr>
          </w:p>
        </w:tc>
        <w:tc>
          <w:tcPr>
            <w:tcW w:w="780" w:type="dxa"/>
            <w:vAlign w:val="bottom"/>
            <w:tcBorders>
              <w:right w:val="single" w:sz="8" w:color="auto"/>
            </w:tcBorders>
            <w:gridSpan w:val="3"/>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60" w:type="dxa"/>
            <w:vAlign w:val="bottom"/>
            <w:tcBorders>
              <w:left w:val="single" w:sz="8" w:color="auto"/>
              <w:right w:val="single" w:sz="8" w:color="9ADAF6"/>
            </w:tcBorders>
            <w:gridSpan w:val="13"/>
          </w:tcPr>
          <w:p>
            <w:pPr>
              <w:spacing w:after="0"/>
              <w:rPr>
                <w:sz w:val="17"/>
                <w:szCs w:val="17"/>
                <w:color w:val="auto"/>
              </w:rPr>
            </w:pPr>
          </w:p>
        </w:tc>
        <w:tc>
          <w:tcPr>
            <w:tcW w:w="1720" w:type="dxa"/>
            <w:vAlign w:val="bottom"/>
            <w:tcBorders>
              <w:right w:val="single" w:sz="8" w:color="9ADAF6"/>
            </w:tcBorders>
            <w:gridSpan w:val="9"/>
            <w:shd w:val="clear" w:color="auto" w:fill="9ADAF6"/>
          </w:tcPr>
          <w:p>
            <w:pPr>
              <w:spacing w:after="0"/>
              <w:rPr>
                <w:sz w:val="17"/>
                <w:szCs w:val="17"/>
                <w:color w:val="auto"/>
              </w:rPr>
            </w:pPr>
          </w:p>
        </w:tc>
        <w:tc>
          <w:tcPr>
            <w:tcW w:w="780" w:type="dxa"/>
            <w:vAlign w:val="bottom"/>
            <w:tcBorders>
              <w:right w:val="single" w:sz="8" w:color="9ADAF6"/>
            </w:tcBorders>
            <w:gridSpan w:val="2"/>
            <w:shd w:val="clear" w:color="auto" w:fill="9ADAF6"/>
          </w:tcPr>
          <w:p>
            <w:pPr>
              <w:spacing w:after="0"/>
              <w:rPr>
                <w:sz w:val="17"/>
                <w:szCs w:val="17"/>
                <w:color w:val="auto"/>
              </w:rPr>
            </w:pPr>
          </w:p>
        </w:tc>
        <w:tc>
          <w:tcPr>
            <w:tcW w:w="620" w:type="dxa"/>
            <w:vAlign w:val="bottom"/>
            <w:tcBorders>
              <w:right w:val="single" w:sz="8" w:color="9ADAF6"/>
            </w:tcBorders>
            <w:gridSpan w:val="6"/>
            <w:shd w:val="clear" w:color="auto" w:fill="9ADAF6"/>
          </w:tcPr>
          <w:p>
            <w:pPr>
              <w:spacing w:after="0"/>
              <w:rPr>
                <w:sz w:val="17"/>
                <w:szCs w:val="17"/>
                <w:color w:val="auto"/>
              </w:rPr>
            </w:pPr>
          </w:p>
        </w:tc>
        <w:tc>
          <w:tcPr>
            <w:tcW w:w="1320" w:type="dxa"/>
            <w:vAlign w:val="bottom"/>
            <w:gridSpan w:val="8"/>
            <w:shd w:val="clear" w:color="auto" w:fill="9ADAF6"/>
          </w:tcPr>
          <w:p>
            <w:pPr>
              <w:spacing w:after="0"/>
              <w:rPr>
                <w:sz w:val="17"/>
                <w:szCs w:val="17"/>
                <w:color w:val="auto"/>
              </w:rPr>
            </w:pPr>
          </w:p>
        </w:tc>
        <w:tc>
          <w:tcPr>
            <w:tcW w:w="2040" w:type="dxa"/>
            <w:vAlign w:val="bottom"/>
            <w:tcBorders>
              <w:left w:val="single" w:sz="8" w:color="9ADAF6"/>
            </w:tcBorders>
            <w:gridSpan w:val="10"/>
            <w:shd w:val="clear" w:color="auto" w:fill="9ADAF6"/>
          </w:tcPr>
          <w:p>
            <w:pPr>
              <w:spacing w:after="0"/>
              <w:rPr>
                <w:sz w:val="17"/>
                <w:szCs w:val="17"/>
                <w:color w:val="auto"/>
              </w:rPr>
            </w:pPr>
          </w:p>
        </w:tc>
        <w:tc>
          <w:tcPr>
            <w:tcW w:w="100" w:type="dxa"/>
            <w:vAlign w:val="bottom"/>
            <w:tcBorders>
              <w:left w:val="single" w:sz="8" w:color="9ADAF6"/>
              <w:right w:val="single" w:sz="8" w:color="9ADAF6"/>
            </w:tcBorders>
            <w:shd w:val="clear" w:color="auto" w:fill="9ADAF6"/>
          </w:tcPr>
          <w:p>
            <w:pPr>
              <w:spacing w:after="0"/>
              <w:rPr>
                <w:sz w:val="17"/>
                <w:szCs w:val="17"/>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Carried</w:t>
            </w: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9ADAF6"/>
            </w:tcBorders>
            <w:gridSpan w:val="13"/>
          </w:tcPr>
          <w:p>
            <w:pPr>
              <w:spacing w:after="0"/>
              <w:rPr>
                <w:sz w:val="20"/>
                <w:szCs w:val="20"/>
                <w:color w:val="auto"/>
              </w:rPr>
            </w:pPr>
          </w:p>
        </w:tc>
        <w:tc>
          <w:tcPr>
            <w:tcW w:w="1720" w:type="dxa"/>
            <w:vAlign w:val="bottom"/>
            <w:tcBorders>
              <w:right w:val="single" w:sz="8" w:color="9ADAF6"/>
            </w:tcBorders>
            <w:gridSpan w:val="9"/>
            <w:shd w:val="clear" w:color="auto" w:fill="9ADAF6"/>
          </w:tcPr>
          <w:p>
            <w:pPr>
              <w:spacing w:after="0"/>
              <w:rPr>
                <w:sz w:val="20"/>
                <w:szCs w:val="20"/>
                <w:color w:val="auto"/>
              </w:rPr>
            </w:pPr>
          </w:p>
        </w:tc>
        <w:tc>
          <w:tcPr>
            <w:tcW w:w="780" w:type="dxa"/>
            <w:vAlign w:val="bottom"/>
            <w:tcBorders>
              <w:right w:val="single" w:sz="8" w:color="9ADAF6"/>
            </w:tcBorders>
            <w:gridSpan w:val="2"/>
            <w:shd w:val="clear" w:color="auto" w:fill="9ADAF6"/>
          </w:tcPr>
          <w:p>
            <w:pPr>
              <w:spacing w:after="0"/>
              <w:rPr>
                <w:sz w:val="20"/>
                <w:szCs w:val="20"/>
                <w:color w:val="auto"/>
              </w:rPr>
            </w:pPr>
          </w:p>
        </w:tc>
        <w:tc>
          <w:tcPr>
            <w:tcW w:w="620" w:type="dxa"/>
            <w:vAlign w:val="bottom"/>
            <w:tcBorders>
              <w:right w:val="single" w:sz="8" w:color="9ADAF6"/>
            </w:tcBorders>
            <w:gridSpan w:val="6"/>
            <w:shd w:val="clear" w:color="auto" w:fill="9ADAF6"/>
          </w:tcPr>
          <w:p>
            <w:pPr>
              <w:spacing w:after="0"/>
              <w:rPr>
                <w:sz w:val="20"/>
                <w:szCs w:val="20"/>
                <w:color w:val="auto"/>
              </w:rPr>
            </w:pPr>
          </w:p>
        </w:tc>
        <w:tc>
          <w:tcPr>
            <w:tcW w:w="1320" w:type="dxa"/>
            <w:vAlign w:val="bottom"/>
            <w:gridSpan w:val="8"/>
            <w:shd w:val="clear" w:color="auto" w:fill="9ADAF6"/>
          </w:tcPr>
          <w:p>
            <w:pPr>
              <w:spacing w:after="0"/>
              <w:rPr>
                <w:sz w:val="20"/>
                <w:szCs w:val="20"/>
                <w:color w:val="auto"/>
              </w:rPr>
            </w:pPr>
          </w:p>
        </w:tc>
        <w:tc>
          <w:tcPr>
            <w:tcW w:w="2040" w:type="dxa"/>
            <w:vAlign w:val="bottom"/>
            <w:tcBorders>
              <w:left w:val="single" w:sz="8" w:color="9ADAF6"/>
            </w:tcBorders>
            <w:gridSpan w:val="10"/>
            <w:shd w:val="clear" w:color="auto" w:fill="9ADAF6"/>
          </w:tcPr>
          <w:p>
            <w:pPr>
              <w:spacing w:after="0"/>
              <w:rPr>
                <w:sz w:val="20"/>
                <w:szCs w:val="20"/>
                <w:color w:val="auto"/>
              </w:rPr>
            </w:pPr>
          </w:p>
        </w:tc>
        <w:tc>
          <w:tcPr>
            <w:tcW w:w="100" w:type="dxa"/>
            <w:vAlign w:val="bottom"/>
            <w:tcBorders>
              <w:left w:val="single" w:sz="8" w:color="9ADAF6"/>
              <w:right w:val="single" w:sz="8" w:color="9ADAF6"/>
            </w:tcBorders>
            <w:shd w:val="clear" w:color="auto" w:fill="9ADAF6"/>
          </w:tcPr>
          <w:p>
            <w:pPr>
              <w:spacing w:after="0"/>
              <w:rPr>
                <w:sz w:val="20"/>
                <w:szCs w:val="20"/>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Forward</w:t>
            </w:r>
          </w:p>
        </w:tc>
        <w:tc>
          <w:tcPr>
            <w:tcW w:w="0" w:type="dxa"/>
            <w:vAlign w:val="bottom"/>
          </w:tcPr>
          <w:p>
            <w:pPr>
              <w:spacing w:after="0"/>
              <w:rPr>
                <w:sz w:val="1"/>
                <w:szCs w:val="1"/>
                <w:color w:val="auto"/>
              </w:rPr>
            </w:pPr>
          </w:p>
        </w:tc>
      </w:tr>
      <w:tr>
        <w:trPr>
          <w:trHeight w:val="260"/>
        </w:trPr>
        <w:tc>
          <w:tcPr>
            <w:tcW w:w="40" w:type="dxa"/>
            <w:vAlign w:val="bottom"/>
            <w:tcBorders>
              <w:lef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40" w:type="dxa"/>
            <w:vAlign w:val="bottom"/>
            <w:gridSpan w:val="17"/>
          </w:tcPr>
          <w:p>
            <w:pPr>
              <w:ind w:left="700"/>
              <w:spacing w:after="0"/>
              <w:rPr>
                <w:sz w:val="20"/>
                <w:szCs w:val="20"/>
                <w:color w:val="auto"/>
              </w:rPr>
            </w:pPr>
            <w:r>
              <w:rPr>
                <w:rFonts w:ascii="Arial" w:cs="Arial" w:eastAsia="Arial" w:hAnsi="Arial"/>
                <w:sz w:val="18"/>
                <w:szCs w:val="18"/>
                <w:b w:val="1"/>
                <w:bCs w:val="1"/>
                <w:color w:val="auto"/>
              </w:rPr>
              <w:t>Newly Registered Securities</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95" w:lineRule="exact"/>
              <w:rPr>
                <w:sz w:val="20"/>
                <w:szCs w:val="20"/>
                <w:color w:val="auto"/>
              </w:rPr>
            </w:pPr>
            <w:r>
              <w:rPr>
                <w:rFonts w:ascii="Arial" w:cs="Arial" w:eastAsia="Arial" w:hAnsi="Arial"/>
                <w:sz w:val="18"/>
                <w:szCs w:val="18"/>
                <w:color w:val="auto"/>
              </w:rPr>
              <w:t>Fees to</w:t>
            </w:r>
          </w:p>
        </w:tc>
        <w:tc>
          <w:tcPr>
            <w:tcW w:w="20" w:type="dxa"/>
            <w:vAlign w:val="bottom"/>
          </w:tcPr>
          <w:p>
            <w:pPr>
              <w:spacing w:after="0"/>
              <w:rPr>
                <w:sz w:val="16"/>
                <w:szCs w:val="16"/>
                <w:color w:val="auto"/>
              </w:rPr>
            </w:pPr>
          </w:p>
        </w:tc>
        <w:tc>
          <w:tcPr>
            <w:tcW w:w="32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44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680" w:type="dxa"/>
            <w:vAlign w:val="bottom"/>
            <w:gridSpan w:val="2"/>
            <w:vMerge w:val="restart"/>
            <w:shd w:val="clear" w:color="auto" w:fill="E7E7E2"/>
          </w:tcPr>
          <w:p>
            <w:pPr>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720" w:type="dxa"/>
            <w:vAlign w:val="bottom"/>
            <w:gridSpan w:val="3"/>
            <w:vMerge w:val="restart"/>
            <w:shd w:val="clear" w:color="auto" w:fill="E7E7E2"/>
          </w:tcPr>
          <w:p>
            <w:pPr>
              <w:jc w:val="center"/>
              <w:ind w:right="173"/>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900" w:type="dxa"/>
            <w:vAlign w:val="bottom"/>
            <w:gridSpan w:val="3"/>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tcBorders>
              <w:righ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vMerge w:val="restart"/>
            <w:shd w:val="clear" w:color="auto" w:fill="E7E7E2"/>
          </w:tcPr>
          <w:p>
            <w:pPr>
              <w:ind w:left="6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shd w:val="clear" w:color="auto" w:fill="E7E7E2"/>
          </w:tcPr>
          <w:p>
            <w:pPr>
              <w:spacing w:after="0"/>
              <w:rPr>
                <w:sz w:val="16"/>
                <w:szCs w:val="16"/>
                <w:color w:val="auto"/>
              </w:rPr>
            </w:pPr>
          </w:p>
        </w:tc>
        <w:tc>
          <w:tcPr>
            <w:tcW w:w="360" w:type="dxa"/>
            <w:vAlign w:val="bottom"/>
            <w:vMerge w:val="restart"/>
            <w:shd w:val="clear" w:color="auto" w:fill="E7E7E2"/>
          </w:tcPr>
          <w:p>
            <w:pPr>
              <w:ind w:left="4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40" w:type="dxa"/>
            <w:vAlign w:val="bottom"/>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00" w:type="dxa"/>
            <w:vAlign w:val="bottom"/>
            <w:tcBorders>
              <w:right w:val="single" w:sz="8" w:color="E7E7E2"/>
            </w:tcBorders>
            <w:gridSpan w:val="3"/>
            <w:vMerge w:val="restart"/>
            <w:shd w:val="clear" w:color="auto" w:fill="E7E7E2"/>
          </w:tcPr>
          <w:p>
            <w:pPr>
              <w:jc w:val="center"/>
              <w:ind w:left="51"/>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3"/>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780" w:type="dxa"/>
            <w:vAlign w:val="bottom"/>
            <w:tcBorders>
              <w:right w:val="single" w:sz="8" w:color="auto"/>
            </w:tcBorders>
            <w:gridSpan w:val="3"/>
            <w:vMerge w:val="restart"/>
            <w:shd w:val="clear" w:color="auto" w:fill="E7E7E2"/>
          </w:tcPr>
          <w:p>
            <w:pPr>
              <w:ind w:left="44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be Paid</w:t>
            </w:r>
          </w:p>
        </w:tc>
        <w:tc>
          <w:tcPr>
            <w:tcW w:w="20" w:type="dxa"/>
            <w:vAlign w:val="bottom"/>
          </w:tcPr>
          <w:p>
            <w:pPr>
              <w:spacing w:after="0"/>
              <w:rPr>
                <w:sz w:val="11"/>
                <w:szCs w:val="11"/>
                <w:color w:val="auto"/>
              </w:rPr>
            </w:pPr>
          </w:p>
        </w:tc>
        <w:tc>
          <w:tcPr>
            <w:tcW w:w="3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280" w:type="dxa"/>
            <w:vAlign w:val="bottom"/>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8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720" w:type="dxa"/>
            <w:vAlign w:val="bottom"/>
            <w:gridSpan w:val="3"/>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90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280" w:type="dxa"/>
            <w:vAlign w:val="bottom"/>
            <w:tcBorders>
              <w:right w:val="single" w:sz="8" w:color="E7E7E2"/>
            </w:tcBorders>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gridSpan w:val="3"/>
            <w:vMerge w:val="continue"/>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780" w:type="dxa"/>
            <w:vAlign w:val="bottom"/>
            <w:tcBorders>
              <w:right w:val="single" w:sz="8" w:color="auto"/>
            </w:tcBorders>
            <w:gridSpan w:val="3"/>
            <w:vMerge w:val="continue"/>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780" w:type="dxa"/>
            <w:vAlign w:val="bottom"/>
            <w:tcBorders>
              <w:right w:val="single" w:sz="8" w:color="E7E7E2"/>
            </w:tcBorders>
            <w:gridSpan w:val="2"/>
            <w:shd w:val="clear" w:color="auto" w:fill="E7E7E2"/>
          </w:tcPr>
          <w:p>
            <w:pPr>
              <w:spacing w:after="0"/>
              <w:rPr>
                <w:sz w:val="8"/>
                <w:szCs w:val="8"/>
                <w:color w:val="auto"/>
              </w:rPr>
            </w:pPr>
          </w:p>
        </w:tc>
        <w:tc>
          <w:tcPr>
            <w:tcW w:w="620" w:type="dxa"/>
            <w:vAlign w:val="bottom"/>
            <w:tcBorders>
              <w:right w:val="single" w:sz="8" w:color="E7E7E2"/>
            </w:tcBorders>
            <w:gridSpan w:val="6"/>
            <w:shd w:val="clear" w:color="auto" w:fill="E7E7E2"/>
          </w:tcPr>
          <w:p>
            <w:pPr>
              <w:spacing w:after="0"/>
              <w:rPr>
                <w:sz w:val="8"/>
                <w:szCs w:val="8"/>
                <w:color w:val="auto"/>
              </w:rPr>
            </w:pPr>
          </w:p>
        </w:tc>
        <w:tc>
          <w:tcPr>
            <w:tcW w:w="1320" w:type="dxa"/>
            <w:vAlign w:val="bottom"/>
            <w:gridSpan w:val="8"/>
            <w:shd w:val="clear" w:color="auto" w:fill="E7E7E2"/>
          </w:tcPr>
          <w:p>
            <w:pPr>
              <w:spacing w:after="0"/>
              <w:rPr>
                <w:sz w:val="8"/>
                <w:szCs w:val="8"/>
                <w:color w:val="auto"/>
              </w:rPr>
            </w:pPr>
          </w:p>
        </w:tc>
        <w:tc>
          <w:tcPr>
            <w:tcW w:w="2040" w:type="dxa"/>
            <w:vAlign w:val="bottom"/>
            <w:tcBorders>
              <w:left w:val="single" w:sz="8" w:color="E7E7E2"/>
            </w:tcBorders>
            <w:gridSpan w:val="10"/>
            <w:shd w:val="clear" w:color="auto" w:fill="E7E7E2"/>
          </w:tcPr>
          <w:p>
            <w:pPr>
              <w:spacing w:after="0"/>
              <w:rPr>
                <w:sz w:val="8"/>
                <w:szCs w:val="8"/>
                <w:color w:val="auto"/>
              </w:rPr>
            </w:pPr>
          </w:p>
        </w:tc>
        <w:tc>
          <w:tcPr>
            <w:tcW w:w="100" w:type="dxa"/>
            <w:vAlign w:val="bottom"/>
            <w:tcBorders>
              <w:left w:val="single" w:sz="8" w:color="E7E7E2"/>
              <w:right w:val="single" w:sz="8" w:color="E7E7E2"/>
            </w:tcBorders>
            <w:shd w:val="clear" w:color="auto" w:fill="E7E7E2"/>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360" w:type="dxa"/>
            <w:vAlign w:val="bottom"/>
            <w:tcBorders>
              <w:left w:val="single" w:sz="8" w:color="auto"/>
              <w:right w:val="single" w:sz="8" w:color="auto"/>
            </w:tcBorders>
            <w:gridSpan w:val="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60" w:type="dxa"/>
            <w:vAlign w:val="bottom"/>
            <w:tcBorders>
              <w:left w:val="single" w:sz="8" w:color="auto"/>
              <w:right w:val="single" w:sz="8" w:color="E7E7E2"/>
            </w:tcBorders>
            <w:gridSpan w:val="13"/>
          </w:tcPr>
          <w:p>
            <w:pPr>
              <w:spacing w:after="0"/>
              <w:rPr>
                <w:sz w:val="20"/>
                <w:szCs w:val="20"/>
                <w:color w:val="auto"/>
              </w:rPr>
            </w:pPr>
            <w:r>
              <w:rPr>
                <w:rFonts w:ascii="Arial" w:cs="Arial" w:eastAsia="Arial" w:hAnsi="Arial"/>
                <w:sz w:val="18"/>
                <w:szCs w:val="18"/>
                <w:color w:val="auto"/>
              </w:rPr>
              <w:t>Fees</w:t>
            </w:r>
          </w:p>
        </w:tc>
        <w:tc>
          <w:tcPr>
            <w:tcW w:w="1720" w:type="dxa"/>
            <w:vAlign w:val="bottom"/>
            <w:tcBorders>
              <w:right w:val="single" w:sz="8" w:color="E7E7E2"/>
            </w:tcBorders>
            <w:gridSpan w:val="9"/>
            <w:shd w:val="clear" w:color="auto" w:fill="E7E7E2"/>
          </w:tcPr>
          <w:p>
            <w:pPr>
              <w:spacing w:after="0"/>
              <w:rPr>
                <w:sz w:val="16"/>
                <w:szCs w:val="16"/>
                <w:color w:val="auto"/>
              </w:rPr>
            </w:pPr>
          </w:p>
        </w:tc>
        <w:tc>
          <w:tcPr>
            <w:tcW w:w="780" w:type="dxa"/>
            <w:vAlign w:val="bottom"/>
            <w:tcBorders>
              <w:right w:val="single" w:sz="8" w:color="E7E7E2"/>
            </w:tcBorders>
            <w:gridSpan w:val="2"/>
            <w:shd w:val="clear" w:color="auto" w:fill="E7E7E2"/>
          </w:tcPr>
          <w:p>
            <w:pPr>
              <w:spacing w:after="0"/>
              <w:rPr>
                <w:sz w:val="16"/>
                <w:szCs w:val="16"/>
                <w:color w:val="auto"/>
              </w:rPr>
            </w:pPr>
          </w:p>
        </w:tc>
        <w:tc>
          <w:tcPr>
            <w:tcW w:w="620" w:type="dxa"/>
            <w:vAlign w:val="bottom"/>
            <w:tcBorders>
              <w:right w:val="single" w:sz="8" w:color="E7E7E2"/>
            </w:tcBorders>
            <w:gridSpan w:val="6"/>
            <w:shd w:val="clear" w:color="auto" w:fill="E7E7E2"/>
          </w:tcPr>
          <w:p>
            <w:pPr>
              <w:spacing w:after="0"/>
              <w:rPr>
                <w:sz w:val="16"/>
                <w:szCs w:val="16"/>
                <w:color w:val="auto"/>
              </w:rPr>
            </w:pPr>
          </w:p>
        </w:tc>
        <w:tc>
          <w:tcPr>
            <w:tcW w:w="1320" w:type="dxa"/>
            <w:vAlign w:val="bottom"/>
            <w:gridSpan w:val="8"/>
            <w:shd w:val="clear" w:color="auto" w:fill="E7E7E2"/>
          </w:tcPr>
          <w:p>
            <w:pPr>
              <w:spacing w:after="0"/>
              <w:rPr>
                <w:sz w:val="16"/>
                <w:szCs w:val="16"/>
                <w:color w:val="auto"/>
              </w:rPr>
            </w:pPr>
          </w:p>
        </w:tc>
        <w:tc>
          <w:tcPr>
            <w:tcW w:w="2040" w:type="dxa"/>
            <w:vAlign w:val="bottom"/>
            <w:tcBorders>
              <w:left w:val="single" w:sz="8" w:color="E7E7E2"/>
            </w:tcBorders>
            <w:gridSpan w:val="10"/>
            <w:shd w:val="clear" w:color="auto" w:fill="E7E7E2"/>
          </w:tcPr>
          <w:p>
            <w:pPr>
              <w:spacing w:after="0"/>
              <w:rPr>
                <w:sz w:val="16"/>
                <w:szCs w:val="16"/>
                <w:color w:val="auto"/>
              </w:rPr>
            </w:pPr>
          </w:p>
        </w:tc>
        <w:tc>
          <w:tcPr>
            <w:tcW w:w="100" w:type="dxa"/>
            <w:vAlign w:val="bottom"/>
            <w:tcBorders>
              <w:left w:val="single" w:sz="8" w:color="E7E7E2"/>
              <w:right w:val="single" w:sz="8" w:color="E7E7E2"/>
            </w:tcBorders>
            <w:shd w:val="clear" w:color="auto" w:fill="E7E7E2"/>
          </w:tcPr>
          <w:p>
            <w:pPr>
              <w:spacing w:after="0"/>
              <w:rPr>
                <w:sz w:val="16"/>
                <w:szCs w:val="16"/>
                <w:color w:val="auto"/>
              </w:rPr>
            </w:pPr>
          </w:p>
        </w:tc>
        <w:tc>
          <w:tcPr>
            <w:tcW w:w="2720" w:type="dxa"/>
            <w:vAlign w:val="bottom"/>
            <w:tcBorders>
              <w:right w:val="single" w:sz="8" w:color="auto"/>
            </w:tcBorders>
            <w:gridSpan w:val="14"/>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40" w:type="dxa"/>
            <w:vAlign w:val="bottom"/>
            <w:gridSpan w:val="3"/>
            <w:shd w:val="clear" w:color="auto" w:fill="E7E7E2"/>
          </w:tcPr>
          <w:p>
            <w:pPr>
              <w:ind w:left="20"/>
              <w:spacing w:after="0" w:line="200" w:lineRule="exact"/>
              <w:rPr>
                <w:sz w:val="20"/>
                <w:szCs w:val="20"/>
                <w:color w:val="auto"/>
              </w:rPr>
            </w:pPr>
            <w:r>
              <w:rPr>
                <w:rFonts w:ascii="Arial" w:cs="Arial" w:eastAsia="Arial" w:hAnsi="Arial"/>
                <w:sz w:val="18"/>
                <w:szCs w:val="18"/>
                <w:color w:val="auto"/>
                <w:w w:val="96"/>
              </w:rPr>
              <w:t>Previously</w:t>
            </w:r>
          </w:p>
        </w:tc>
        <w:tc>
          <w:tcPr>
            <w:tcW w:w="20" w:type="dxa"/>
            <w:vAlign w:val="bottom"/>
          </w:tcPr>
          <w:p>
            <w:pPr>
              <w:spacing w:after="0"/>
              <w:rPr>
                <w:sz w:val="17"/>
                <w:szCs w:val="17"/>
                <w:color w:val="auto"/>
              </w:rPr>
            </w:pPr>
          </w:p>
        </w:tc>
        <w:tc>
          <w:tcPr>
            <w:tcW w:w="320" w:type="dxa"/>
            <w:vAlign w:val="bottom"/>
            <w:gridSpan w:val="3"/>
            <w:shd w:val="clear" w:color="auto" w:fill="E7E7E2"/>
          </w:tcPr>
          <w:p>
            <w:pPr>
              <w:ind w:left="20"/>
              <w:spacing w:after="0" w:line="200" w:lineRule="exact"/>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7"/>
                <w:szCs w:val="17"/>
                <w:color w:val="auto"/>
              </w:rPr>
            </w:pPr>
          </w:p>
        </w:tc>
        <w:tc>
          <w:tcPr>
            <w:tcW w:w="440" w:type="dxa"/>
            <w:vAlign w:val="bottom"/>
            <w:shd w:val="clear" w:color="auto" w:fill="E7E7E2"/>
          </w:tcPr>
          <w:p>
            <w:pPr>
              <w:ind w:left="20"/>
              <w:spacing w:after="0" w:line="200" w:lineRule="exact"/>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7"/>
                <w:szCs w:val="17"/>
                <w:color w:val="auto"/>
              </w:rPr>
            </w:pPr>
          </w:p>
        </w:tc>
        <w:tc>
          <w:tcPr>
            <w:tcW w:w="280" w:type="dxa"/>
            <w:vAlign w:val="bottom"/>
            <w:shd w:val="clear" w:color="auto" w:fill="E7E7E2"/>
          </w:tcPr>
          <w:p>
            <w:pPr>
              <w:spacing w:after="0"/>
              <w:rPr>
                <w:sz w:val="17"/>
                <w:szCs w:val="17"/>
                <w:color w:val="auto"/>
              </w:rPr>
            </w:pPr>
          </w:p>
        </w:tc>
        <w:tc>
          <w:tcPr>
            <w:tcW w:w="80" w:type="dxa"/>
            <w:vAlign w:val="bottom"/>
            <w:tcBorders>
              <w:right w:val="single" w:sz="8" w:color="E7E7E2"/>
            </w:tcBorders>
          </w:tcPr>
          <w:p>
            <w:pPr>
              <w:spacing w:after="0"/>
              <w:rPr>
                <w:sz w:val="17"/>
                <w:szCs w:val="17"/>
                <w:color w:val="auto"/>
              </w:rPr>
            </w:pPr>
          </w:p>
        </w:tc>
        <w:tc>
          <w:tcPr>
            <w:tcW w:w="680" w:type="dxa"/>
            <w:vAlign w:val="bottom"/>
            <w:gridSpan w:val="2"/>
            <w:shd w:val="clear" w:color="auto" w:fill="E7E7E2"/>
          </w:tcPr>
          <w:p>
            <w:pPr>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720" w:type="dxa"/>
            <w:vAlign w:val="bottom"/>
            <w:gridSpan w:val="3"/>
            <w:shd w:val="clear" w:color="auto" w:fill="E7E7E2"/>
          </w:tcPr>
          <w:p>
            <w:pPr>
              <w:jc w:val="center"/>
              <w:ind w:right="173"/>
              <w:spacing w:after="0" w:line="200" w:lineRule="exact"/>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900" w:type="dxa"/>
            <w:vAlign w:val="bottom"/>
            <w:gridSpan w:val="3"/>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80" w:type="dxa"/>
            <w:vAlign w:val="bottom"/>
            <w:tcBorders>
              <w:right w:val="single" w:sz="8" w:color="E7E7E2"/>
            </w:tcBorders>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80" w:type="dxa"/>
            <w:vAlign w:val="bottom"/>
            <w:shd w:val="clear" w:color="auto" w:fill="E7E7E2"/>
          </w:tcPr>
          <w:p>
            <w:pPr>
              <w:ind w:left="60"/>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20" w:type="dxa"/>
            <w:vAlign w:val="bottom"/>
            <w:shd w:val="clear" w:color="auto" w:fill="E7E7E2"/>
          </w:tcPr>
          <w:p>
            <w:pPr>
              <w:spacing w:after="0"/>
              <w:rPr>
                <w:sz w:val="17"/>
                <w:szCs w:val="17"/>
                <w:color w:val="auto"/>
              </w:rPr>
            </w:pPr>
          </w:p>
        </w:tc>
        <w:tc>
          <w:tcPr>
            <w:tcW w:w="340" w:type="dxa"/>
            <w:vAlign w:val="bottom"/>
            <w:gridSpan w:val="2"/>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shd w:val="clear" w:color="auto" w:fill="E7E7E2"/>
          </w:tcPr>
          <w:p>
            <w:pPr>
              <w:spacing w:after="0"/>
              <w:rPr>
                <w:sz w:val="17"/>
                <w:szCs w:val="17"/>
                <w:color w:val="auto"/>
              </w:rPr>
            </w:pPr>
          </w:p>
        </w:tc>
        <w:tc>
          <w:tcPr>
            <w:tcW w:w="360" w:type="dxa"/>
            <w:vAlign w:val="bottom"/>
            <w:shd w:val="clear" w:color="auto" w:fill="E7E7E2"/>
          </w:tcPr>
          <w:p>
            <w:pPr>
              <w:ind w:left="40"/>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520" w:type="dxa"/>
            <w:vAlign w:val="bottom"/>
            <w:shd w:val="clear" w:color="auto" w:fill="E7E7E2"/>
          </w:tcPr>
          <w:p>
            <w:pPr>
              <w:spacing w:after="0"/>
              <w:rPr>
                <w:sz w:val="17"/>
                <w:szCs w:val="17"/>
                <w:color w:val="auto"/>
              </w:rPr>
            </w:pPr>
          </w:p>
        </w:tc>
        <w:tc>
          <w:tcPr>
            <w:tcW w:w="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440" w:type="dxa"/>
            <w:vAlign w:val="bottom"/>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600" w:type="dxa"/>
            <w:vAlign w:val="bottom"/>
            <w:tcBorders>
              <w:right w:val="single" w:sz="8" w:color="E7E7E2"/>
            </w:tcBorders>
            <w:gridSpan w:val="3"/>
            <w:shd w:val="clear" w:color="auto" w:fill="E7E7E2"/>
          </w:tcPr>
          <w:p>
            <w:pPr>
              <w:jc w:val="center"/>
              <w:ind w:left="51"/>
              <w:spacing w:after="0" w:line="200" w:lineRule="exact"/>
              <w:rPr>
                <w:sz w:val="20"/>
                <w:szCs w:val="20"/>
                <w:color w:val="auto"/>
              </w:rPr>
            </w:pPr>
            <w:r>
              <w:rPr>
                <w:rFonts w:ascii="Arial" w:cs="Arial" w:eastAsia="Arial" w:hAnsi="Arial"/>
                <w:sz w:val="18"/>
                <w:szCs w:val="18"/>
                <w:color w:val="auto"/>
                <w:w w:val="99"/>
              </w:rPr>
              <w:t>N/A</w:t>
            </w: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shd w:val="clear" w:color="auto" w:fill="E7E7E2"/>
          </w:tcPr>
          <w:p>
            <w:pPr>
              <w:jc w:val="center"/>
              <w:spacing w:after="0" w:line="200" w:lineRule="exact"/>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40" w:type="dxa"/>
            <w:vAlign w:val="bottom"/>
            <w:shd w:val="clear" w:color="auto" w:fill="E7E7E2"/>
          </w:tcPr>
          <w:p>
            <w:pPr>
              <w:jc w:val="center"/>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40" w:type="dxa"/>
            <w:vAlign w:val="bottom"/>
            <w:shd w:val="clear" w:color="auto" w:fill="E7E7E2"/>
          </w:tcPr>
          <w:p>
            <w:pPr>
              <w:spacing w:after="0"/>
              <w:rPr>
                <w:sz w:val="17"/>
                <w:szCs w:val="17"/>
                <w:color w:val="auto"/>
              </w:rPr>
            </w:pPr>
          </w:p>
        </w:tc>
        <w:tc>
          <w:tcPr>
            <w:tcW w:w="780" w:type="dxa"/>
            <w:vAlign w:val="bottom"/>
            <w:tcBorders>
              <w:right w:val="single" w:sz="8" w:color="auto"/>
            </w:tcBorders>
            <w:gridSpan w:val="3"/>
            <w:shd w:val="clear" w:color="auto" w:fill="E7E7E2"/>
          </w:tcPr>
          <w:p>
            <w:pPr>
              <w:ind w:left="440"/>
              <w:spacing w:after="0" w:line="200"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2"/>
        </w:trPr>
        <w:tc>
          <w:tcPr>
            <w:tcW w:w="2060" w:type="dxa"/>
            <w:vAlign w:val="bottom"/>
            <w:tcBorders>
              <w:left w:val="single" w:sz="8" w:color="auto"/>
              <w:right w:val="single" w:sz="8" w:color="E7E7E2"/>
            </w:tcBorders>
            <w:gridSpan w:val="13"/>
          </w:tcPr>
          <w:p>
            <w:pPr>
              <w:spacing w:after="0"/>
              <w:rPr>
                <w:sz w:val="20"/>
                <w:szCs w:val="20"/>
                <w:color w:val="auto"/>
              </w:rPr>
            </w:pPr>
            <w:r>
              <w:rPr>
                <w:rFonts w:ascii="Arial" w:cs="Arial" w:eastAsia="Arial" w:hAnsi="Arial"/>
                <w:sz w:val="18"/>
                <w:szCs w:val="18"/>
                <w:color w:val="auto"/>
              </w:rPr>
              <w:t>Paid</w:t>
            </w:r>
          </w:p>
        </w:tc>
        <w:tc>
          <w:tcPr>
            <w:tcW w:w="1720" w:type="dxa"/>
            <w:vAlign w:val="bottom"/>
            <w:tcBorders>
              <w:right w:val="single" w:sz="8" w:color="E7E7E2"/>
            </w:tcBorders>
            <w:gridSpan w:val="9"/>
            <w:shd w:val="clear" w:color="auto" w:fill="E7E7E2"/>
          </w:tcPr>
          <w:p>
            <w:pPr>
              <w:spacing w:after="0"/>
              <w:rPr>
                <w:sz w:val="20"/>
                <w:szCs w:val="20"/>
                <w:color w:val="auto"/>
              </w:rPr>
            </w:pPr>
          </w:p>
        </w:tc>
        <w:tc>
          <w:tcPr>
            <w:tcW w:w="780" w:type="dxa"/>
            <w:vAlign w:val="bottom"/>
            <w:tcBorders>
              <w:right w:val="single" w:sz="8" w:color="E7E7E2"/>
            </w:tcBorders>
            <w:gridSpan w:val="2"/>
            <w:shd w:val="clear" w:color="auto" w:fill="E7E7E2"/>
          </w:tcPr>
          <w:p>
            <w:pPr>
              <w:spacing w:after="0"/>
              <w:rPr>
                <w:sz w:val="20"/>
                <w:szCs w:val="20"/>
                <w:color w:val="auto"/>
              </w:rPr>
            </w:pPr>
          </w:p>
        </w:tc>
        <w:tc>
          <w:tcPr>
            <w:tcW w:w="620" w:type="dxa"/>
            <w:vAlign w:val="bottom"/>
            <w:tcBorders>
              <w:right w:val="single" w:sz="8" w:color="E7E7E2"/>
            </w:tcBorders>
            <w:gridSpan w:val="6"/>
            <w:shd w:val="clear" w:color="auto" w:fill="E7E7E2"/>
          </w:tcPr>
          <w:p>
            <w:pPr>
              <w:spacing w:after="0"/>
              <w:rPr>
                <w:sz w:val="20"/>
                <w:szCs w:val="20"/>
                <w:color w:val="auto"/>
              </w:rPr>
            </w:pPr>
          </w:p>
        </w:tc>
        <w:tc>
          <w:tcPr>
            <w:tcW w:w="1320" w:type="dxa"/>
            <w:vAlign w:val="bottom"/>
            <w:gridSpan w:val="8"/>
            <w:shd w:val="clear" w:color="auto" w:fill="E7E7E2"/>
          </w:tcPr>
          <w:p>
            <w:pPr>
              <w:spacing w:after="0"/>
              <w:rPr>
                <w:sz w:val="20"/>
                <w:szCs w:val="20"/>
                <w:color w:val="auto"/>
              </w:rPr>
            </w:pPr>
          </w:p>
        </w:tc>
        <w:tc>
          <w:tcPr>
            <w:tcW w:w="2040" w:type="dxa"/>
            <w:vAlign w:val="bottom"/>
            <w:tcBorders>
              <w:left w:val="single" w:sz="8" w:color="E7E7E2"/>
            </w:tcBorders>
            <w:gridSpan w:val="10"/>
            <w:shd w:val="clear" w:color="auto" w:fill="E7E7E2"/>
          </w:tcPr>
          <w:p>
            <w:pPr>
              <w:spacing w:after="0"/>
              <w:rPr>
                <w:sz w:val="20"/>
                <w:szCs w:val="20"/>
                <w:color w:val="auto"/>
              </w:rPr>
            </w:pPr>
          </w:p>
        </w:tc>
        <w:tc>
          <w:tcPr>
            <w:tcW w:w="100" w:type="dxa"/>
            <w:vAlign w:val="bottom"/>
            <w:tcBorders>
              <w:left w:val="single" w:sz="8" w:color="E7E7E2"/>
              <w:right w:val="single" w:sz="8" w:color="E7E7E2"/>
            </w:tcBorders>
            <w:shd w:val="clear" w:color="auto" w:fill="E7E7E2"/>
          </w:tcPr>
          <w:p>
            <w:pPr>
              <w:spacing w:after="0"/>
              <w:rPr>
                <w:sz w:val="20"/>
                <w:szCs w:val="20"/>
                <w:color w:val="auto"/>
              </w:rPr>
            </w:pPr>
          </w:p>
        </w:tc>
        <w:tc>
          <w:tcPr>
            <w:tcW w:w="2720" w:type="dxa"/>
            <w:vAlign w:val="bottom"/>
            <w:tcBorders>
              <w:right w:val="single" w:sz="8" w:color="auto"/>
            </w:tcBorders>
            <w:gridSpan w:val="14"/>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0" w:type="dxa"/>
            <w:vAlign w:val="bottom"/>
            <w:tcBorders>
              <w:lef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15"/>
          </w:tcPr>
          <w:p>
            <w:pPr>
              <w:ind w:left="60"/>
              <w:spacing w:after="0"/>
              <w:rPr>
                <w:sz w:val="20"/>
                <w:szCs w:val="20"/>
                <w:color w:val="auto"/>
              </w:rPr>
            </w:pPr>
            <w:r>
              <w:rPr>
                <w:rFonts w:ascii="Arial" w:cs="Arial" w:eastAsia="Arial" w:hAnsi="Arial"/>
                <w:sz w:val="18"/>
                <w:szCs w:val="18"/>
                <w:b w:val="1"/>
                <w:bCs w:val="1"/>
                <w:color w:val="auto"/>
              </w:rPr>
              <w:t>Carry Forward Securities</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60" w:type="dxa"/>
            <w:vAlign w:val="bottom"/>
            <w:tcBorders>
              <w:left w:val="single" w:sz="8" w:color="auto"/>
              <w:right w:val="single" w:sz="8" w:color="E7E7E2"/>
            </w:tcBorders>
            <w:gridSpan w:val="13"/>
          </w:tcPr>
          <w:p>
            <w:pPr>
              <w:spacing w:after="0"/>
              <w:rPr>
                <w:sz w:val="20"/>
                <w:szCs w:val="20"/>
                <w:color w:val="auto"/>
              </w:rPr>
            </w:pPr>
            <w:r>
              <w:rPr>
                <w:rFonts w:ascii="Arial" w:cs="Arial" w:eastAsia="Arial" w:hAnsi="Arial"/>
                <w:sz w:val="18"/>
                <w:szCs w:val="18"/>
                <w:color w:val="auto"/>
              </w:rPr>
              <w:t>Carry</w:t>
            </w:r>
          </w:p>
        </w:tc>
        <w:tc>
          <w:tcPr>
            <w:tcW w:w="1720" w:type="dxa"/>
            <w:vAlign w:val="bottom"/>
            <w:tcBorders>
              <w:right w:val="single" w:sz="8" w:color="E7E7E2"/>
            </w:tcBorders>
            <w:gridSpan w:val="9"/>
            <w:shd w:val="clear" w:color="auto" w:fill="E7E7E2"/>
          </w:tcPr>
          <w:p>
            <w:pPr>
              <w:spacing w:after="0"/>
              <w:rPr>
                <w:sz w:val="16"/>
                <w:szCs w:val="16"/>
                <w:color w:val="auto"/>
              </w:rPr>
            </w:pPr>
          </w:p>
        </w:tc>
        <w:tc>
          <w:tcPr>
            <w:tcW w:w="780" w:type="dxa"/>
            <w:vAlign w:val="bottom"/>
            <w:tcBorders>
              <w:right w:val="single" w:sz="8" w:color="E7E7E2"/>
            </w:tcBorders>
            <w:gridSpan w:val="2"/>
            <w:shd w:val="clear" w:color="auto" w:fill="E7E7E2"/>
          </w:tcPr>
          <w:p>
            <w:pPr>
              <w:spacing w:after="0"/>
              <w:rPr>
                <w:sz w:val="16"/>
                <w:szCs w:val="16"/>
                <w:color w:val="auto"/>
              </w:rPr>
            </w:pPr>
          </w:p>
        </w:tc>
        <w:tc>
          <w:tcPr>
            <w:tcW w:w="620" w:type="dxa"/>
            <w:vAlign w:val="bottom"/>
            <w:tcBorders>
              <w:right w:val="single" w:sz="8" w:color="E7E7E2"/>
            </w:tcBorders>
            <w:gridSpan w:val="6"/>
            <w:shd w:val="clear" w:color="auto" w:fill="E7E7E2"/>
          </w:tcPr>
          <w:p>
            <w:pPr>
              <w:spacing w:after="0"/>
              <w:rPr>
                <w:sz w:val="16"/>
                <w:szCs w:val="16"/>
                <w:color w:val="auto"/>
              </w:rPr>
            </w:pPr>
          </w:p>
        </w:tc>
        <w:tc>
          <w:tcPr>
            <w:tcW w:w="1320" w:type="dxa"/>
            <w:vAlign w:val="bottom"/>
            <w:gridSpan w:val="8"/>
            <w:shd w:val="clear" w:color="auto" w:fill="E7E7E2"/>
          </w:tcPr>
          <w:p>
            <w:pPr>
              <w:spacing w:after="0"/>
              <w:rPr>
                <w:sz w:val="16"/>
                <w:szCs w:val="16"/>
                <w:color w:val="auto"/>
              </w:rPr>
            </w:pPr>
          </w:p>
        </w:tc>
        <w:tc>
          <w:tcPr>
            <w:tcW w:w="2040" w:type="dxa"/>
            <w:vAlign w:val="bottom"/>
            <w:tcBorders>
              <w:left w:val="single" w:sz="8" w:color="E7E7E2"/>
            </w:tcBorders>
            <w:gridSpan w:val="10"/>
            <w:shd w:val="clear" w:color="auto" w:fill="E7E7E2"/>
          </w:tcPr>
          <w:p>
            <w:pPr>
              <w:spacing w:after="0"/>
              <w:rPr>
                <w:sz w:val="16"/>
                <w:szCs w:val="16"/>
                <w:color w:val="auto"/>
              </w:rPr>
            </w:pPr>
          </w:p>
        </w:tc>
        <w:tc>
          <w:tcPr>
            <w:tcW w:w="100" w:type="dxa"/>
            <w:vAlign w:val="bottom"/>
            <w:tcBorders>
              <w:left w:val="single" w:sz="8" w:color="E7E7E2"/>
              <w:right w:val="single" w:sz="8" w:color="E7E7E2"/>
            </w:tcBorders>
            <w:shd w:val="clear" w:color="auto" w:fill="E7E7E2"/>
          </w:tcPr>
          <w:p>
            <w:pPr>
              <w:spacing w:after="0"/>
              <w:rPr>
                <w:sz w:val="16"/>
                <w:szCs w:val="16"/>
                <w:color w:val="auto"/>
              </w:rPr>
            </w:pPr>
          </w:p>
        </w:tc>
        <w:tc>
          <w:tcPr>
            <w:tcW w:w="2720" w:type="dxa"/>
            <w:vAlign w:val="bottom"/>
            <w:tcBorders>
              <w:right w:val="single" w:sz="8" w:color="auto"/>
            </w:tcBorders>
            <w:gridSpan w:val="14"/>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40" w:type="dxa"/>
            <w:vAlign w:val="bottom"/>
            <w:gridSpan w:val="3"/>
            <w:shd w:val="clear" w:color="auto" w:fill="E7E7E2"/>
          </w:tcPr>
          <w:p>
            <w:pPr>
              <w:ind w:left="20"/>
              <w:spacing w:after="0" w:line="200" w:lineRule="exact"/>
              <w:rPr>
                <w:sz w:val="20"/>
                <w:szCs w:val="20"/>
                <w:color w:val="auto"/>
              </w:rPr>
            </w:pPr>
            <w:r>
              <w:rPr>
                <w:rFonts w:ascii="Arial" w:cs="Arial" w:eastAsia="Arial" w:hAnsi="Arial"/>
                <w:sz w:val="18"/>
                <w:szCs w:val="18"/>
                <w:color w:val="auto"/>
              </w:rPr>
              <w:t>Forward</w:t>
            </w:r>
          </w:p>
        </w:tc>
        <w:tc>
          <w:tcPr>
            <w:tcW w:w="20" w:type="dxa"/>
            <w:vAlign w:val="bottom"/>
          </w:tcPr>
          <w:p>
            <w:pPr>
              <w:spacing w:after="0"/>
              <w:rPr>
                <w:sz w:val="17"/>
                <w:szCs w:val="17"/>
                <w:color w:val="auto"/>
              </w:rPr>
            </w:pPr>
          </w:p>
        </w:tc>
        <w:tc>
          <w:tcPr>
            <w:tcW w:w="320" w:type="dxa"/>
            <w:vAlign w:val="bottom"/>
            <w:gridSpan w:val="3"/>
            <w:shd w:val="clear" w:color="auto" w:fill="E7E7E2"/>
          </w:tcPr>
          <w:p>
            <w:pPr>
              <w:ind w:left="20"/>
              <w:spacing w:after="0" w:line="200" w:lineRule="exact"/>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7"/>
                <w:szCs w:val="17"/>
                <w:color w:val="auto"/>
              </w:rPr>
            </w:pPr>
          </w:p>
        </w:tc>
        <w:tc>
          <w:tcPr>
            <w:tcW w:w="440" w:type="dxa"/>
            <w:vAlign w:val="bottom"/>
            <w:shd w:val="clear" w:color="auto" w:fill="E7E7E2"/>
          </w:tcPr>
          <w:p>
            <w:pPr>
              <w:ind w:left="20"/>
              <w:spacing w:after="0" w:line="200" w:lineRule="exact"/>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7"/>
                <w:szCs w:val="17"/>
                <w:color w:val="auto"/>
              </w:rPr>
            </w:pPr>
          </w:p>
        </w:tc>
        <w:tc>
          <w:tcPr>
            <w:tcW w:w="280" w:type="dxa"/>
            <w:vAlign w:val="bottom"/>
            <w:shd w:val="clear" w:color="auto" w:fill="E7E7E2"/>
          </w:tcPr>
          <w:p>
            <w:pPr>
              <w:spacing w:after="0"/>
              <w:rPr>
                <w:sz w:val="17"/>
                <w:szCs w:val="17"/>
                <w:color w:val="auto"/>
              </w:rPr>
            </w:pPr>
          </w:p>
        </w:tc>
        <w:tc>
          <w:tcPr>
            <w:tcW w:w="80" w:type="dxa"/>
            <w:vAlign w:val="bottom"/>
            <w:tcBorders>
              <w:right w:val="single" w:sz="8" w:color="E7E7E2"/>
            </w:tcBorders>
          </w:tcPr>
          <w:p>
            <w:pPr>
              <w:spacing w:after="0"/>
              <w:rPr>
                <w:sz w:val="17"/>
                <w:szCs w:val="17"/>
                <w:color w:val="auto"/>
              </w:rPr>
            </w:pPr>
          </w:p>
        </w:tc>
        <w:tc>
          <w:tcPr>
            <w:tcW w:w="680" w:type="dxa"/>
            <w:vAlign w:val="bottom"/>
            <w:gridSpan w:val="2"/>
            <w:shd w:val="clear" w:color="auto" w:fill="E7E7E2"/>
          </w:tcPr>
          <w:p>
            <w:pPr>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720" w:type="dxa"/>
            <w:vAlign w:val="bottom"/>
            <w:gridSpan w:val="3"/>
            <w:shd w:val="clear" w:color="auto" w:fill="E7E7E2"/>
          </w:tcPr>
          <w:p>
            <w:pPr>
              <w:jc w:val="center"/>
              <w:ind w:right="173"/>
              <w:spacing w:after="0" w:line="200" w:lineRule="exact"/>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900" w:type="dxa"/>
            <w:vAlign w:val="bottom"/>
            <w:gridSpan w:val="3"/>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1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80" w:type="dxa"/>
            <w:vAlign w:val="bottom"/>
            <w:tcBorders>
              <w:right w:val="single" w:sz="8" w:color="E7E7E2"/>
            </w:tcBorders>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80" w:type="dxa"/>
            <w:vAlign w:val="bottom"/>
            <w:shd w:val="clear" w:color="auto" w:fill="E7E7E2"/>
          </w:tcPr>
          <w:p>
            <w:pPr>
              <w:ind w:left="60"/>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20" w:type="dxa"/>
            <w:vAlign w:val="bottom"/>
            <w:shd w:val="clear" w:color="auto" w:fill="E7E7E2"/>
          </w:tcPr>
          <w:p>
            <w:pPr>
              <w:spacing w:after="0"/>
              <w:rPr>
                <w:sz w:val="17"/>
                <w:szCs w:val="17"/>
                <w:color w:val="auto"/>
              </w:rPr>
            </w:pPr>
          </w:p>
        </w:tc>
        <w:tc>
          <w:tcPr>
            <w:tcW w:w="340" w:type="dxa"/>
            <w:vAlign w:val="bottom"/>
            <w:gridSpan w:val="2"/>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shd w:val="clear" w:color="auto" w:fill="E7E7E2"/>
          </w:tcPr>
          <w:p>
            <w:pPr>
              <w:spacing w:after="0"/>
              <w:rPr>
                <w:sz w:val="17"/>
                <w:szCs w:val="17"/>
                <w:color w:val="auto"/>
              </w:rPr>
            </w:pPr>
          </w:p>
        </w:tc>
        <w:tc>
          <w:tcPr>
            <w:tcW w:w="360" w:type="dxa"/>
            <w:vAlign w:val="bottom"/>
            <w:shd w:val="clear" w:color="auto" w:fill="E7E7E2"/>
          </w:tcPr>
          <w:p>
            <w:pPr>
              <w:ind w:left="40"/>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520" w:type="dxa"/>
            <w:vAlign w:val="bottom"/>
            <w:shd w:val="clear" w:color="auto" w:fill="E7E7E2"/>
          </w:tcPr>
          <w:p>
            <w:pPr>
              <w:spacing w:after="0"/>
              <w:rPr>
                <w:sz w:val="17"/>
                <w:szCs w:val="17"/>
                <w:color w:val="auto"/>
              </w:rPr>
            </w:pPr>
          </w:p>
        </w:tc>
        <w:tc>
          <w:tcPr>
            <w:tcW w:w="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440" w:type="dxa"/>
            <w:vAlign w:val="bottom"/>
            <w:shd w:val="clear" w:color="auto" w:fill="E7E7E2"/>
          </w:tcPr>
          <w:p>
            <w:pPr>
              <w:jc w:val="right"/>
              <w:spacing w:after="0" w:line="200"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c>
          <w:tcPr>
            <w:tcW w:w="600" w:type="dxa"/>
            <w:vAlign w:val="bottom"/>
            <w:tcBorders>
              <w:right w:val="single" w:sz="8" w:color="E7E7E2"/>
            </w:tcBorders>
            <w:gridSpan w:val="3"/>
            <w:shd w:val="clear" w:color="auto" w:fill="E7E7E2"/>
          </w:tcPr>
          <w:p>
            <w:pPr>
              <w:jc w:val="center"/>
              <w:ind w:left="51"/>
              <w:spacing w:after="0" w:line="200" w:lineRule="exact"/>
              <w:rPr>
                <w:sz w:val="20"/>
                <w:szCs w:val="20"/>
                <w:color w:val="auto"/>
              </w:rPr>
            </w:pPr>
            <w:r>
              <w:rPr>
                <w:rFonts w:ascii="Arial" w:cs="Arial" w:eastAsia="Arial" w:hAnsi="Arial"/>
                <w:sz w:val="18"/>
                <w:szCs w:val="18"/>
                <w:color w:val="auto"/>
                <w:w w:val="99"/>
              </w:rPr>
              <w:t>N/A</w:t>
            </w: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shd w:val="clear" w:color="auto" w:fill="E7E7E2"/>
          </w:tcPr>
          <w:p>
            <w:pPr>
              <w:jc w:val="center"/>
              <w:spacing w:after="0" w:line="200" w:lineRule="exact"/>
              <w:rPr>
                <w:sz w:val="20"/>
                <w:szCs w:val="20"/>
                <w:color w:val="auto"/>
              </w:rPr>
            </w:pPr>
            <w:r>
              <w:rPr>
                <w:rFonts w:ascii="Arial" w:cs="Arial" w:eastAsia="Arial" w:hAnsi="Arial"/>
                <w:sz w:val="18"/>
                <w:szCs w:val="18"/>
                <w:color w:val="auto"/>
                <w:w w:val="99"/>
              </w:rPr>
              <w:t>N/A</w:t>
            </w:r>
          </w:p>
        </w:tc>
        <w:tc>
          <w:tcPr>
            <w:tcW w:w="40" w:type="dxa"/>
            <w:vAlign w:val="bottom"/>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40" w:type="dxa"/>
            <w:vAlign w:val="bottom"/>
            <w:shd w:val="clear" w:color="auto" w:fill="E7E7E2"/>
          </w:tcPr>
          <w:p>
            <w:pPr>
              <w:jc w:val="center"/>
              <w:spacing w:after="0" w:line="200" w:lineRule="exact"/>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40" w:type="dxa"/>
            <w:vAlign w:val="bottom"/>
            <w:shd w:val="clear" w:color="auto" w:fill="E7E7E2"/>
          </w:tcPr>
          <w:p>
            <w:pPr>
              <w:spacing w:after="0"/>
              <w:rPr>
                <w:sz w:val="17"/>
                <w:szCs w:val="17"/>
                <w:color w:val="auto"/>
              </w:rPr>
            </w:pPr>
          </w:p>
        </w:tc>
        <w:tc>
          <w:tcPr>
            <w:tcW w:w="780" w:type="dxa"/>
            <w:vAlign w:val="bottom"/>
            <w:tcBorders>
              <w:right w:val="single" w:sz="8" w:color="auto"/>
            </w:tcBorders>
            <w:gridSpan w:val="3"/>
            <w:shd w:val="clear" w:color="auto" w:fill="E7E7E2"/>
          </w:tcPr>
          <w:p>
            <w:pPr>
              <w:ind w:left="440"/>
              <w:spacing w:after="0" w:line="200"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2"/>
        </w:trPr>
        <w:tc>
          <w:tcPr>
            <w:tcW w:w="2060" w:type="dxa"/>
            <w:vAlign w:val="bottom"/>
            <w:tcBorders>
              <w:left w:val="single" w:sz="8" w:color="auto"/>
              <w:right w:val="single" w:sz="8" w:color="E7E7E2"/>
            </w:tcBorders>
            <w:gridSpan w:val="13"/>
          </w:tcPr>
          <w:p>
            <w:pPr>
              <w:spacing w:after="0"/>
              <w:rPr>
                <w:sz w:val="20"/>
                <w:szCs w:val="20"/>
                <w:color w:val="auto"/>
              </w:rPr>
            </w:pPr>
            <w:r>
              <w:rPr>
                <w:rFonts w:ascii="Arial" w:cs="Arial" w:eastAsia="Arial" w:hAnsi="Arial"/>
                <w:sz w:val="18"/>
                <w:szCs w:val="18"/>
                <w:color w:val="auto"/>
              </w:rPr>
              <w:t>Securities</w:t>
            </w:r>
          </w:p>
        </w:tc>
        <w:tc>
          <w:tcPr>
            <w:tcW w:w="1720" w:type="dxa"/>
            <w:vAlign w:val="bottom"/>
            <w:tcBorders>
              <w:right w:val="single" w:sz="8" w:color="E7E7E2"/>
            </w:tcBorders>
            <w:gridSpan w:val="9"/>
            <w:shd w:val="clear" w:color="auto" w:fill="E7E7E2"/>
          </w:tcPr>
          <w:p>
            <w:pPr>
              <w:spacing w:after="0"/>
              <w:rPr>
                <w:sz w:val="20"/>
                <w:szCs w:val="20"/>
                <w:color w:val="auto"/>
              </w:rPr>
            </w:pPr>
          </w:p>
        </w:tc>
        <w:tc>
          <w:tcPr>
            <w:tcW w:w="780" w:type="dxa"/>
            <w:vAlign w:val="bottom"/>
            <w:tcBorders>
              <w:right w:val="single" w:sz="8" w:color="E7E7E2"/>
            </w:tcBorders>
            <w:gridSpan w:val="2"/>
            <w:shd w:val="clear" w:color="auto" w:fill="E7E7E2"/>
          </w:tcPr>
          <w:p>
            <w:pPr>
              <w:spacing w:after="0"/>
              <w:rPr>
                <w:sz w:val="20"/>
                <w:szCs w:val="20"/>
                <w:color w:val="auto"/>
              </w:rPr>
            </w:pPr>
          </w:p>
        </w:tc>
        <w:tc>
          <w:tcPr>
            <w:tcW w:w="620" w:type="dxa"/>
            <w:vAlign w:val="bottom"/>
            <w:tcBorders>
              <w:right w:val="single" w:sz="8" w:color="E7E7E2"/>
            </w:tcBorders>
            <w:gridSpan w:val="6"/>
            <w:shd w:val="clear" w:color="auto" w:fill="E7E7E2"/>
          </w:tcPr>
          <w:p>
            <w:pPr>
              <w:spacing w:after="0"/>
              <w:rPr>
                <w:sz w:val="20"/>
                <w:szCs w:val="20"/>
                <w:color w:val="auto"/>
              </w:rPr>
            </w:pPr>
          </w:p>
        </w:tc>
        <w:tc>
          <w:tcPr>
            <w:tcW w:w="1320" w:type="dxa"/>
            <w:vAlign w:val="bottom"/>
            <w:gridSpan w:val="8"/>
            <w:shd w:val="clear" w:color="auto" w:fill="E7E7E2"/>
          </w:tcPr>
          <w:p>
            <w:pPr>
              <w:spacing w:after="0"/>
              <w:rPr>
                <w:sz w:val="20"/>
                <w:szCs w:val="20"/>
                <w:color w:val="auto"/>
              </w:rPr>
            </w:pPr>
          </w:p>
        </w:tc>
        <w:tc>
          <w:tcPr>
            <w:tcW w:w="2040" w:type="dxa"/>
            <w:vAlign w:val="bottom"/>
            <w:tcBorders>
              <w:left w:val="single" w:sz="8" w:color="E7E7E2"/>
            </w:tcBorders>
            <w:gridSpan w:val="10"/>
            <w:shd w:val="clear" w:color="auto" w:fill="E7E7E2"/>
          </w:tcPr>
          <w:p>
            <w:pPr>
              <w:spacing w:after="0"/>
              <w:rPr>
                <w:sz w:val="20"/>
                <w:szCs w:val="20"/>
                <w:color w:val="auto"/>
              </w:rPr>
            </w:pPr>
          </w:p>
        </w:tc>
        <w:tc>
          <w:tcPr>
            <w:tcW w:w="100" w:type="dxa"/>
            <w:vAlign w:val="bottom"/>
            <w:tcBorders>
              <w:left w:val="single" w:sz="8" w:color="E7E7E2"/>
              <w:right w:val="single" w:sz="8" w:color="E7E7E2"/>
            </w:tcBorders>
            <w:shd w:val="clear" w:color="auto" w:fill="E7E7E2"/>
          </w:tcPr>
          <w:p>
            <w:pPr>
              <w:spacing w:after="0"/>
              <w:rPr>
                <w:sz w:val="20"/>
                <w:szCs w:val="20"/>
                <w:color w:val="auto"/>
              </w:rPr>
            </w:pPr>
          </w:p>
        </w:tc>
        <w:tc>
          <w:tcPr>
            <w:tcW w:w="2720" w:type="dxa"/>
            <w:vAlign w:val="bottom"/>
            <w:tcBorders>
              <w:right w:val="single" w:sz="8" w:color="auto"/>
            </w:tcBorders>
            <w:gridSpan w:val="14"/>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40" w:type="dxa"/>
            <w:vAlign w:val="bottom"/>
            <w:gridSpan w:val="10"/>
          </w:tcPr>
          <w:p>
            <w:pPr>
              <w:jc w:val="right"/>
              <w:spacing w:after="0"/>
              <w:rPr>
                <w:sz w:val="20"/>
                <w:szCs w:val="20"/>
                <w:color w:val="auto"/>
              </w:rPr>
            </w:pPr>
            <w:r>
              <w:rPr>
                <w:rFonts w:ascii="Arial" w:cs="Arial" w:eastAsia="Arial" w:hAnsi="Arial"/>
                <w:sz w:val="18"/>
                <w:szCs w:val="18"/>
                <w:color w:val="auto"/>
              </w:rPr>
              <w:t>Total Offering Amounts: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$ 0.00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$ 0.00</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20" w:type="dxa"/>
            <w:vAlign w:val="bottom"/>
            <w:gridSpan w:val="12"/>
          </w:tcPr>
          <w:p>
            <w:pPr>
              <w:jc w:val="right"/>
              <w:spacing w:after="0"/>
              <w:rPr>
                <w:sz w:val="20"/>
                <w:szCs w:val="20"/>
                <w:color w:val="auto"/>
              </w:rPr>
            </w:pPr>
            <w:r>
              <w:rPr>
                <w:rFonts w:ascii="Arial" w:cs="Arial" w:eastAsia="Arial" w:hAnsi="Arial"/>
                <w:sz w:val="18"/>
                <w:szCs w:val="18"/>
                <w:color w:val="auto"/>
              </w:rPr>
              <w:t>Total Fees Previously Paid:</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$ 0.00</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480" w:type="dxa"/>
            <w:vAlign w:val="bottom"/>
            <w:tcBorders>
              <w:left w:val="single" w:sz="8" w:color="auto"/>
            </w:tcBorders>
            <w:gridSpan w:val="42"/>
          </w:tcPr>
          <w:p>
            <w:pPr>
              <w:spacing w:after="0"/>
              <w:rPr>
                <w:sz w:val="20"/>
                <w:szCs w:val="20"/>
                <w:color w:val="auto"/>
              </w:rPr>
            </w:pPr>
            <w:r>
              <w:rPr>
                <w:rFonts w:ascii="Arial" w:cs="Arial" w:eastAsia="Arial" w:hAnsi="Arial"/>
                <w:sz w:val="18"/>
                <w:szCs w:val="18"/>
                <w:color w:val="auto"/>
              </w:rPr>
              <w:t>Total Fee Offsets:</w:t>
            </w:r>
          </w:p>
        </w:tc>
        <w:tc>
          <w:tcPr>
            <w:tcW w:w="3880" w:type="dxa"/>
            <w:vAlign w:val="bottom"/>
            <w:tcBorders>
              <w:right w:val="single" w:sz="8" w:color="auto"/>
            </w:tcBorders>
            <w:gridSpan w:val="21"/>
          </w:tcPr>
          <w:p>
            <w:pPr>
              <w:jc w:val="right"/>
              <w:ind w:right="3340"/>
              <w:spacing w:after="0"/>
              <w:rPr>
                <w:sz w:val="20"/>
                <w:szCs w:val="20"/>
                <w:color w:val="auto"/>
              </w:rPr>
            </w:pPr>
            <w:r>
              <w:rPr>
                <w:rFonts w:ascii="Arial" w:cs="Arial" w:eastAsia="Arial" w:hAnsi="Arial"/>
                <w:sz w:val="18"/>
                <w:szCs w:val="18"/>
                <w:color w:val="auto"/>
              </w:rPr>
              <w:t>$ 0.00</w:t>
            </w:r>
          </w:p>
        </w:tc>
        <w:tc>
          <w:tcPr>
            <w:tcW w:w="0" w:type="dxa"/>
            <w:vAlign w:val="bottom"/>
          </w:tcPr>
          <w:p>
            <w:pPr>
              <w:spacing w:after="0"/>
              <w:rPr>
                <w:sz w:val="1"/>
                <w:szCs w:val="1"/>
                <w:color w:val="auto"/>
              </w:rPr>
            </w:pPr>
          </w:p>
        </w:tc>
      </w:tr>
      <w:tr>
        <w:trPr>
          <w:trHeight w:val="261"/>
        </w:trPr>
        <w:tc>
          <w:tcPr>
            <w:tcW w:w="7480" w:type="dxa"/>
            <w:vAlign w:val="bottom"/>
            <w:tcBorders>
              <w:left w:val="single" w:sz="8" w:color="auto"/>
              <w:bottom w:val="single" w:sz="8" w:color="auto"/>
            </w:tcBorders>
            <w:gridSpan w:val="42"/>
          </w:tcPr>
          <w:p>
            <w:pPr>
              <w:spacing w:after="0"/>
              <w:rPr>
                <w:sz w:val="20"/>
                <w:szCs w:val="20"/>
                <w:color w:val="auto"/>
              </w:rPr>
            </w:pPr>
            <w:r>
              <w:rPr>
                <w:rFonts w:ascii="Arial" w:cs="Arial" w:eastAsia="Arial" w:hAnsi="Arial"/>
                <w:sz w:val="18"/>
                <w:szCs w:val="18"/>
                <w:color w:val="auto"/>
              </w:rPr>
              <w:t>Net Fee Due:</w:t>
            </w:r>
          </w:p>
        </w:tc>
        <w:tc>
          <w:tcPr>
            <w:tcW w:w="3880" w:type="dxa"/>
            <w:vAlign w:val="bottom"/>
            <w:tcBorders>
              <w:bottom w:val="single" w:sz="8" w:color="auto"/>
              <w:right w:val="single" w:sz="8" w:color="auto"/>
            </w:tcBorders>
            <w:gridSpan w:val="21"/>
          </w:tcPr>
          <w:p>
            <w:pPr>
              <w:jc w:val="right"/>
              <w:ind w:right="3340"/>
              <w:spacing w:after="0"/>
              <w:rPr>
                <w:sz w:val="20"/>
                <w:szCs w:val="20"/>
                <w:color w:val="auto"/>
              </w:rPr>
            </w:pPr>
            <w:r>
              <w:rPr>
                <w:rFonts w:ascii="Arial" w:cs="Arial" w:eastAsia="Arial" w:hAnsi="Arial"/>
                <w:sz w:val="18"/>
                <w:szCs w:val="18"/>
                <w:color w:val="auto"/>
              </w:rPr>
              <w:t>$ 0.00</w:t>
            </w:r>
          </w:p>
        </w:tc>
        <w:tc>
          <w:tcPr>
            <w:tcW w:w="0" w:type="dxa"/>
            <w:vAlign w:val="bottom"/>
          </w:tcPr>
          <w:p>
            <w:pPr>
              <w:spacing w:after="0"/>
              <w:rPr>
                <w:sz w:val="1"/>
                <w:szCs w:val="1"/>
                <w:color w:val="auto"/>
              </w:rPr>
            </w:pPr>
          </w:p>
        </w:tc>
      </w:tr>
      <w:tr>
        <w:trPr>
          <w:trHeight w:val="490"/>
        </w:trPr>
        <w:tc>
          <w:tcPr>
            <w:tcW w:w="40" w:type="dxa"/>
            <w:vAlign w:val="bottom"/>
          </w:tcPr>
          <w:p>
            <w:pPr>
              <w:spacing w:after="0"/>
              <w:rPr>
                <w:sz w:val="24"/>
                <w:szCs w:val="24"/>
                <w:color w:val="auto"/>
              </w:rPr>
            </w:pPr>
          </w:p>
        </w:tc>
        <w:tc>
          <w:tcPr>
            <w:tcW w:w="3700" w:type="dxa"/>
            <w:vAlign w:val="bottom"/>
            <w:gridSpan w:val="20"/>
          </w:tcPr>
          <w:p>
            <w:pPr>
              <w:spacing w:after="0"/>
              <w:rPr>
                <w:sz w:val="20"/>
                <w:szCs w:val="20"/>
                <w:color w:val="auto"/>
              </w:rPr>
            </w:pPr>
            <w:r>
              <w:rPr>
                <w:rFonts w:ascii="Arial" w:cs="Arial" w:eastAsia="Arial" w:hAnsi="Arial"/>
                <w:sz w:val="18"/>
                <w:szCs w:val="18"/>
                <w:b w:val="1"/>
                <w:bCs w:val="1"/>
                <w:color w:val="auto"/>
              </w:rPr>
              <w:t>Table 2: Fee Offset Claims and Sources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7"/>
          </w:tcPr>
          <w:p>
            <w:pPr>
              <w:ind w:left="2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Not Applicable</w:t>
            </w:r>
          </w:p>
        </w:tc>
        <w:tc>
          <w:tcPr>
            <w:tcW w:w="0" w:type="dxa"/>
            <w:vAlign w:val="bottom"/>
          </w:tcPr>
          <w:p>
            <w:pPr>
              <w:spacing w:after="0"/>
              <w:rPr>
                <w:sz w:val="1"/>
                <w:szCs w:val="1"/>
                <w:color w:val="auto"/>
              </w:rPr>
            </w:pPr>
          </w:p>
        </w:tc>
      </w:tr>
      <w:tr>
        <w:trPr>
          <w:trHeight w:val="205"/>
        </w:trPr>
        <w:tc>
          <w:tcPr>
            <w:tcW w:w="2060" w:type="dxa"/>
            <w:vAlign w:val="bottom"/>
            <w:tcBorders>
              <w:top w:val="single" w:sz="8" w:color="auto"/>
              <w:left w:val="single" w:sz="8" w:color="auto"/>
              <w:right w:val="single" w:sz="8" w:color="9ADAF6"/>
            </w:tcBorders>
            <w:gridSpan w:val="13"/>
          </w:tcPr>
          <w:p>
            <w:pPr>
              <w:spacing w:after="0"/>
              <w:rPr>
                <w:sz w:val="17"/>
                <w:szCs w:val="17"/>
                <w:color w:val="auto"/>
              </w:rPr>
            </w:pPr>
          </w:p>
        </w:tc>
        <w:tc>
          <w:tcPr>
            <w:tcW w:w="1720" w:type="dxa"/>
            <w:vAlign w:val="bottom"/>
            <w:tcBorders>
              <w:top w:val="single" w:sz="8" w:color="auto"/>
              <w:right w:val="single" w:sz="8" w:color="9ADAF6"/>
            </w:tcBorders>
            <w:gridSpan w:val="9"/>
            <w:shd w:val="clear" w:color="auto" w:fill="9ADAF6"/>
          </w:tcPr>
          <w:p>
            <w:pPr>
              <w:spacing w:after="0"/>
              <w:rPr>
                <w:sz w:val="17"/>
                <w:szCs w:val="17"/>
                <w:color w:val="auto"/>
              </w:rPr>
            </w:pPr>
          </w:p>
        </w:tc>
        <w:tc>
          <w:tcPr>
            <w:tcW w:w="780" w:type="dxa"/>
            <w:vAlign w:val="bottom"/>
            <w:tcBorders>
              <w:top w:val="single" w:sz="8" w:color="auto"/>
              <w:right w:val="single" w:sz="8" w:color="9ADAF6"/>
            </w:tcBorders>
            <w:gridSpan w:val="2"/>
          </w:tcPr>
          <w:p>
            <w:pPr>
              <w:spacing w:after="0"/>
              <w:rPr>
                <w:sz w:val="17"/>
                <w:szCs w:val="17"/>
                <w:color w:val="auto"/>
              </w:rPr>
            </w:pPr>
          </w:p>
        </w:tc>
        <w:tc>
          <w:tcPr>
            <w:tcW w:w="620" w:type="dxa"/>
            <w:vAlign w:val="bottom"/>
            <w:tcBorders>
              <w:top w:val="single" w:sz="8" w:color="auto"/>
              <w:right w:val="single" w:sz="8" w:color="9ADAF6"/>
            </w:tcBorders>
            <w:gridSpan w:val="6"/>
          </w:tcPr>
          <w:p>
            <w:pPr>
              <w:spacing w:after="0"/>
              <w:rPr>
                <w:sz w:val="17"/>
                <w:szCs w:val="17"/>
                <w:color w:val="auto"/>
              </w:rPr>
            </w:pPr>
          </w:p>
        </w:tc>
        <w:tc>
          <w:tcPr>
            <w:tcW w:w="1320" w:type="dxa"/>
            <w:vAlign w:val="bottom"/>
            <w:tcBorders>
              <w:top w:val="single" w:sz="8" w:color="auto"/>
            </w:tcBorders>
            <w:gridSpan w:val="8"/>
          </w:tcPr>
          <w:p>
            <w:pPr>
              <w:spacing w:after="0"/>
              <w:rPr>
                <w:sz w:val="17"/>
                <w:szCs w:val="17"/>
                <w:color w:val="auto"/>
              </w:rPr>
            </w:pPr>
          </w:p>
        </w:tc>
        <w:tc>
          <w:tcPr>
            <w:tcW w:w="2040" w:type="dxa"/>
            <w:vAlign w:val="bottom"/>
            <w:tcBorders>
              <w:top w:val="single" w:sz="8" w:color="auto"/>
              <w:left w:val="single" w:sz="8" w:color="9ADAF6"/>
            </w:tcBorders>
            <w:gridSpan w:val="10"/>
          </w:tcPr>
          <w:p>
            <w:pPr>
              <w:spacing w:after="0"/>
              <w:rPr>
                <w:sz w:val="17"/>
                <w:szCs w:val="17"/>
                <w:color w:val="auto"/>
              </w:rPr>
            </w:pPr>
          </w:p>
        </w:tc>
        <w:tc>
          <w:tcPr>
            <w:tcW w:w="100" w:type="dxa"/>
            <w:vAlign w:val="bottom"/>
            <w:tcBorders>
              <w:top w:val="single" w:sz="8" w:color="auto"/>
              <w:left w:val="single" w:sz="8" w:color="9ADAF6"/>
              <w:right w:val="single" w:sz="8" w:color="9ADAF6"/>
            </w:tcBorders>
          </w:tcPr>
          <w:p>
            <w:pPr>
              <w:spacing w:after="0"/>
              <w:rPr>
                <w:sz w:val="17"/>
                <w:szCs w:val="17"/>
                <w:color w:val="auto"/>
              </w:rPr>
            </w:pPr>
          </w:p>
        </w:tc>
        <w:tc>
          <w:tcPr>
            <w:tcW w:w="2720" w:type="dxa"/>
            <w:vAlign w:val="bottom"/>
            <w:tcBorders>
              <w:top w:val="single" w:sz="8" w:color="auto"/>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Unsold</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80" w:type="dxa"/>
            <w:vAlign w:val="bottom"/>
            <w:tcBorders>
              <w:left w:val="single" w:sz="8" w:color="9ADAF6"/>
            </w:tcBorders>
          </w:tcPr>
          <w:p>
            <w:pPr>
              <w:spacing w:after="0"/>
              <w:rPr>
                <w:sz w:val="17"/>
                <w:szCs w:val="17"/>
                <w:color w:val="auto"/>
              </w:rPr>
            </w:pPr>
          </w:p>
        </w:tc>
        <w:tc>
          <w:tcPr>
            <w:tcW w:w="90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Security</w:t>
            </w: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Security</w:t>
            </w:r>
          </w:p>
        </w:tc>
        <w:tc>
          <w:tcPr>
            <w:tcW w:w="100" w:type="dxa"/>
            <w:vAlign w:val="bottom"/>
            <w:tcBorders>
              <w:left w:val="single" w:sz="8" w:color="9ADAF6"/>
              <w:right w:val="single" w:sz="8" w:color="9ADAF6"/>
            </w:tcBorders>
          </w:tcPr>
          <w:p>
            <w:pPr>
              <w:spacing w:after="0"/>
              <w:rPr>
                <w:sz w:val="17"/>
                <w:szCs w:val="17"/>
                <w:color w:val="auto"/>
              </w:rPr>
            </w:pPr>
          </w:p>
        </w:tc>
        <w:tc>
          <w:tcPr>
            <w:tcW w:w="920" w:type="dxa"/>
            <w:vAlign w:val="bottom"/>
            <w:gridSpan w:val="6"/>
            <w:shd w:val="clear" w:color="auto" w:fill="9ADAF6"/>
          </w:tcPr>
          <w:p>
            <w:pPr>
              <w:jc w:val="center"/>
              <w:ind w:right="80"/>
              <w:spacing w:after="0" w:line="200" w:lineRule="exact"/>
              <w:rPr>
                <w:sz w:val="20"/>
                <w:szCs w:val="20"/>
                <w:color w:val="auto"/>
              </w:rPr>
            </w:pPr>
            <w:r>
              <w:rPr>
                <w:rFonts w:ascii="Arial" w:cs="Arial" w:eastAsia="Arial" w:hAnsi="Arial"/>
                <w:sz w:val="18"/>
                <w:szCs w:val="18"/>
                <w:b w:val="1"/>
                <w:bCs w:val="1"/>
                <w:color w:val="auto"/>
                <w:w w:val="98"/>
              </w:rPr>
              <w:t>Unsold</w:t>
            </w:r>
          </w:p>
        </w:tc>
        <w:tc>
          <w:tcPr>
            <w:tcW w:w="20" w:type="dxa"/>
            <w:vAlign w:val="bottom"/>
          </w:tcPr>
          <w:p>
            <w:pPr>
              <w:spacing w:after="0"/>
              <w:rPr>
                <w:sz w:val="17"/>
                <w:szCs w:val="17"/>
                <w:color w:val="auto"/>
              </w:rPr>
            </w:pPr>
          </w:p>
        </w:tc>
        <w:tc>
          <w:tcPr>
            <w:tcW w:w="96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Aggregate</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6"/>
              </w:rPr>
              <w:t>Fee</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Form</w:t>
            </w:r>
          </w:p>
        </w:tc>
        <w:tc>
          <w:tcPr>
            <w:tcW w:w="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right w:val="single" w:sz="8" w:color="9ADAF6"/>
            </w:tcBorders>
            <w:gridSpan w:val="5"/>
            <w:vMerge w:val="restart"/>
            <w:shd w:val="clear" w:color="auto" w:fill="9ADAF6"/>
          </w:tcPr>
          <w:p>
            <w:pPr>
              <w:ind w:left="60"/>
              <w:spacing w:after="0"/>
              <w:rPr>
                <w:sz w:val="20"/>
                <w:szCs w:val="20"/>
                <w:color w:val="auto"/>
              </w:rPr>
            </w:pPr>
            <w:r>
              <w:rPr>
                <w:rFonts w:ascii="Arial" w:cs="Arial" w:eastAsia="Arial" w:hAnsi="Arial"/>
                <w:sz w:val="18"/>
                <w:szCs w:val="18"/>
                <w:b w:val="1"/>
                <w:bCs w:val="1"/>
                <w:color w:val="auto"/>
              </w:rPr>
              <w:t>Initial</w:t>
            </w:r>
          </w:p>
        </w:tc>
        <w:tc>
          <w:tcPr>
            <w:tcW w:w="20" w:type="dxa"/>
            <w:vAlign w:val="bottom"/>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gridSpan w:val="3"/>
            <w:vMerge w:val="restart"/>
            <w:shd w:val="clear" w:color="auto" w:fill="9ADAF6"/>
          </w:tcPr>
          <w:p>
            <w:pPr>
              <w:jc w:val="right"/>
              <w:ind w:right="140"/>
              <w:spacing w:after="0"/>
              <w:rPr>
                <w:sz w:val="20"/>
                <w:szCs w:val="20"/>
                <w:color w:val="auto"/>
              </w:rPr>
            </w:pPr>
            <w:r>
              <w:rPr>
                <w:rFonts w:ascii="Arial" w:cs="Arial" w:eastAsia="Arial" w:hAnsi="Arial"/>
                <w:sz w:val="18"/>
                <w:szCs w:val="18"/>
                <w:b w:val="1"/>
                <w:bCs w:val="1"/>
                <w:color w:val="auto"/>
              </w:rPr>
              <w:t>Fee</w:t>
            </w:r>
          </w:p>
        </w:tc>
        <w:tc>
          <w:tcPr>
            <w:tcW w:w="80" w:type="dxa"/>
            <w:vAlign w:val="bottom"/>
            <w:tcBorders>
              <w:left w:val="single" w:sz="8" w:color="9ADAF6"/>
            </w:tcBorders>
          </w:tcPr>
          <w:p>
            <w:pPr>
              <w:spacing w:after="0"/>
              <w:rPr>
                <w:sz w:val="17"/>
                <w:szCs w:val="17"/>
                <w:color w:val="auto"/>
              </w:rPr>
            </w:pPr>
          </w:p>
        </w:tc>
        <w:tc>
          <w:tcPr>
            <w:tcW w:w="90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5"/>
              </w:rPr>
              <w:t>Type</w:t>
            </w: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Title</w:t>
            </w:r>
          </w:p>
        </w:tc>
        <w:tc>
          <w:tcPr>
            <w:tcW w:w="100" w:type="dxa"/>
            <w:vAlign w:val="bottom"/>
            <w:tcBorders>
              <w:left w:val="single" w:sz="8" w:color="9ADAF6"/>
              <w:right w:val="single" w:sz="8" w:color="9ADAF6"/>
            </w:tcBorders>
          </w:tcPr>
          <w:p>
            <w:pPr>
              <w:spacing w:after="0"/>
              <w:rPr>
                <w:sz w:val="17"/>
                <w:szCs w:val="17"/>
                <w:color w:val="auto"/>
              </w:rPr>
            </w:pPr>
          </w:p>
        </w:tc>
        <w:tc>
          <w:tcPr>
            <w:tcW w:w="920" w:type="dxa"/>
            <w:vAlign w:val="bottom"/>
            <w:gridSpan w:val="6"/>
            <w:shd w:val="clear" w:color="auto" w:fill="9ADAF6"/>
          </w:tcPr>
          <w:p>
            <w:pPr>
              <w:jc w:val="center"/>
              <w:ind w:right="80"/>
              <w:spacing w:after="0" w:line="200" w:lineRule="exact"/>
              <w:rPr>
                <w:sz w:val="20"/>
                <w:szCs w:val="20"/>
                <w:color w:val="auto"/>
              </w:rPr>
            </w:pPr>
            <w:r>
              <w:rPr>
                <w:rFonts w:ascii="Arial" w:cs="Arial" w:eastAsia="Arial" w:hAnsi="Arial"/>
                <w:sz w:val="18"/>
                <w:szCs w:val="18"/>
                <w:b w:val="1"/>
                <w:bCs w:val="1"/>
                <w:color w:val="auto"/>
                <w:w w:val="97"/>
              </w:rPr>
              <w:t>Securities</w:t>
            </w:r>
          </w:p>
        </w:tc>
        <w:tc>
          <w:tcPr>
            <w:tcW w:w="20" w:type="dxa"/>
            <w:vAlign w:val="bottom"/>
          </w:tcPr>
          <w:p>
            <w:pPr>
              <w:spacing w:after="0"/>
              <w:rPr>
                <w:sz w:val="17"/>
                <w:szCs w:val="17"/>
                <w:color w:val="auto"/>
              </w:rPr>
            </w:pPr>
          </w:p>
        </w:tc>
        <w:tc>
          <w:tcPr>
            <w:tcW w:w="96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7"/>
              </w:rPr>
              <w:t>Offering</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Paid</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7"/>
            <w:shd w:val="clear" w:color="auto" w:fill="9ADAF6"/>
          </w:tcPr>
          <w:p>
            <w:pPr>
              <w:ind w:left="180"/>
              <w:spacing w:after="0" w:line="178" w:lineRule="exact"/>
              <w:rPr>
                <w:sz w:val="20"/>
                <w:szCs w:val="20"/>
                <w:color w:val="auto"/>
              </w:rPr>
            </w:pPr>
            <w:r>
              <w:rPr>
                <w:rFonts w:ascii="Arial" w:cs="Arial" w:eastAsia="Arial" w:hAnsi="Arial"/>
                <w:sz w:val="18"/>
                <w:szCs w:val="18"/>
                <w:b w:val="1"/>
                <w:bCs w:val="1"/>
                <w:color w:val="auto"/>
                <w:w w:val="99"/>
              </w:rPr>
              <w:t>Registrant or</w:t>
            </w:r>
          </w:p>
        </w:tc>
        <w:tc>
          <w:tcPr>
            <w:tcW w:w="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w w:val="99"/>
              </w:rPr>
              <w:t>or</w:t>
            </w:r>
          </w:p>
        </w:tc>
        <w:tc>
          <w:tcPr>
            <w:tcW w:w="40" w:type="dxa"/>
            <w:vAlign w:val="bottom"/>
            <w:tcBorders>
              <w:right w:val="single" w:sz="8" w:color="9ADAF6"/>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right w:val="single" w:sz="8" w:color="9ADAF6"/>
            </w:tcBorders>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rPr>
              <w:t>File</w:t>
            </w:r>
          </w:p>
        </w:tc>
        <w:tc>
          <w:tcPr>
            <w:tcW w:w="20" w:type="dxa"/>
            <w:vAlign w:val="bottom"/>
          </w:tcPr>
          <w:p>
            <w:pPr>
              <w:spacing w:after="0"/>
              <w:rPr>
                <w:sz w:val="15"/>
                <w:szCs w:val="15"/>
                <w:color w:val="auto"/>
              </w:rPr>
            </w:pPr>
          </w:p>
        </w:tc>
        <w:tc>
          <w:tcPr>
            <w:tcW w:w="600" w:type="dxa"/>
            <w:vAlign w:val="bottom"/>
            <w:tcBorders>
              <w:right w:val="single" w:sz="8" w:color="9ADAF6"/>
            </w:tcBorders>
            <w:gridSpan w:val="5"/>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3"/>
            <w:shd w:val="clear" w:color="auto" w:fill="9ADAF6"/>
          </w:tcPr>
          <w:p>
            <w:pPr>
              <w:ind w:left="80"/>
              <w:spacing w:after="0" w:line="178" w:lineRule="exact"/>
              <w:rPr>
                <w:sz w:val="20"/>
                <w:szCs w:val="20"/>
                <w:color w:val="auto"/>
              </w:rPr>
            </w:pPr>
            <w:r>
              <w:rPr>
                <w:rFonts w:ascii="Arial" w:cs="Arial" w:eastAsia="Arial" w:hAnsi="Arial"/>
                <w:sz w:val="18"/>
                <w:szCs w:val="18"/>
                <w:b w:val="1"/>
                <w:bCs w:val="1"/>
                <w:color w:val="auto"/>
              </w:rPr>
              <w:t>Filing</w:t>
            </w:r>
          </w:p>
        </w:tc>
        <w:tc>
          <w:tcPr>
            <w:tcW w:w="20" w:type="dxa"/>
            <w:vAlign w:val="bottom"/>
          </w:tcPr>
          <w:p>
            <w:pPr>
              <w:spacing w:after="0"/>
              <w:rPr>
                <w:sz w:val="15"/>
                <w:szCs w:val="15"/>
                <w:color w:val="auto"/>
              </w:rPr>
            </w:pPr>
          </w:p>
        </w:tc>
        <w:tc>
          <w:tcPr>
            <w:tcW w:w="660" w:type="dxa"/>
            <w:vAlign w:val="bottom"/>
            <w:gridSpan w:val="3"/>
            <w:vMerge w:val="continue"/>
            <w:shd w:val="clear" w:color="auto" w:fill="9ADAF6"/>
          </w:tcPr>
          <w:p>
            <w:pPr>
              <w:spacing w:after="0"/>
              <w:rPr>
                <w:sz w:val="15"/>
                <w:szCs w:val="15"/>
                <w:color w:val="auto"/>
              </w:rPr>
            </w:pPr>
          </w:p>
        </w:tc>
        <w:tc>
          <w:tcPr>
            <w:tcW w:w="80" w:type="dxa"/>
            <w:vAlign w:val="bottom"/>
            <w:tcBorders>
              <w:left w:val="single" w:sz="8" w:color="9ADAF6"/>
            </w:tcBorders>
          </w:tcPr>
          <w:p>
            <w:pPr>
              <w:spacing w:after="0"/>
              <w:rPr>
                <w:sz w:val="15"/>
                <w:szCs w:val="15"/>
                <w:color w:val="auto"/>
              </w:rPr>
            </w:pPr>
          </w:p>
        </w:tc>
        <w:tc>
          <w:tcPr>
            <w:tcW w:w="980" w:type="dxa"/>
            <w:vAlign w:val="bottom"/>
            <w:gridSpan w:val="4"/>
            <w:shd w:val="clear" w:color="auto" w:fill="9ADAF6"/>
          </w:tcPr>
          <w:p>
            <w:pPr>
              <w:ind w:left="20"/>
              <w:spacing w:after="0" w:line="178" w:lineRule="exact"/>
              <w:rPr>
                <w:sz w:val="20"/>
                <w:szCs w:val="20"/>
                <w:color w:val="auto"/>
              </w:rPr>
            </w:pPr>
            <w:r>
              <w:rPr>
                <w:rFonts w:ascii="Arial" w:cs="Arial" w:eastAsia="Arial" w:hAnsi="Arial"/>
                <w:sz w:val="18"/>
                <w:szCs w:val="18"/>
                <w:b w:val="1"/>
                <w:bCs w:val="1"/>
                <w:color w:val="auto"/>
                <w:w w:val="97"/>
              </w:rPr>
              <w:t>Associated</w:t>
            </w:r>
          </w:p>
        </w:tc>
        <w:tc>
          <w:tcPr>
            <w:tcW w:w="20" w:type="dxa"/>
            <w:vAlign w:val="bottom"/>
          </w:tcPr>
          <w:p>
            <w:pPr>
              <w:spacing w:after="0"/>
              <w:rPr>
                <w:sz w:val="15"/>
                <w:szCs w:val="15"/>
                <w:color w:val="auto"/>
              </w:rPr>
            </w:pPr>
          </w:p>
        </w:tc>
        <w:tc>
          <w:tcPr>
            <w:tcW w:w="960" w:type="dxa"/>
            <w:vAlign w:val="bottom"/>
            <w:gridSpan w:val="4"/>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w w:val="97"/>
              </w:rPr>
              <w:t>Associated</w:t>
            </w:r>
          </w:p>
        </w:tc>
        <w:tc>
          <w:tcPr>
            <w:tcW w:w="100" w:type="dxa"/>
            <w:vAlign w:val="bottom"/>
            <w:tcBorders>
              <w:left w:val="single" w:sz="8" w:color="9ADAF6"/>
              <w:right w:val="single" w:sz="8" w:color="9ADAF6"/>
            </w:tcBorders>
          </w:tcPr>
          <w:p>
            <w:pPr>
              <w:spacing w:after="0"/>
              <w:rPr>
                <w:sz w:val="15"/>
                <w:szCs w:val="15"/>
                <w:color w:val="auto"/>
              </w:rPr>
            </w:pPr>
          </w:p>
        </w:tc>
        <w:tc>
          <w:tcPr>
            <w:tcW w:w="920" w:type="dxa"/>
            <w:vAlign w:val="bottom"/>
            <w:gridSpan w:val="6"/>
            <w:shd w:val="clear" w:color="auto" w:fill="9ADAF6"/>
          </w:tcPr>
          <w:p>
            <w:pPr>
              <w:jc w:val="center"/>
              <w:ind w:right="20"/>
              <w:spacing w:after="0" w:line="178" w:lineRule="exact"/>
              <w:rPr>
                <w:sz w:val="20"/>
                <w:szCs w:val="20"/>
                <w:color w:val="auto"/>
              </w:rPr>
            </w:pPr>
            <w:r>
              <w:rPr>
                <w:rFonts w:ascii="Arial" w:cs="Arial" w:eastAsia="Arial" w:hAnsi="Arial"/>
                <w:sz w:val="18"/>
                <w:szCs w:val="18"/>
                <w:b w:val="1"/>
                <w:bCs w:val="1"/>
                <w:color w:val="auto"/>
                <w:w w:val="93"/>
              </w:rPr>
              <w:t>Associated</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w w:val="99"/>
              </w:rPr>
              <w:t>Amount</w:t>
            </w:r>
          </w:p>
        </w:tc>
        <w:tc>
          <w:tcPr>
            <w:tcW w:w="40" w:type="dxa"/>
            <w:vAlign w:val="bottom"/>
          </w:tcPr>
          <w:p>
            <w:pPr>
              <w:spacing w:after="0"/>
              <w:rPr>
                <w:sz w:val="15"/>
                <w:szCs w:val="15"/>
                <w:color w:val="auto"/>
              </w:rPr>
            </w:pPr>
          </w:p>
        </w:tc>
        <w:tc>
          <w:tcPr>
            <w:tcW w:w="640" w:type="dxa"/>
            <w:vAlign w:val="bottom"/>
            <w:shd w:val="clear" w:color="auto" w:fill="9ADAF6"/>
          </w:tcPr>
          <w:p>
            <w:pPr>
              <w:jc w:val="center"/>
              <w:spacing w:after="0" w:line="178" w:lineRule="exact"/>
              <w:rPr>
                <w:sz w:val="20"/>
                <w:szCs w:val="20"/>
                <w:color w:val="auto"/>
              </w:rPr>
            </w:pPr>
            <w:r>
              <w:rPr>
                <w:rFonts w:ascii="Arial" w:cs="Arial" w:eastAsia="Arial" w:hAnsi="Arial"/>
                <w:sz w:val="18"/>
                <w:szCs w:val="18"/>
                <w:b w:val="1"/>
                <w:bCs w:val="1"/>
                <w:color w:val="auto"/>
                <w:w w:val="99"/>
              </w:rPr>
              <w:t>with</w:t>
            </w: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6"/>
            <w:vMerge w:val="restart"/>
            <w:shd w:val="clear" w:color="auto" w:fill="9ADAF6"/>
          </w:tcPr>
          <w:p>
            <w:pPr>
              <w:ind w:left="280"/>
              <w:spacing w:after="0"/>
              <w:rPr>
                <w:sz w:val="20"/>
                <w:szCs w:val="20"/>
                <w:color w:val="auto"/>
              </w:rPr>
            </w:pPr>
            <w:r>
              <w:rPr>
                <w:rFonts w:ascii="Arial" w:cs="Arial" w:eastAsia="Arial" w:hAnsi="Arial"/>
                <w:sz w:val="18"/>
                <w:szCs w:val="18"/>
                <w:b w:val="1"/>
                <w:bCs w:val="1"/>
                <w:color w:val="auto"/>
                <w:w w:val="97"/>
              </w:rPr>
              <w:t>Filer Name</w:t>
            </w:r>
          </w:p>
        </w:tc>
        <w:tc>
          <w:tcPr>
            <w:tcW w:w="120" w:type="dxa"/>
            <w:vAlign w:val="bottom"/>
            <w:shd w:val="clear" w:color="auto" w:fill="9ADAF6"/>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Filing</w:t>
            </w:r>
          </w:p>
        </w:tc>
        <w:tc>
          <w:tcPr>
            <w:tcW w:w="4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right w:val="single" w:sz="8" w:color="9ADAF6"/>
            </w:tcBorders>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Number</w:t>
            </w:r>
          </w:p>
        </w:tc>
        <w:tc>
          <w:tcPr>
            <w:tcW w:w="20" w:type="dxa"/>
            <w:vAlign w:val="bottom"/>
          </w:tcPr>
          <w:p>
            <w:pPr>
              <w:spacing w:after="0"/>
              <w:rPr>
                <w:sz w:val="10"/>
                <w:szCs w:val="10"/>
                <w:color w:val="auto"/>
              </w:rPr>
            </w:pPr>
          </w:p>
        </w:tc>
        <w:tc>
          <w:tcPr>
            <w:tcW w:w="600" w:type="dxa"/>
            <w:vAlign w:val="bottom"/>
            <w:tcBorders>
              <w:right w:val="single" w:sz="8" w:color="9ADAF6"/>
            </w:tcBorders>
            <w:gridSpan w:val="5"/>
            <w:shd w:val="clear" w:color="auto" w:fill="9ADAF6"/>
          </w:tcPr>
          <w:p>
            <w:pPr>
              <w:ind w:left="60"/>
              <w:spacing w:after="0" w:line="121" w:lineRule="exact"/>
              <w:rPr>
                <w:sz w:val="20"/>
                <w:szCs w:val="20"/>
                <w:color w:val="auto"/>
              </w:rPr>
            </w:pPr>
            <w:r>
              <w:rPr>
                <w:rFonts w:ascii="Arial" w:cs="Arial" w:eastAsia="Arial" w:hAnsi="Arial"/>
                <w:sz w:val="14"/>
                <w:szCs w:val="14"/>
                <w:b w:val="1"/>
                <w:bCs w:val="1"/>
                <w:color w:val="auto"/>
              </w:rPr>
              <w:t>Filing</w:t>
            </w:r>
          </w:p>
        </w:tc>
        <w:tc>
          <w:tcPr>
            <w:tcW w:w="20" w:type="dxa"/>
            <w:vAlign w:val="bottom"/>
          </w:tcPr>
          <w:p>
            <w:pPr>
              <w:spacing w:after="0"/>
              <w:rPr>
                <w:sz w:val="10"/>
                <w:szCs w:val="10"/>
                <w:color w:val="auto"/>
              </w:rPr>
            </w:pPr>
          </w:p>
        </w:tc>
        <w:tc>
          <w:tcPr>
            <w:tcW w:w="620" w:type="dxa"/>
            <w:vAlign w:val="bottom"/>
            <w:gridSpan w:val="3"/>
            <w:vMerge w:val="restart"/>
            <w:shd w:val="clear" w:color="auto" w:fill="9ADAF6"/>
          </w:tcPr>
          <w:p>
            <w:pPr>
              <w:ind w:left="120"/>
              <w:spacing w:after="0"/>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10"/>
                <w:szCs w:val="10"/>
                <w:color w:val="auto"/>
              </w:rPr>
            </w:pPr>
          </w:p>
        </w:tc>
        <w:tc>
          <w:tcPr>
            <w:tcW w:w="660" w:type="dxa"/>
            <w:vAlign w:val="bottom"/>
            <w:gridSpan w:val="3"/>
            <w:shd w:val="clear" w:color="auto" w:fill="9ADAF6"/>
          </w:tcPr>
          <w:p>
            <w:pPr>
              <w:jc w:val="right"/>
              <w:ind w:right="40"/>
              <w:spacing w:after="0" w:line="121" w:lineRule="exact"/>
              <w:rPr>
                <w:sz w:val="20"/>
                <w:szCs w:val="20"/>
                <w:color w:val="auto"/>
              </w:rPr>
            </w:pPr>
            <w:r>
              <w:rPr>
                <w:rFonts w:ascii="Arial" w:cs="Arial" w:eastAsia="Arial" w:hAnsi="Arial"/>
                <w:sz w:val="14"/>
                <w:szCs w:val="14"/>
                <w:b w:val="1"/>
                <w:bCs w:val="1"/>
                <w:color w:val="auto"/>
              </w:rPr>
              <w:t>Offset</w:t>
            </w:r>
          </w:p>
        </w:tc>
        <w:tc>
          <w:tcPr>
            <w:tcW w:w="80" w:type="dxa"/>
            <w:vAlign w:val="bottom"/>
            <w:tcBorders>
              <w:left w:val="single" w:sz="8" w:color="9ADAF6"/>
            </w:tcBorders>
          </w:tcPr>
          <w:p>
            <w:pPr>
              <w:spacing w:after="0"/>
              <w:rPr>
                <w:sz w:val="10"/>
                <w:szCs w:val="10"/>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with Fee</w:t>
            </w: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4"/>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7"/>
              </w:rPr>
              <w:t>with Fee</w:t>
            </w:r>
          </w:p>
        </w:tc>
        <w:tc>
          <w:tcPr>
            <w:tcW w:w="100" w:type="dxa"/>
            <w:vAlign w:val="bottom"/>
            <w:tcBorders>
              <w:left w:val="single" w:sz="8" w:color="9ADAF6"/>
              <w:right w:val="single" w:sz="8" w:color="9ADAF6"/>
            </w:tcBorders>
          </w:tcPr>
          <w:p>
            <w:pPr>
              <w:spacing w:after="0"/>
              <w:rPr>
                <w:sz w:val="10"/>
                <w:szCs w:val="10"/>
                <w:color w:val="auto"/>
              </w:rPr>
            </w:pPr>
          </w:p>
        </w:tc>
        <w:tc>
          <w:tcPr>
            <w:tcW w:w="920" w:type="dxa"/>
            <w:vAlign w:val="bottom"/>
            <w:gridSpan w:val="6"/>
            <w:vMerge w:val="restart"/>
            <w:shd w:val="clear" w:color="auto" w:fill="9ADAF6"/>
          </w:tcPr>
          <w:p>
            <w:pPr>
              <w:jc w:val="center"/>
              <w:ind w:right="80"/>
              <w:spacing w:after="0"/>
              <w:rPr>
                <w:sz w:val="20"/>
                <w:szCs w:val="20"/>
                <w:color w:val="auto"/>
              </w:rPr>
            </w:pPr>
            <w:r>
              <w:rPr>
                <w:rFonts w:ascii="Arial" w:cs="Arial" w:eastAsia="Arial" w:hAnsi="Arial"/>
                <w:sz w:val="18"/>
                <w:szCs w:val="18"/>
                <w:b w:val="1"/>
                <w:bCs w:val="1"/>
                <w:color w:val="auto"/>
                <w:w w:val="99"/>
              </w:rPr>
              <w:t>with Fee</w:t>
            </w:r>
          </w:p>
        </w:tc>
        <w:tc>
          <w:tcPr>
            <w:tcW w:w="20" w:type="dxa"/>
            <w:vAlign w:val="bottom"/>
          </w:tcPr>
          <w:p>
            <w:pPr>
              <w:spacing w:after="0"/>
              <w:rPr>
                <w:sz w:val="10"/>
                <w:szCs w:val="10"/>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9"/>
              </w:rPr>
              <w:t>Associated</w:t>
            </w:r>
          </w:p>
        </w:tc>
        <w:tc>
          <w:tcPr>
            <w:tcW w:w="40" w:type="dxa"/>
            <w:vAlign w:val="bottom"/>
          </w:tcPr>
          <w:p>
            <w:pPr>
              <w:spacing w:after="0"/>
              <w:rPr>
                <w:sz w:val="10"/>
                <w:szCs w:val="10"/>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6"/>
              </w:rPr>
              <w:t>Fee</w:t>
            </w: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6"/>
            <w:vMerge w:val="continue"/>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1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vMerge w:val="continue"/>
            <w:shd w:val="clear" w:color="auto" w:fill="9ADAF6"/>
          </w:tcPr>
          <w:p>
            <w:pPr>
              <w:spacing w:after="0"/>
              <w:rPr>
                <w:sz w:val="15"/>
                <w:szCs w:val="15"/>
                <w:color w:val="auto"/>
              </w:rPr>
            </w:pPr>
          </w:p>
        </w:tc>
        <w:tc>
          <w:tcPr>
            <w:tcW w:w="40" w:type="dxa"/>
            <w:vAlign w:val="bottom"/>
            <w:tcBorders>
              <w:right w:val="single" w:sz="8" w:color="9ADAF6"/>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right w:val="single" w:sz="8" w:color="9ADAF6"/>
            </w:tcBorders>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right w:val="single" w:sz="8" w:color="9ADAF6"/>
            </w:tcBorders>
            <w:gridSpan w:val="5"/>
            <w:shd w:val="clear" w:color="auto" w:fill="9ADAF6"/>
          </w:tcPr>
          <w:p>
            <w:pPr>
              <w:ind w:left="100"/>
              <w:spacing w:after="0" w:line="178" w:lineRule="exact"/>
              <w:rPr>
                <w:sz w:val="20"/>
                <w:szCs w:val="20"/>
                <w:color w:val="auto"/>
              </w:rPr>
            </w:pPr>
            <w:r>
              <w:rPr>
                <w:rFonts w:ascii="Arial" w:cs="Arial" w:eastAsia="Arial" w:hAnsi="Arial"/>
                <w:sz w:val="18"/>
                <w:szCs w:val="18"/>
                <w:b w:val="1"/>
                <w:bCs w:val="1"/>
                <w:color w:val="auto"/>
              </w:rPr>
              <w:t>Date</w:t>
            </w:r>
          </w:p>
        </w:tc>
        <w:tc>
          <w:tcPr>
            <w:tcW w:w="20" w:type="dxa"/>
            <w:vAlign w:val="bottom"/>
          </w:tcPr>
          <w:p>
            <w:pPr>
              <w:spacing w:after="0"/>
              <w:rPr>
                <w:sz w:val="15"/>
                <w:szCs w:val="15"/>
                <w:color w:val="auto"/>
              </w:rPr>
            </w:pPr>
          </w:p>
        </w:tc>
        <w:tc>
          <w:tcPr>
            <w:tcW w:w="620" w:type="dxa"/>
            <w:vAlign w:val="bottom"/>
            <w:gridSpan w:val="3"/>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shd w:val="clear" w:color="auto" w:fill="9ADAF6"/>
          </w:tcPr>
          <w:p>
            <w:pPr>
              <w:jc w:val="right"/>
              <w:spacing w:after="0" w:line="178" w:lineRule="exact"/>
              <w:rPr>
                <w:sz w:val="20"/>
                <w:szCs w:val="20"/>
                <w:color w:val="auto"/>
              </w:rPr>
            </w:pPr>
            <w:r>
              <w:rPr>
                <w:rFonts w:ascii="Arial" w:cs="Arial" w:eastAsia="Arial" w:hAnsi="Arial"/>
                <w:sz w:val="18"/>
                <w:szCs w:val="18"/>
                <w:b w:val="1"/>
                <w:bCs w:val="1"/>
                <w:color w:val="auto"/>
                <w:w w:val="97"/>
              </w:rPr>
              <w:t>Claimed</w:t>
            </w:r>
          </w:p>
        </w:tc>
        <w:tc>
          <w:tcPr>
            <w:tcW w:w="80" w:type="dxa"/>
            <w:vAlign w:val="bottom"/>
            <w:tcBorders>
              <w:left w:val="single" w:sz="8" w:color="9ADAF6"/>
            </w:tcBorders>
          </w:tcPr>
          <w:p>
            <w:pPr>
              <w:spacing w:after="0"/>
              <w:rPr>
                <w:sz w:val="15"/>
                <w:szCs w:val="15"/>
                <w:color w:val="auto"/>
              </w:rPr>
            </w:pPr>
          </w:p>
        </w:tc>
        <w:tc>
          <w:tcPr>
            <w:tcW w:w="900" w:type="dxa"/>
            <w:vAlign w:val="bottom"/>
            <w:gridSpan w:val="3"/>
            <w:vMerge w:val="continue"/>
            <w:shd w:val="clear" w:color="auto" w:fill="9ADAF6"/>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vMerge w:val="continue"/>
            <w:shd w:val="clear" w:color="auto" w:fill="9ADAF6"/>
          </w:tcPr>
          <w:p>
            <w:pPr>
              <w:spacing w:after="0"/>
              <w:rPr>
                <w:sz w:val="15"/>
                <w:szCs w:val="15"/>
                <w:color w:val="auto"/>
              </w:rPr>
            </w:pPr>
          </w:p>
        </w:tc>
        <w:tc>
          <w:tcPr>
            <w:tcW w:w="100" w:type="dxa"/>
            <w:vAlign w:val="bottom"/>
            <w:tcBorders>
              <w:left w:val="single" w:sz="8" w:color="9ADAF6"/>
              <w:right w:val="single" w:sz="8" w:color="9ADAF6"/>
            </w:tcBorders>
          </w:tcPr>
          <w:p>
            <w:pPr>
              <w:spacing w:after="0"/>
              <w:rPr>
                <w:sz w:val="15"/>
                <w:szCs w:val="15"/>
                <w:color w:val="auto"/>
              </w:rPr>
            </w:pPr>
          </w:p>
        </w:tc>
        <w:tc>
          <w:tcPr>
            <w:tcW w:w="920" w:type="dxa"/>
            <w:vAlign w:val="bottom"/>
            <w:gridSpan w:val="6"/>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9ADAF6"/>
          </w:tcPr>
          <w:p>
            <w:pPr>
              <w:spacing w:after="0"/>
              <w:rPr>
                <w:sz w:val="10"/>
                <w:szCs w:val="10"/>
                <w:color w:val="auto"/>
              </w:rPr>
            </w:pPr>
          </w:p>
        </w:tc>
        <w:tc>
          <w:tcPr>
            <w:tcW w:w="80" w:type="dxa"/>
            <w:vAlign w:val="bottom"/>
            <w:tcBorders>
              <w:right w:val="single" w:sz="8" w:color="9ADAF6"/>
            </w:tcBorders>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Type</w:t>
            </w:r>
          </w:p>
        </w:tc>
        <w:tc>
          <w:tcPr>
            <w:tcW w:w="4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8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40" w:type="dxa"/>
            <w:vAlign w:val="bottom"/>
            <w:shd w:val="clear" w:color="auto" w:fill="9ADAF6"/>
          </w:tcPr>
          <w:p>
            <w:pPr>
              <w:spacing w:after="0"/>
              <w:rPr>
                <w:sz w:val="10"/>
                <w:szCs w:val="10"/>
                <w:color w:val="auto"/>
              </w:rPr>
            </w:pPr>
          </w:p>
        </w:tc>
        <w:tc>
          <w:tcPr>
            <w:tcW w:w="80" w:type="dxa"/>
            <w:vAlign w:val="bottom"/>
            <w:tcBorders>
              <w:left w:val="single" w:sz="8" w:color="9ADAF6"/>
            </w:tcBorders>
          </w:tcPr>
          <w:p>
            <w:pPr>
              <w:spacing w:after="0"/>
              <w:rPr>
                <w:sz w:val="10"/>
                <w:szCs w:val="10"/>
                <w:color w:val="auto"/>
              </w:rPr>
            </w:pPr>
          </w:p>
        </w:tc>
        <w:tc>
          <w:tcPr>
            <w:tcW w:w="900" w:type="dxa"/>
            <w:vAlign w:val="bottom"/>
            <w:gridSpan w:val="3"/>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Offset</w:t>
            </w: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4"/>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Offset</w:t>
            </w:r>
          </w:p>
        </w:tc>
        <w:tc>
          <w:tcPr>
            <w:tcW w:w="100" w:type="dxa"/>
            <w:vAlign w:val="bottom"/>
            <w:tcBorders>
              <w:left w:val="single" w:sz="8" w:color="9ADAF6"/>
              <w:right w:val="single" w:sz="8" w:color="9ADAF6"/>
            </w:tcBorders>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60" w:type="dxa"/>
            <w:vAlign w:val="bottom"/>
            <w:gridSpan w:val="4"/>
            <w:shd w:val="clear" w:color="auto" w:fill="9ADAF6"/>
          </w:tcPr>
          <w:p>
            <w:pPr>
              <w:jc w:val="center"/>
              <w:ind w:right="240"/>
              <w:spacing w:after="0" w:line="121" w:lineRule="exact"/>
              <w:rPr>
                <w:sz w:val="20"/>
                <w:szCs w:val="20"/>
                <w:color w:val="auto"/>
              </w:rPr>
            </w:pPr>
            <w:r>
              <w:rPr>
                <w:rFonts w:ascii="Arial" w:cs="Arial" w:eastAsia="Arial" w:hAnsi="Arial"/>
                <w:sz w:val="14"/>
                <w:szCs w:val="14"/>
                <w:b w:val="1"/>
                <w:bCs w:val="1"/>
                <w:color w:val="auto"/>
              </w:rPr>
              <w:t>Offset</w:t>
            </w:r>
          </w:p>
        </w:tc>
        <w:tc>
          <w:tcPr>
            <w:tcW w:w="20" w:type="dxa"/>
            <w:vAlign w:val="bottom"/>
          </w:tcPr>
          <w:p>
            <w:pPr>
              <w:spacing w:after="0"/>
              <w:rPr>
                <w:sz w:val="10"/>
                <w:szCs w:val="10"/>
                <w:color w:val="auto"/>
              </w:rPr>
            </w:pPr>
          </w:p>
        </w:tc>
        <w:tc>
          <w:tcPr>
            <w:tcW w:w="960" w:type="dxa"/>
            <w:vAlign w:val="bottom"/>
            <w:gridSpan w:val="3"/>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with Fee</w:t>
            </w:r>
          </w:p>
        </w:tc>
        <w:tc>
          <w:tcPr>
            <w:tcW w:w="40" w:type="dxa"/>
            <w:vAlign w:val="bottom"/>
          </w:tcPr>
          <w:p>
            <w:pPr>
              <w:spacing w:after="0"/>
              <w:rPr>
                <w:sz w:val="10"/>
                <w:szCs w:val="10"/>
                <w:color w:val="auto"/>
              </w:rPr>
            </w:pPr>
          </w:p>
        </w:tc>
        <w:tc>
          <w:tcPr>
            <w:tcW w:w="640" w:type="dxa"/>
            <w:vAlign w:val="bottom"/>
            <w:shd w:val="clear" w:color="auto" w:fill="9ADAF6"/>
          </w:tcPr>
          <w:p>
            <w:pPr>
              <w:jc w:val="center"/>
              <w:spacing w:after="0" w:line="121" w:lineRule="exact"/>
              <w:rPr>
                <w:sz w:val="20"/>
                <w:szCs w:val="20"/>
                <w:color w:val="auto"/>
              </w:rPr>
            </w:pPr>
            <w:r>
              <w:rPr>
                <w:rFonts w:ascii="Arial" w:cs="Arial" w:eastAsia="Arial" w:hAnsi="Arial"/>
                <w:sz w:val="14"/>
                <w:szCs w:val="14"/>
                <w:b w:val="1"/>
                <w:bCs w:val="1"/>
                <w:color w:val="auto"/>
              </w:rPr>
              <w:t>Offset</w:t>
            </w:r>
          </w:p>
        </w:tc>
        <w:tc>
          <w:tcPr>
            <w:tcW w:w="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4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80" w:type="dxa"/>
            <w:vAlign w:val="bottom"/>
            <w:tcBorders>
              <w:left w:val="single" w:sz="8" w:color="9ADAF6"/>
            </w:tcBorders>
          </w:tcPr>
          <w:p>
            <w:pPr>
              <w:spacing w:after="0"/>
              <w:rPr>
                <w:sz w:val="17"/>
                <w:szCs w:val="17"/>
                <w:color w:val="auto"/>
              </w:rPr>
            </w:pPr>
          </w:p>
        </w:tc>
        <w:tc>
          <w:tcPr>
            <w:tcW w:w="900" w:type="dxa"/>
            <w:vAlign w:val="bottom"/>
            <w:gridSpan w:val="3"/>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Claimed</w:t>
            </w: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4"/>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Claimed</w:t>
            </w:r>
          </w:p>
        </w:tc>
        <w:tc>
          <w:tcPr>
            <w:tcW w:w="100" w:type="dxa"/>
            <w:vAlign w:val="bottom"/>
            <w:tcBorders>
              <w:left w:val="single" w:sz="8" w:color="9ADAF6"/>
              <w:right w:val="single" w:sz="8" w:color="9ADAF6"/>
            </w:tcBorders>
          </w:tcPr>
          <w:p>
            <w:pPr>
              <w:spacing w:after="0"/>
              <w:rPr>
                <w:sz w:val="17"/>
                <w:szCs w:val="17"/>
                <w:color w:val="auto"/>
              </w:rPr>
            </w:pPr>
          </w:p>
        </w:tc>
        <w:tc>
          <w:tcPr>
            <w:tcW w:w="920" w:type="dxa"/>
            <w:vAlign w:val="bottom"/>
            <w:gridSpan w:val="6"/>
            <w:shd w:val="clear" w:color="auto" w:fill="9ADAF6"/>
          </w:tcPr>
          <w:p>
            <w:pPr>
              <w:jc w:val="center"/>
              <w:ind w:right="80"/>
              <w:spacing w:after="0" w:line="200" w:lineRule="exact"/>
              <w:rPr>
                <w:sz w:val="20"/>
                <w:szCs w:val="20"/>
                <w:color w:val="auto"/>
              </w:rPr>
            </w:pPr>
            <w:r>
              <w:rPr>
                <w:rFonts w:ascii="Arial" w:cs="Arial" w:eastAsia="Arial" w:hAnsi="Arial"/>
                <w:sz w:val="18"/>
                <w:szCs w:val="18"/>
                <w:b w:val="1"/>
                <w:bCs w:val="1"/>
                <w:color w:val="auto"/>
                <w:w w:val="97"/>
              </w:rPr>
              <w:t>Claimed</w:t>
            </w:r>
          </w:p>
        </w:tc>
        <w:tc>
          <w:tcPr>
            <w:tcW w:w="20" w:type="dxa"/>
            <w:vAlign w:val="bottom"/>
          </w:tcPr>
          <w:p>
            <w:pPr>
              <w:spacing w:after="0"/>
              <w:rPr>
                <w:sz w:val="17"/>
                <w:szCs w:val="17"/>
                <w:color w:val="auto"/>
              </w:rPr>
            </w:pPr>
          </w:p>
        </w:tc>
        <w:tc>
          <w:tcPr>
            <w:tcW w:w="760" w:type="dxa"/>
            <w:vAlign w:val="bottom"/>
            <w:gridSpan w:val="2"/>
            <w:shd w:val="clear" w:color="auto" w:fill="9ADAF6"/>
          </w:tcPr>
          <w:p>
            <w:pPr>
              <w:jc w:val="center"/>
              <w:ind w:left="112"/>
              <w:spacing w:after="0" w:line="200" w:lineRule="exact"/>
              <w:rPr>
                <w:sz w:val="20"/>
                <w:szCs w:val="20"/>
                <w:color w:val="auto"/>
              </w:rPr>
            </w:pPr>
            <w:r>
              <w:rPr>
                <w:rFonts w:ascii="Arial" w:cs="Arial" w:eastAsia="Arial" w:hAnsi="Arial"/>
                <w:sz w:val="18"/>
                <w:szCs w:val="18"/>
                <w:b w:val="1"/>
                <w:bCs w:val="1"/>
                <w:color w:val="auto"/>
                <w:w w:val="99"/>
              </w:rPr>
              <w:t>Offset</w:t>
            </w:r>
          </w:p>
        </w:tc>
        <w:tc>
          <w:tcPr>
            <w:tcW w:w="2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8"/>
              </w:rPr>
              <w:t>Source</w:t>
            </w: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9ADAF6"/>
            </w:tcBorders>
            <w:gridSpan w:val="13"/>
          </w:tcPr>
          <w:p>
            <w:pPr>
              <w:spacing w:after="0"/>
              <w:rPr>
                <w:sz w:val="20"/>
                <w:szCs w:val="20"/>
                <w:color w:val="auto"/>
              </w:rPr>
            </w:pPr>
          </w:p>
        </w:tc>
        <w:tc>
          <w:tcPr>
            <w:tcW w:w="1720" w:type="dxa"/>
            <w:vAlign w:val="bottom"/>
            <w:tcBorders>
              <w:right w:val="single" w:sz="8" w:color="9ADAF6"/>
            </w:tcBorders>
            <w:gridSpan w:val="9"/>
            <w:shd w:val="clear" w:color="auto" w:fill="9ADAF6"/>
          </w:tcPr>
          <w:p>
            <w:pPr>
              <w:spacing w:after="0"/>
              <w:rPr>
                <w:sz w:val="20"/>
                <w:szCs w:val="20"/>
                <w:color w:val="auto"/>
              </w:rPr>
            </w:pPr>
          </w:p>
        </w:tc>
        <w:tc>
          <w:tcPr>
            <w:tcW w:w="780" w:type="dxa"/>
            <w:vAlign w:val="bottom"/>
            <w:tcBorders>
              <w:right w:val="single" w:sz="8" w:color="9ADAF6"/>
            </w:tcBorders>
            <w:gridSpan w:val="2"/>
          </w:tcPr>
          <w:p>
            <w:pPr>
              <w:spacing w:after="0"/>
              <w:rPr>
                <w:sz w:val="20"/>
                <w:szCs w:val="20"/>
                <w:color w:val="auto"/>
              </w:rPr>
            </w:pPr>
          </w:p>
        </w:tc>
        <w:tc>
          <w:tcPr>
            <w:tcW w:w="620" w:type="dxa"/>
            <w:vAlign w:val="bottom"/>
            <w:tcBorders>
              <w:right w:val="single" w:sz="8" w:color="9ADAF6"/>
            </w:tcBorders>
            <w:gridSpan w:val="6"/>
          </w:tcPr>
          <w:p>
            <w:pPr>
              <w:spacing w:after="0"/>
              <w:rPr>
                <w:sz w:val="20"/>
                <w:szCs w:val="20"/>
                <w:color w:val="auto"/>
              </w:rPr>
            </w:pPr>
          </w:p>
        </w:tc>
        <w:tc>
          <w:tcPr>
            <w:tcW w:w="1320" w:type="dxa"/>
            <w:vAlign w:val="bottom"/>
            <w:gridSpan w:val="8"/>
          </w:tcPr>
          <w:p>
            <w:pPr>
              <w:spacing w:after="0"/>
              <w:rPr>
                <w:sz w:val="20"/>
                <w:szCs w:val="20"/>
                <w:color w:val="auto"/>
              </w:rPr>
            </w:pPr>
          </w:p>
        </w:tc>
        <w:tc>
          <w:tcPr>
            <w:tcW w:w="2040" w:type="dxa"/>
            <w:vAlign w:val="bottom"/>
            <w:tcBorders>
              <w:left w:val="single" w:sz="8" w:color="9ADAF6"/>
            </w:tcBorders>
            <w:gridSpan w:val="10"/>
          </w:tcPr>
          <w:p>
            <w:pPr>
              <w:spacing w:after="0"/>
              <w:rPr>
                <w:sz w:val="20"/>
                <w:szCs w:val="20"/>
                <w:color w:val="auto"/>
              </w:rPr>
            </w:pPr>
          </w:p>
        </w:tc>
        <w:tc>
          <w:tcPr>
            <w:tcW w:w="100" w:type="dxa"/>
            <w:vAlign w:val="bottom"/>
            <w:tcBorders>
              <w:left w:val="single" w:sz="8" w:color="9ADAF6"/>
              <w:right w:val="single" w:sz="8" w:color="9ADAF6"/>
            </w:tcBorders>
          </w:tcPr>
          <w:p>
            <w:pPr>
              <w:spacing w:after="0"/>
              <w:rPr>
                <w:sz w:val="20"/>
                <w:szCs w:val="20"/>
                <w:color w:val="auto"/>
              </w:rPr>
            </w:pPr>
          </w:p>
        </w:tc>
        <w:tc>
          <w:tcPr>
            <w:tcW w:w="2720" w:type="dxa"/>
            <w:vAlign w:val="bottom"/>
            <w:tcBorders>
              <w:right w:val="single" w:sz="8" w:color="auto"/>
            </w:tcBorders>
            <w:gridSpan w:val="14"/>
            <w:shd w:val="clear" w:color="auto" w:fill="9ADAF6"/>
          </w:tcPr>
          <w:p>
            <w:pPr>
              <w:spacing w:after="0"/>
              <w:rPr>
                <w:sz w:val="20"/>
                <w:szCs w:val="20"/>
                <w:color w:val="auto"/>
              </w:rPr>
            </w:pPr>
            <w:r>
              <w:rPr>
                <w:rFonts w:ascii="Arial" w:cs="Arial" w:eastAsia="Arial" w:hAnsi="Arial"/>
                <w:sz w:val="18"/>
                <w:szCs w:val="18"/>
                <w:b w:val="1"/>
                <w:bCs w:val="1"/>
                <w:color w:val="auto"/>
              </w:rPr>
              <w:t>Claimed</w:t>
            </w:r>
          </w:p>
        </w:tc>
        <w:tc>
          <w:tcPr>
            <w:tcW w:w="0" w:type="dxa"/>
            <w:vAlign w:val="bottom"/>
          </w:tcPr>
          <w:p>
            <w:pPr>
              <w:spacing w:after="0"/>
              <w:rPr>
                <w:sz w:val="1"/>
                <w:szCs w:val="1"/>
                <w:color w:val="auto"/>
              </w:rPr>
            </w:pPr>
          </w:p>
        </w:tc>
      </w:tr>
      <w:tr>
        <w:trPr>
          <w:trHeight w:val="260"/>
        </w:trPr>
        <w:tc>
          <w:tcPr>
            <w:tcW w:w="40" w:type="dxa"/>
            <w:vAlign w:val="bottom"/>
            <w:tcBorders>
              <w:lef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380" w:type="dxa"/>
            <w:vAlign w:val="bottom"/>
            <w:gridSpan w:val="16"/>
          </w:tcPr>
          <w:p>
            <w:pPr>
              <w:spacing w:after="0"/>
              <w:rPr>
                <w:sz w:val="20"/>
                <w:szCs w:val="20"/>
                <w:color w:val="auto"/>
              </w:rPr>
            </w:pPr>
            <w:r>
              <w:rPr>
                <w:rFonts w:ascii="Arial" w:cs="Arial" w:eastAsia="Arial" w:hAnsi="Arial"/>
                <w:sz w:val="18"/>
                <w:szCs w:val="18"/>
                <w:b w:val="1"/>
                <w:bCs w:val="1"/>
                <w:color w:val="auto"/>
              </w:rPr>
              <w:t>Rules 457(b) and 0-11(a)(2)</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95" w:lineRule="exact"/>
              <w:rPr>
                <w:sz w:val="20"/>
                <w:szCs w:val="20"/>
                <w:color w:val="auto"/>
              </w:rPr>
            </w:pPr>
            <w:r>
              <w:rPr>
                <w:rFonts w:ascii="Arial" w:cs="Arial" w:eastAsia="Arial" w:hAnsi="Arial"/>
                <w:sz w:val="18"/>
                <w:szCs w:val="18"/>
                <w:color w:val="auto"/>
                <w:w w:val="95"/>
              </w:rPr>
              <w:t>Fee Offset</w:t>
            </w: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6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E7E7E2"/>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20" w:type="dxa"/>
            <w:vAlign w:val="bottom"/>
            <w:gridSpan w:val="3"/>
            <w:vMerge w:val="restart"/>
            <w:shd w:val="clear" w:color="auto" w:fill="E7E7E2"/>
          </w:tcPr>
          <w:p>
            <w:pPr>
              <w:ind w:lef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tcPr>
          <w:p>
            <w:pPr>
              <w:spacing w:after="0"/>
              <w:rPr>
                <w:sz w:val="16"/>
                <w:szCs w:val="16"/>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vMerge w:val="restart"/>
            <w:shd w:val="clear" w:color="auto" w:fill="E7E7E2"/>
          </w:tcPr>
          <w:p>
            <w:pPr>
              <w:jc w:val="right"/>
              <w:ind w:right="53"/>
              <w:spacing w:after="0"/>
              <w:rPr>
                <w:sz w:val="20"/>
                <w:szCs w:val="20"/>
                <w:color w:val="auto"/>
              </w:rPr>
            </w:pPr>
            <w:r>
              <w:rPr>
                <w:rFonts w:ascii="Arial" w:cs="Arial" w:eastAsia="Arial" w:hAnsi="Arial"/>
                <w:sz w:val="18"/>
                <w:szCs w:val="18"/>
                <w:color w:val="auto"/>
                <w:w w:val="93"/>
              </w:rPr>
              <w:t>N/A</w:t>
            </w:r>
          </w:p>
        </w:tc>
        <w:tc>
          <w:tcPr>
            <w:tcW w:w="20" w:type="dxa"/>
            <w:vAlign w:val="bottom"/>
            <w:shd w:val="clear" w:color="auto" w:fill="E7E7E2"/>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00" w:type="dxa"/>
            <w:vAlign w:val="bottom"/>
            <w:tcBorders>
              <w:left w:val="single" w:sz="8" w:color="E7E7E2"/>
              <w:right w:val="single" w:sz="8" w:color="E7E7E2"/>
            </w:tcBorders>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8"/>
                <w:szCs w:val="18"/>
                <w:color w:val="auto"/>
                <w:w w:val="93"/>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Claims</w:t>
            </w:r>
          </w:p>
        </w:tc>
        <w:tc>
          <w:tcPr>
            <w:tcW w:w="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right w:val="single" w:sz="8" w:color="E7E7E2"/>
            </w:tcBorders>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100" w:type="dxa"/>
            <w:vAlign w:val="bottom"/>
            <w:tcBorders>
              <w:left w:val="single" w:sz="8" w:color="E7E7E2"/>
              <w:right w:val="single" w:sz="8" w:color="E7E7E2"/>
            </w:tcBorders>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shd w:val="clear" w:color="auto" w:fill="E7E7E2"/>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780" w:type="dxa"/>
            <w:vAlign w:val="bottom"/>
            <w:tcBorders>
              <w:right w:val="single" w:sz="8" w:color="E7E7E2"/>
            </w:tcBorders>
            <w:gridSpan w:val="2"/>
          </w:tcPr>
          <w:p>
            <w:pPr>
              <w:spacing w:after="0"/>
              <w:rPr>
                <w:sz w:val="8"/>
                <w:szCs w:val="8"/>
                <w:color w:val="auto"/>
              </w:rPr>
            </w:pPr>
          </w:p>
        </w:tc>
        <w:tc>
          <w:tcPr>
            <w:tcW w:w="620" w:type="dxa"/>
            <w:vAlign w:val="bottom"/>
            <w:tcBorders>
              <w:right w:val="single" w:sz="8" w:color="E7E7E2"/>
            </w:tcBorders>
            <w:gridSpan w:val="6"/>
          </w:tcPr>
          <w:p>
            <w:pPr>
              <w:spacing w:after="0"/>
              <w:rPr>
                <w:sz w:val="8"/>
                <w:szCs w:val="8"/>
                <w:color w:val="auto"/>
              </w:rPr>
            </w:pPr>
          </w:p>
        </w:tc>
        <w:tc>
          <w:tcPr>
            <w:tcW w:w="1320" w:type="dxa"/>
            <w:vAlign w:val="bottom"/>
            <w:gridSpan w:val="8"/>
          </w:tcPr>
          <w:p>
            <w:pPr>
              <w:spacing w:after="0"/>
              <w:rPr>
                <w:sz w:val="8"/>
                <w:szCs w:val="8"/>
                <w:color w:val="auto"/>
              </w:rPr>
            </w:pPr>
          </w:p>
        </w:tc>
        <w:tc>
          <w:tcPr>
            <w:tcW w:w="2040" w:type="dxa"/>
            <w:vAlign w:val="bottom"/>
            <w:tcBorders>
              <w:left w:val="single" w:sz="8" w:color="E7E7E2"/>
            </w:tcBorders>
            <w:gridSpan w:val="10"/>
          </w:tcPr>
          <w:p>
            <w:pPr>
              <w:spacing w:after="0"/>
              <w:rPr>
                <w:sz w:val="8"/>
                <w:szCs w:val="8"/>
                <w:color w:val="auto"/>
              </w:rPr>
            </w:pPr>
          </w:p>
        </w:tc>
        <w:tc>
          <w:tcPr>
            <w:tcW w:w="100" w:type="dxa"/>
            <w:vAlign w:val="bottom"/>
            <w:tcBorders>
              <w:left w:val="single" w:sz="8" w:color="E7E7E2"/>
              <w:right w:val="single" w:sz="8" w:color="E7E7E2"/>
            </w:tcBorders>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360" w:type="dxa"/>
            <w:vAlign w:val="bottom"/>
            <w:tcBorders>
              <w:left w:val="single" w:sz="8" w:color="auto"/>
              <w:right w:val="single" w:sz="8" w:color="auto"/>
            </w:tcBorders>
            <w:gridSpan w:val="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89" w:lineRule="exact"/>
              <w:rPr>
                <w:sz w:val="20"/>
                <w:szCs w:val="20"/>
                <w:color w:val="auto"/>
              </w:rPr>
            </w:pPr>
            <w:r>
              <w:rPr>
                <w:rFonts w:ascii="Arial" w:cs="Arial" w:eastAsia="Arial" w:hAnsi="Arial"/>
                <w:sz w:val="18"/>
                <w:szCs w:val="18"/>
                <w:color w:val="auto"/>
                <w:w w:val="95"/>
              </w:rPr>
              <w:t>Fee Offset</w:t>
            </w: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6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E7E7E2"/>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20" w:type="dxa"/>
            <w:vAlign w:val="bottom"/>
            <w:gridSpan w:val="3"/>
            <w:vMerge w:val="restart"/>
            <w:shd w:val="clear" w:color="auto" w:fill="E7E7E2"/>
          </w:tcPr>
          <w:p>
            <w:pPr>
              <w:ind w:lef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tcPr>
          <w:p>
            <w:pPr>
              <w:spacing w:after="0"/>
              <w:rPr>
                <w:sz w:val="16"/>
                <w:szCs w:val="16"/>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vMerge w:val="restart"/>
            <w:shd w:val="clear" w:color="auto" w:fill="E7E7E2"/>
          </w:tcPr>
          <w:p>
            <w:pPr>
              <w:jc w:val="right"/>
              <w:ind w:right="53"/>
              <w:spacing w:after="0"/>
              <w:rPr>
                <w:sz w:val="20"/>
                <w:szCs w:val="20"/>
                <w:color w:val="auto"/>
              </w:rPr>
            </w:pPr>
            <w:r>
              <w:rPr>
                <w:rFonts w:ascii="Arial" w:cs="Arial" w:eastAsia="Arial" w:hAnsi="Arial"/>
                <w:sz w:val="18"/>
                <w:szCs w:val="18"/>
                <w:color w:val="auto"/>
                <w:w w:val="93"/>
              </w:rPr>
              <w:t>N/A</w:t>
            </w:r>
          </w:p>
        </w:tc>
        <w:tc>
          <w:tcPr>
            <w:tcW w:w="20" w:type="dxa"/>
            <w:vAlign w:val="bottom"/>
            <w:shd w:val="clear" w:color="auto" w:fill="E7E7E2"/>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00" w:type="dxa"/>
            <w:vAlign w:val="bottom"/>
            <w:tcBorders>
              <w:left w:val="single" w:sz="8" w:color="E7E7E2"/>
              <w:right w:val="single" w:sz="8" w:color="E7E7E2"/>
            </w:tcBorders>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8"/>
                <w:szCs w:val="18"/>
                <w:color w:val="auto"/>
                <w:w w:val="93"/>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Sources</w:t>
            </w:r>
          </w:p>
        </w:tc>
        <w:tc>
          <w:tcPr>
            <w:tcW w:w="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right w:val="single" w:sz="8" w:color="E7E7E2"/>
            </w:tcBorders>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100" w:type="dxa"/>
            <w:vAlign w:val="bottom"/>
            <w:tcBorders>
              <w:left w:val="single" w:sz="8" w:color="E7E7E2"/>
              <w:right w:val="single" w:sz="8" w:color="E7E7E2"/>
            </w:tcBorders>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shd w:val="clear" w:color="auto" w:fill="E7E7E2"/>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780" w:type="dxa"/>
            <w:vAlign w:val="bottom"/>
            <w:tcBorders>
              <w:right w:val="single" w:sz="8" w:color="E7E7E2"/>
            </w:tcBorders>
            <w:gridSpan w:val="2"/>
          </w:tcPr>
          <w:p>
            <w:pPr>
              <w:spacing w:after="0"/>
              <w:rPr>
                <w:sz w:val="8"/>
                <w:szCs w:val="8"/>
                <w:color w:val="auto"/>
              </w:rPr>
            </w:pPr>
          </w:p>
        </w:tc>
        <w:tc>
          <w:tcPr>
            <w:tcW w:w="620" w:type="dxa"/>
            <w:vAlign w:val="bottom"/>
            <w:tcBorders>
              <w:right w:val="single" w:sz="8" w:color="E7E7E2"/>
            </w:tcBorders>
            <w:gridSpan w:val="6"/>
          </w:tcPr>
          <w:p>
            <w:pPr>
              <w:spacing w:after="0"/>
              <w:rPr>
                <w:sz w:val="8"/>
                <w:szCs w:val="8"/>
                <w:color w:val="auto"/>
              </w:rPr>
            </w:pPr>
          </w:p>
        </w:tc>
        <w:tc>
          <w:tcPr>
            <w:tcW w:w="1320" w:type="dxa"/>
            <w:vAlign w:val="bottom"/>
            <w:gridSpan w:val="8"/>
          </w:tcPr>
          <w:p>
            <w:pPr>
              <w:spacing w:after="0"/>
              <w:rPr>
                <w:sz w:val="8"/>
                <w:szCs w:val="8"/>
                <w:color w:val="auto"/>
              </w:rPr>
            </w:pPr>
          </w:p>
        </w:tc>
        <w:tc>
          <w:tcPr>
            <w:tcW w:w="2040" w:type="dxa"/>
            <w:vAlign w:val="bottom"/>
            <w:tcBorders>
              <w:left w:val="single" w:sz="8" w:color="E7E7E2"/>
            </w:tcBorders>
            <w:gridSpan w:val="10"/>
          </w:tcPr>
          <w:p>
            <w:pPr>
              <w:spacing w:after="0"/>
              <w:rPr>
                <w:sz w:val="8"/>
                <w:szCs w:val="8"/>
                <w:color w:val="auto"/>
              </w:rPr>
            </w:pPr>
          </w:p>
        </w:tc>
        <w:tc>
          <w:tcPr>
            <w:tcW w:w="100" w:type="dxa"/>
            <w:vAlign w:val="bottom"/>
            <w:tcBorders>
              <w:left w:val="single" w:sz="8" w:color="E7E7E2"/>
              <w:right w:val="single" w:sz="8" w:color="E7E7E2"/>
            </w:tcBorders>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1360" w:type="dxa"/>
            <w:vAlign w:val="bottom"/>
            <w:tcBorders>
              <w:left w:val="single" w:sz="8" w:color="auto"/>
              <w:right w:val="single" w:sz="8" w:color="auto"/>
            </w:tcBorders>
            <w:gridSpan w:val="63"/>
          </w:tcPr>
          <w:p>
            <w:pPr>
              <w:spacing w:after="0"/>
              <w:rPr>
                <w:sz w:val="20"/>
                <w:szCs w:val="20"/>
                <w:color w:val="auto"/>
              </w:rPr>
            </w:pPr>
            <w:r>
              <w:rPr>
                <w:rFonts w:ascii="Arial" w:cs="Arial" w:eastAsia="Arial" w:hAnsi="Arial"/>
                <w:sz w:val="18"/>
                <w:szCs w:val="18"/>
                <w:b w:val="1"/>
                <w:bCs w:val="1"/>
                <w:color w:val="auto"/>
              </w:rPr>
              <w:t>Rule 457(p)</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95" w:lineRule="exact"/>
              <w:rPr>
                <w:sz w:val="20"/>
                <w:szCs w:val="20"/>
                <w:color w:val="auto"/>
              </w:rPr>
            </w:pPr>
            <w:r>
              <w:rPr>
                <w:rFonts w:ascii="Arial" w:cs="Arial" w:eastAsia="Arial" w:hAnsi="Arial"/>
                <w:sz w:val="18"/>
                <w:szCs w:val="18"/>
                <w:color w:val="auto"/>
                <w:w w:val="95"/>
              </w:rPr>
              <w:t>Fee Offset</w:t>
            </w: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6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E7E7E2"/>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20" w:type="dxa"/>
            <w:vAlign w:val="bottom"/>
            <w:gridSpan w:val="3"/>
            <w:vMerge w:val="restart"/>
            <w:shd w:val="clear" w:color="auto" w:fill="E7E7E2"/>
          </w:tcPr>
          <w:p>
            <w:pPr>
              <w:ind w:lef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tcPr>
          <w:p>
            <w:pPr>
              <w:spacing w:after="0"/>
              <w:rPr>
                <w:sz w:val="16"/>
                <w:szCs w:val="16"/>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vMerge w:val="restart"/>
            <w:shd w:val="clear" w:color="auto" w:fill="E7E7E2"/>
          </w:tcPr>
          <w:p>
            <w:pPr>
              <w:jc w:val="right"/>
              <w:ind w:right="53"/>
              <w:spacing w:after="0"/>
              <w:rPr>
                <w:sz w:val="20"/>
                <w:szCs w:val="20"/>
                <w:color w:val="auto"/>
              </w:rPr>
            </w:pPr>
            <w:r>
              <w:rPr>
                <w:rFonts w:ascii="Arial" w:cs="Arial" w:eastAsia="Arial" w:hAnsi="Arial"/>
                <w:sz w:val="18"/>
                <w:szCs w:val="18"/>
                <w:color w:val="auto"/>
                <w:w w:val="93"/>
              </w:rPr>
              <w:t>N/A</w:t>
            </w:r>
          </w:p>
        </w:tc>
        <w:tc>
          <w:tcPr>
            <w:tcW w:w="20" w:type="dxa"/>
            <w:vAlign w:val="bottom"/>
            <w:shd w:val="clear" w:color="auto" w:fill="E7E7E2"/>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00" w:type="dxa"/>
            <w:vAlign w:val="bottom"/>
            <w:tcBorders>
              <w:left w:val="single" w:sz="8" w:color="E7E7E2"/>
              <w:right w:val="single" w:sz="8" w:color="E7E7E2"/>
            </w:tcBorders>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8"/>
                <w:szCs w:val="18"/>
                <w:color w:val="auto"/>
                <w:w w:val="93"/>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Claims</w:t>
            </w:r>
          </w:p>
        </w:tc>
        <w:tc>
          <w:tcPr>
            <w:tcW w:w="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right w:val="single" w:sz="8" w:color="E7E7E2"/>
            </w:tcBorders>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100" w:type="dxa"/>
            <w:vAlign w:val="bottom"/>
            <w:tcBorders>
              <w:left w:val="single" w:sz="8" w:color="E7E7E2"/>
              <w:right w:val="single" w:sz="8" w:color="E7E7E2"/>
            </w:tcBorders>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shd w:val="clear" w:color="auto" w:fill="E7E7E2"/>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780" w:type="dxa"/>
            <w:vAlign w:val="bottom"/>
            <w:tcBorders>
              <w:right w:val="single" w:sz="8" w:color="E7E7E2"/>
            </w:tcBorders>
            <w:gridSpan w:val="2"/>
          </w:tcPr>
          <w:p>
            <w:pPr>
              <w:spacing w:after="0"/>
              <w:rPr>
                <w:sz w:val="8"/>
                <w:szCs w:val="8"/>
                <w:color w:val="auto"/>
              </w:rPr>
            </w:pPr>
          </w:p>
        </w:tc>
        <w:tc>
          <w:tcPr>
            <w:tcW w:w="620" w:type="dxa"/>
            <w:vAlign w:val="bottom"/>
            <w:tcBorders>
              <w:right w:val="single" w:sz="8" w:color="E7E7E2"/>
            </w:tcBorders>
            <w:gridSpan w:val="6"/>
          </w:tcPr>
          <w:p>
            <w:pPr>
              <w:spacing w:after="0"/>
              <w:rPr>
                <w:sz w:val="8"/>
                <w:szCs w:val="8"/>
                <w:color w:val="auto"/>
              </w:rPr>
            </w:pPr>
          </w:p>
        </w:tc>
        <w:tc>
          <w:tcPr>
            <w:tcW w:w="1320" w:type="dxa"/>
            <w:vAlign w:val="bottom"/>
            <w:gridSpan w:val="8"/>
          </w:tcPr>
          <w:p>
            <w:pPr>
              <w:spacing w:after="0"/>
              <w:rPr>
                <w:sz w:val="8"/>
                <w:szCs w:val="8"/>
                <w:color w:val="auto"/>
              </w:rPr>
            </w:pPr>
          </w:p>
        </w:tc>
        <w:tc>
          <w:tcPr>
            <w:tcW w:w="2040" w:type="dxa"/>
            <w:vAlign w:val="bottom"/>
            <w:tcBorders>
              <w:left w:val="single" w:sz="8" w:color="E7E7E2"/>
            </w:tcBorders>
            <w:gridSpan w:val="10"/>
          </w:tcPr>
          <w:p>
            <w:pPr>
              <w:spacing w:after="0"/>
              <w:rPr>
                <w:sz w:val="8"/>
                <w:szCs w:val="8"/>
                <w:color w:val="auto"/>
              </w:rPr>
            </w:pPr>
          </w:p>
        </w:tc>
        <w:tc>
          <w:tcPr>
            <w:tcW w:w="100" w:type="dxa"/>
            <w:vAlign w:val="bottom"/>
            <w:tcBorders>
              <w:left w:val="single" w:sz="8" w:color="E7E7E2"/>
              <w:right w:val="single" w:sz="8" w:color="E7E7E2"/>
            </w:tcBorders>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1360" w:type="dxa"/>
            <w:vAlign w:val="bottom"/>
            <w:tcBorders>
              <w:left w:val="single" w:sz="8" w:color="auto"/>
              <w:right w:val="single" w:sz="8" w:color="auto"/>
            </w:tcBorders>
            <w:gridSpan w:val="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40" w:type="dxa"/>
            <w:vAlign w:val="bottom"/>
            <w:gridSpan w:val="3"/>
            <w:shd w:val="clear" w:color="auto" w:fill="E7E7E2"/>
          </w:tcPr>
          <w:p>
            <w:pPr>
              <w:ind w:left="20"/>
              <w:spacing w:after="0" w:line="189" w:lineRule="exact"/>
              <w:rPr>
                <w:sz w:val="20"/>
                <w:szCs w:val="20"/>
                <w:color w:val="auto"/>
              </w:rPr>
            </w:pPr>
            <w:r>
              <w:rPr>
                <w:rFonts w:ascii="Arial" w:cs="Arial" w:eastAsia="Arial" w:hAnsi="Arial"/>
                <w:sz w:val="18"/>
                <w:szCs w:val="18"/>
                <w:color w:val="auto"/>
                <w:w w:val="95"/>
              </w:rPr>
              <w:t>Fee Offset</w:t>
            </w: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vMerge w:val="restart"/>
            <w:shd w:val="clear" w:color="auto" w:fill="E7E7E2"/>
          </w:tcPr>
          <w:p>
            <w:pPr>
              <w:ind w:lef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60" w:type="dxa"/>
            <w:vAlign w:val="bottom"/>
            <w:tcBorders>
              <w:right w:val="single" w:sz="8" w:color="E7E7E2"/>
            </w:tcBorders>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shd w:val="clear" w:color="auto" w:fill="E7E7E2"/>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restart"/>
            <w:shd w:val="clear" w:color="auto" w:fill="E7E7E2"/>
          </w:tcPr>
          <w:p>
            <w:pPr>
              <w:jc w:val="center"/>
              <w:spacing w:after="0"/>
              <w:rPr>
                <w:sz w:val="20"/>
                <w:szCs w:val="20"/>
                <w:color w:val="auto"/>
              </w:rPr>
            </w:pPr>
            <w:r>
              <w:rPr>
                <w:rFonts w:ascii="Arial" w:cs="Arial" w:eastAsia="Arial" w:hAnsi="Arial"/>
                <w:sz w:val="18"/>
                <w:szCs w:val="18"/>
                <w:color w:val="auto"/>
                <w:w w:val="99"/>
              </w:rPr>
              <w:t>N/A</w:t>
            </w:r>
          </w:p>
        </w:tc>
        <w:tc>
          <w:tcPr>
            <w:tcW w:w="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60" w:type="dxa"/>
            <w:vAlign w:val="bottom"/>
            <w:tcBorders>
              <w:right w:val="single" w:sz="8" w:color="E7E7E2"/>
            </w:tcBorders>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620" w:type="dxa"/>
            <w:vAlign w:val="bottom"/>
            <w:gridSpan w:val="3"/>
            <w:vMerge w:val="restart"/>
            <w:shd w:val="clear" w:color="auto" w:fill="E7E7E2"/>
          </w:tcPr>
          <w:p>
            <w:pPr>
              <w:ind w:lef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jc w:val="right"/>
              <w:spacing w:after="0"/>
              <w:rPr>
                <w:sz w:val="20"/>
                <w:szCs w:val="20"/>
                <w:color w:val="auto"/>
              </w:rPr>
            </w:pPr>
            <w:r>
              <w:rPr>
                <w:rFonts w:ascii="Arial" w:cs="Arial" w:eastAsia="Arial" w:hAnsi="Arial"/>
                <w:sz w:val="18"/>
                <w:szCs w:val="18"/>
                <w:color w:val="auto"/>
              </w:rPr>
              <w:t>N/A</w:t>
            </w:r>
          </w:p>
        </w:tc>
        <w:tc>
          <w:tcPr>
            <w:tcW w:w="80" w:type="dxa"/>
            <w:vAlign w:val="bottom"/>
            <w:tcBorders>
              <w:left w:val="single" w:sz="8" w:color="E7E7E2"/>
            </w:tcBorders>
          </w:tcPr>
          <w:p>
            <w:pPr>
              <w:spacing w:after="0"/>
              <w:rPr>
                <w:sz w:val="16"/>
                <w:szCs w:val="16"/>
                <w:color w:val="auto"/>
              </w:rPr>
            </w:pPr>
          </w:p>
        </w:tc>
        <w:tc>
          <w:tcPr>
            <w:tcW w:w="360" w:type="dxa"/>
            <w:vAlign w:val="bottom"/>
            <w:vMerge w:val="restart"/>
            <w:shd w:val="clear" w:color="auto" w:fill="E7E7E2"/>
          </w:tcPr>
          <w:p>
            <w:pPr>
              <w:ind w:left="20"/>
              <w:spacing w:after="0"/>
              <w:rPr>
                <w:sz w:val="20"/>
                <w:szCs w:val="20"/>
                <w:color w:val="auto"/>
              </w:rPr>
            </w:pPr>
            <w:r>
              <w:rPr>
                <w:rFonts w:ascii="Arial" w:cs="Arial" w:eastAsia="Arial" w:hAnsi="Arial"/>
                <w:sz w:val="18"/>
                <w:szCs w:val="18"/>
                <w:color w:val="auto"/>
              </w:rPr>
              <w:t>N/A</w:t>
            </w: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vMerge w:val="restart"/>
            <w:shd w:val="clear" w:color="auto" w:fill="E7E7E2"/>
          </w:tcPr>
          <w:p>
            <w:pPr>
              <w:jc w:val="right"/>
              <w:ind w:right="53"/>
              <w:spacing w:after="0"/>
              <w:rPr>
                <w:sz w:val="20"/>
                <w:szCs w:val="20"/>
                <w:color w:val="auto"/>
              </w:rPr>
            </w:pPr>
            <w:r>
              <w:rPr>
                <w:rFonts w:ascii="Arial" w:cs="Arial" w:eastAsia="Arial" w:hAnsi="Arial"/>
                <w:sz w:val="18"/>
                <w:szCs w:val="18"/>
                <w:color w:val="auto"/>
                <w:w w:val="93"/>
              </w:rPr>
              <w:t>N/A</w:t>
            </w:r>
          </w:p>
        </w:tc>
        <w:tc>
          <w:tcPr>
            <w:tcW w:w="20" w:type="dxa"/>
            <w:vAlign w:val="bottom"/>
            <w:shd w:val="clear" w:color="auto" w:fill="E7E7E2"/>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100" w:type="dxa"/>
            <w:vAlign w:val="bottom"/>
            <w:tcBorders>
              <w:left w:val="single" w:sz="8" w:color="E7E7E2"/>
              <w:right w:val="single" w:sz="8" w:color="E7E7E2"/>
            </w:tcBorders>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gridSpan w:val="2"/>
            <w:vMerge w:val="restart"/>
            <w:shd w:val="clear" w:color="auto" w:fill="E7E7E2"/>
          </w:tcPr>
          <w:p>
            <w:pPr>
              <w:ind w:left="20"/>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6"/>
                <w:szCs w:val="16"/>
                <w:color w:val="auto"/>
              </w:rPr>
            </w:pPr>
          </w:p>
        </w:tc>
        <w:tc>
          <w:tcPr>
            <w:tcW w:w="960" w:type="dxa"/>
            <w:vAlign w:val="bottom"/>
            <w:gridSpan w:val="3"/>
            <w:vMerge w:val="restart"/>
            <w:shd w:val="clear" w:color="auto" w:fill="E7E7E2"/>
          </w:tcPr>
          <w:p>
            <w:pPr>
              <w:ind w:left="660"/>
              <w:spacing w:after="0"/>
              <w:rPr>
                <w:sz w:val="20"/>
                <w:szCs w:val="20"/>
                <w:color w:val="auto"/>
              </w:rPr>
            </w:pPr>
            <w:r>
              <w:rPr>
                <w:rFonts w:ascii="Arial" w:cs="Arial" w:eastAsia="Arial" w:hAnsi="Arial"/>
                <w:sz w:val="18"/>
                <w:szCs w:val="18"/>
                <w:color w:val="auto"/>
                <w:w w:val="93"/>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Borders>
              <w:left w:val="single" w:sz="8" w:color="auto"/>
            </w:tcBorders>
          </w:tcPr>
          <w:p>
            <w:pPr>
              <w:spacing w:after="0"/>
              <w:rPr>
                <w:sz w:val="11"/>
                <w:szCs w:val="11"/>
                <w:color w:val="auto"/>
              </w:rPr>
            </w:pPr>
          </w:p>
        </w:tc>
        <w:tc>
          <w:tcPr>
            <w:tcW w:w="840" w:type="dxa"/>
            <w:vAlign w:val="bottom"/>
            <w:gridSpan w:val="3"/>
            <w:vMerge w:val="restart"/>
            <w:shd w:val="clear" w:color="auto" w:fill="E7E7E2"/>
          </w:tcPr>
          <w:p>
            <w:pPr>
              <w:ind w:left="20"/>
              <w:spacing w:after="0"/>
              <w:rPr>
                <w:sz w:val="20"/>
                <w:szCs w:val="20"/>
                <w:color w:val="auto"/>
              </w:rPr>
            </w:pPr>
            <w:r>
              <w:rPr>
                <w:rFonts w:ascii="Arial" w:cs="Arial" w:eastAsia="Arial" w:hAnsi="Arial"/>
                <w:sz w:val="18"/>
                <w:szCs w:val="18"/>
                <w:color w:val="auto"/>
              </w:rPr>
              <w:t>Sources</w:t>
            </w:r>
          </w:p>
        </w:tc>
        <w:tc>
          <w:tcPr>
            <w:tcW w:w="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right w:val="single" w:sz="8" w:color="E7E7E2"/>
            </w:tcBorders>
            <w:gridSpan w:val="2"/>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shd w:val="clear" w:color="auto" w:fill="E7E7E2"/>
          </w:tcPr>
          <w:p>
            <w:pPr>
              <w:spacing w:after="0"/>
              <w:rPr>
                <w:sz w:val="11"/>
                <w:szCs w:val="11"/>
                <w:color w:val="auto"/>
              </w:rPr>
            </w:pPr>
          </w:p>
        </w:tc>
        <w:tc>
          <w:tcPr>
            <w:tcW w:w="40" w:type="dxa"/>
            <w:vAlign w:val="bottom"/>
            <w:tcBorders>
              <w:right w:val="single" w:sz="8" w:color="E7E7E2"/>
            </w:tcBorders>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right w:val="single" w:sz="8" w:color="E7E7E2"/>
            </w:tcBorders>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tcBorders>
              <w:right w:val="single" w:sz="8" w:color="E7E7E2"/>
            </w:tcBorders>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80" w:type="dxa"/>
            <w:vAlign w:val="bottom"/>
            <w:tcBorders>
              <w:left w:val="single" w:sz="8" w:color="E7E7E2"/>
            </w:tcBorders>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continue"/>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6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100" w:type="dxa"/>
            <w:vAlign w:val="bottom"/>
            <w:tcBorders>
              <w:left w:val="single" w:sz="8" w:color="E7E7E2"/>
              <w:right w:val="single" w:sz="8" w:color="E7E7E2"/>
            </w:tcBorders>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gridSpan w:val="2"/>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 w:type="dxa"/>
            <w:vAlign w:val="bottom"/>
            <w:tcBorders>
              <w:left w:val="single" w:sz="8" w:color="auto"/>
            </w:tcBorders>
          </w:tcPr>
          <w:p>
            <w:pPr>
              <w:spacing w:after="0"/>
              <w:rPr>
                <w:sz w:val="8"/>
                <w:szCs w:val="8"/>
                <w:color w:val="auto"/>
              </w:rPr>
            </w:pPr>
          </w:p>
        </w:tc>
        <w:tc>
          <w:tcPr>
            <w:tcW w:w="840" w:type="dxa"/>
            <w:vAlign w:val="bottom"/>
            <w:gridSpan w:val="3"/>
            <w:vMerge w:val="continue"/>
            <w:shd w:val="clear" w:color="auto" w:fill="E7E7E2"/>
          </w:tcPr>
          <w:p>
            <w:pPr>
              <w:spacing w:after="0"/>
              <w:rPr>
                <w:sz w:val="8"/>
                <w:szCs w:val="8"/>
                <w:color w:val="auto"/>
              </w:rPr>
            </w:pPr>
          </w:p>
        </w:tc>
        <w:tc>
          <w:tcPr>
            <w:tcW w:w="1180" w:type="dxa"/>
            <w:vAlign w:val="bottom"/>
            <w:tcBorders>
              <w:right w:val="single" w:sz="8" w:color="E7E7E2"/>
            </w:tcBorders>
            <w:gridSpan w:val="9"/>
            <w:shd w:val="clear" w:color="auto" w:fill="E7E7E2"/>
          </w:tcPr>
          <w:p>
            <w:pPr>
              <w:spacing w:after="0"/>
              <w:rPr>
                <w:sz w:val="8"/>
                <w:szCs w:val="8"/>
                <w:color w:val="auto"/>
              </w:rPr>
            </w:pPr>
          </w:p>
        </w:tc>
        <w:tc>
          <w:tcPr>
            <w:tcW w:w="1720" w:type="dxa"/>
            <w:vAlign w:val="bottom"/>
            <w:tcBorders>
              <w:right w:val="single" w:sz="8" w:color="E7E7E2"/>
            </w:tcBorders>
            <w:gridSpan w:val="9"/>
            <w:shd w:val="clear" w:color="auto" w:fill="E7E7E2"/>
          </w:tcPr>
          <w:p>
            <w:pPr>
              <w:spacing w:after="0"/>
              <w:rPr>
                <w:sz w:val="8"/>
                <w:szCs w:val="8"/>
                <w:color w:val="auto"/>
              </w:rPr>
            </w:pPr>
          </w:p>
        </w:tc>
        <w:tc>
          <w:tcPr>
            <w:tcW w:w="780" w:type="dxa"/>
            <w:vAlign w:val="bottom"/>
            <w:tcBorders>
              <w:right w:val="single" w:sz="8" w:color="E7E7E2"/>
            </w:tcBorders>
            <w:gridSpan w:val="2"/>
          </w:tcPr>
          <w:p>
            <w:pPr>
              <w:spacing w:after="0"/>
              <w:rPr>
                <w:sz w:val="8"/>
                <w:szCs w:val="8"/>
                <w:color w:val="auto"/>
              </w:rPr>
            </w:pPr>
          </w:p>
        </w:tc>
        <w:tc>
          <w:tcPr>
            <w:tcW w:w="620" w:type="dxa"/>
            <w:vAlign w:val="bottom"/>
            <w:tcBorders>
              <w:right w:val="single" w:sz="8" w:color="E7E7E2"/>
            </w:tcBorders>
            <w:gridSpan w:val="6"/>
          </w:tcPr>
          <w:p>
            <w:pPr>
              <w:spacing w:after="0"/>
              <w:rPr>
                <w:sz w:val="8"/>
                <w:szCs w:val="8"/>
                <w:color w:val="auto"/>
              </w:rPr>
            </w:pPr>
          </w:p>
        </w:tc>
        <w:tc>
          <w:tcPr>
            <w:tcW w:w="1320" w:type="dxa"/>
            <w:vAlign w:val="bottom"/>
            <w:gridSpan w:val="8"/>
          </w:tcPr>
          <w:p>
            <w:pPr>
              <w:spacing w:after="0"/>
              <w:rPr>
                <w:sz w:val="8"/>
                <w:szCs w:val="8"/>
                <w:color w:val="auto"/>
              </w:rPr>
            </w:pPr>
          </w:p>
        </w:tc>
        <w:tc>
          <w:tcPr>
            <w:tcW w:w="2040" w:type="dxa"/>
            <w:vAlign w:val="bottom"/>
            <w:tcBorders>
              <w:left w:val="single" w:sz="8" w:color="E7E7E2"/>
            </w:tcBorders>
            <w:gridSpan w:val="10"/>
          </w:tcPr>
          <w:p>
            <w:pPr>
              <w:spacing w:after="0"/>
              <w:rPr>
                <w:sz w:val="8"/>
                <w:szCs w:val="8"/>
                <w:color w:val="auto"/>
              </w:rPr>
            </w:pPr>
          </w:p>
        </w:tc>
        <w:tc>
          <w:tcPr>
            <w:tcW w:w="100" w:type="dxa"/>
            <w:vAlign w:val="bottom"/>
            <w:tcBorders>
              <w:left w:val="single" w:sz="8" w:color="E7E7E2"/>
              <w:right w:val="single" w:sz="8" w:color="E7E7E2"/>
            </w:tcBorders>
          </w:tcPr>
          <w:p>
            <w:pPr>
              <w:spacing w:after="0"/>
              <w:rPr>
                <w:sz w:val="8"/>
                <w:szCs w:val="8"/>
                <w:color w:val="auto"/>
              </w:rPr>
            </w:pPr>
          </w:p>
        </w:tc>
        <w:tc>
          <w:tcPr>
            <w:tcW w:w="2720" w:type="dxa"/>
            <w:vAlign w:val="bottom"/>
            <w:tcBorders>
              <w:right w:val="single" w:sz="8" w:color="auto"/>
            </w:tcBorders>
            <w:gridSpan w:val="14"/>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360" w:type="dxa"/>
            <w:vAlign w:val="bottom"/>
            <w:tcBorders>
              <w:left w:val="single" w:sz="8" w:color="auto"/>
              <w:bottom w:val="single" w:sz="8" w:color="auto"/>
              <w:right w:val="single" w:sz="8" w:color="auto"/>
            </w:tcBorders>
            <w:gridSpan w:val="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0" w:type="dxa"/>
            <w:vAlign w:val="bottom"/>
          </w:tcPr>
          <w:p>
            <w:pPr>
              <w:spacing w:after="0"/>
              <w:rPr>
                <w:sz w:val="24"/>
                <w:szCs w:val="24"/>
                <w:color w:val="auto"/>
              </w:rPr>
            </w:pPr>
          </w:p>
        </w:tc>
        <w:tc>
          <w:tcPr>
            <w:tcW w:w="2860" w:type="dxa"/>
            <w:vAlign w:val="bottom"/>
            <w:gridSpan w:val="16"/>
          </w:tcPr>
          <w:p>
            <w:pPr>
              <w:spacing w:after="0"/>
              <w:rPr>
                <w:sz w:val="20"/>
                <w:szCs w:val="20"/>
                <w:color w:val="auto"/>
              </w:rPr>
            </w:pPr>
            <w:r>
              <w:rPr>
                <w:rFonts w:ascii="Arial" w:cs="Arial" w:eastAsia="Arial" w:hAnsi="Arial"/>
                <w:sz w:val="18"/>
                <w:szCs w:val="18"/>
                <w:b w:val="1"/>
                <w:bCs w:val="1"/>
                <w:color w:val="auto"/>
                <w:w w:val="99"/>
              </w:rPr>
              <w:t>Table 3: Combined Prospectuses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7"/>
          </w:tcPr>
          <w:p>
            <w:pPr>
              <w:ind w:left="26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Not Applicable</w:t>
            </w:r>
          </w:p>
        </w:tc>
        <w:tc>
          <w:tcPr>
            <w:tcW w:w="0" w:type="dxa"/>
            <w:vAlign w:val="bottom"/>
          </w:tcPr>
          <w:p>
            <w:pPr>
              <w:spacing w:after="0"/>
              <w:rPr>
                <w:sz w:val="1"/>
                <w:szCs w:val="1"/>
                <w:color w:val="auto"/>
              </w:rPr>
            </w:pPr>
          </w:p>
        </w:tc>
      </w:tr>
      <w:tr>
        <w:trPr>
          <w:trHeight w:val="205"/>
        </w:trPr>
        <w:tc>
          <w:tcPr>
            <w:tcW w:w="40" w:type="dxa"/>
            <w:vAlign w:val="bottom"/>
            <w:tcBorders>
              <w:top w:val="single" w:sz="8" w:color="auto"/>
              <w:left w:val="single" w:sz="8" w:color="auto"/>
            </w:tcBorders>
          </w:tcPr>
          <w:p>
            <w:pPr>
              <w:spacing w:after="0"/>
              <w:rPr>
                <w:sz w:val="17"/>
                <w:szCs w:val="17"/>
                <w:color w:val="auto"/>
              </w:rPr>
            </w:pPr>
          </w:p>
        </w:tc>
        <w:tc>
          <w:tcPr>
            <w:tcW w:w="4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8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22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4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280" w:type="dxa"/>
            <w:vAlign w:val="bottom"/>
            <w:tcBorders>
              <w:top w:val="single" w:sz="8" w:color="auto"/>
            </w:tcBorders>
            <w:shd w:val="clear" w:color="auto" w:fill="9ADAF6"/>
          </w:tcPr>
          <w:p>
            <w:pPr>
              <w:spacing w:after="0"/>
              <w:rPr>
                <w:sz w:val="17"/>
                <w:szCs w:val="17"/>
                <w:color w:val="auto"/>
              </w:rPr>
            </w:pPr>
          </w:p>
        </w:tc>
        <w:tc>
          <w:tcPr>
            <w:tcW w:w="80" w:type="dxa"/>
            <w:vAlign w:val="bottom"/>
            <w:tcBorders>
              <w:top w:val="single" w:sz="8" w:color="auto"/>
              <w:right w:val="single" w:sz="8" w:color="9ADAF6"/>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140" w:type="dxa"/>
            <w:vAlign w:val="bottom"/>
            <w:tcBorders>
              <w:top w:val="single" w:sz="8" w:color="auto"/>
            </w:tcBorders>
            <w:shd w:val="clear" w:color="auto" w:fill="9ADAF6"/>
          </w:tcPr>
          <w:p>
            <w:pPr>
              <w:spacing w:after="0"/>
              <w:rPr>
                <w:sz w:val="17"/>
                <w:szCs w:val="17"/>
                <w:color w:val="auto"/>
              </w:rPr>
            </w:pPr>
          </w:p>
        </w:tc>
        <w:tc>
          <w:tcPr>
            <w:tcW w:w="120" w:type="dxa"/>
            <w:vAlign w:val="bottom"/>
            <w:tcBorders>
              <w:top w:val="single" w:sz="8" w:color="auto"/>
            </w:tcBorders>
            <w:shd w:val="clear" w:color="auto" w:fill="9ADAF6"/>
          </w:tcPr>
          <w:p>
            <w:pPr>
              <w:spacing w:after="0"/>
              <w:rPr>
                <w:sz w:val="17"/>
                <w:szCs w:val="17"/>
                <w:color w:val="auto"/>
              </w:rPr>
            </w:pPr>
          </w:p>
        </w:tc>
        <w:tc>
          <w:tcPr>
            <w:tcW w:w="1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560" w:type="dxa"/>
            <w:vAlign w:val="bottom"/>
            <w:tcBorders>
              <w:top w:val="single" w:sz="8" w:color="auto"/>
            </w:tcBorders>
            <w:shd w:val="clear" w:color="auto" w:fill="9ADAF6"/>
          </w:tcPr>
          <w:p>
            <w:pPr>
              <w:spacing w:after="0"/>
              <w:rPr>
                <w:sz w:val="17"/>
                <w:szCs w:val="17"/>
                <w:color w:val="auto"/>
              </w:rPr>
            </w:pPr>
          </w:p>
        </w:tc>
        <w:tc>
          <w:tcPr>
            <w:tcW w:w="40" w:type="dxa"/>
            <w:vAlign w:val="bottom"/>
            <w:tcBorders>
              <w:top w:val="single" w:sz="8" w:color="auto"/>
              <w:right w:val="single" w:sz="8" w:color="9ADAF6"/>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760" w:type="dxa"/>
            <w:vAlign w:val="bottom"/>
            <w:tcBorders>
              <w:top w:val="single" w:sz="8" w:color="auto"/>
              <w:right w:val="single" w:sz="8" w:color="9ADAF6"/>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12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16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right w:val="single" w:sz="8" w:color="9ADAF6"/>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960" w:type="dxa"/>
            <w:vAlign w:val="bottom"/>
            <w:tcBorders>
              <w:top w:val="single" w:sz="8" w:color="auto"/>
            </w:tcBorders>
            <w:gridSpan w:val="5"/>
            <w:shd w:val="clear" w:color="auto" w:fill="9ADAF6"/>
          </w:tcPr>
          <w:p>
            <w:pPr>
              <w:ind w:left="40"/>
              <w:spacing w:after="0" w:line="205" w:lineRule="exact"/>
              <w:rPr>
                <w:sz w:val="20"/>
                <w:szCs w:val="20"/>
                <w:color w:val="auto"/>
              </w:rPr>
            </w:pPr>
            <w:r>
              <w:rPr>
                <w:rFonts w:ascii="Arial" w:cs="Arial" w:eastAsia="Arial" w:hAnsi="Arial"/>
                <w:sz w:val="18"/>
                <w:szCs w:val="18"/>
                <w:b w:val="1"/>
                <w:bCs w:val="1"/>
                <w:color w:val="auto"/>
                <w:w w:val="99"/>
              </w:rPr>
              <w:t>Amount of</w:t>
            </w:r>
          </w:p>
        </w:tc>
        <w:tc>
          <w:tcPr>
            <w:tcW w:w="300" w:type="dxa"/>
            <w:vAlign w:val="bottom"/>
            <w:tcBorders>
              <w:top w:val="single" w:sz="8" w:color="auto"/>
            </w:tcBorders>
            <w:shd w:val="clear" w:color="auto" w:fill="9ADAF6"/>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left w:val="single" w:sz="8" w:color="9ADAF6"/>
            </w:tcBorders>
            <w:shd w:val="clear" w:color="auto" w:fill="9ADAF6"/>
          </w:tcPr>
          <w:p>
            <w:pPr>
              <w:spacing w:after="0"/>
              <w:rPr>
                <w:sz w:val="17"/>
                <w:szCs w:val="17"/>
                <w:color w:val="auto"/>
              </w:rPr>
            </w:pPr>
          </w:p>
        </w:tc>
        <w:tc>
          <w:tcPr>
            <w:tcW w:w="1920" w:type="dxa"/>
            <w:vAlign w:val="bottom"/>
            <w:tcBorders>
              <w:top w:val="single" w:sz="8" w:color="auto"/>
            </w:tcBorders>
            <w:gridSpan w:val="8"/>
            <w:shd w:val="clear" w:color="auto" w:fill="9ADAF6"/>
          </w:tcPr>
          <w:p>
            <w:pPr>
              <w:ind w:left="40"/>
              <w:spacing w:after="0" w:line="205" w:lineRule="exact"/>
              <w:rPr>
                <w:sz w:val="20"/>
                <w:szCs w:val="20"/>
                <w:color w:val="auto"/>
              </w:rPr>
            </w:pPr>
            <w:r>
              <w:rPr>
                <w:rFonts w:ascii="Arial" w:cs="Arial" w:eastAsia="Arial" w:hAnsi="Arial"/>
                <w:sz w:val="18"/>
                <w:szCs w:val="18"/>
                <w:b w:val="1"/>
                <w:bCs w:val="1"/>
                <w:color w:val="auto"/>
              </w:rPr>
              <w:t>Maximum Aggregate</w:t>
            </w: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left w:val="single" w:sz="8" w:color="9ADAF6"/>
              <w:right w:val="single" w:sz="8" w:color="9ADAF6"/>
            </w:tcBorders>
            <w:shd w:val="clear" w:color="auto" w:fill="9ADAF6"/>
          </w:tcPr>
          <w:p>
            <w:pPr>
              <w:spacing w:after="0"/>
              <w:rPr>
                <w:sz w:val="17"/>
                <w:szCs w:val="17"/>
                <w:color w:val="auto"/>
              </w:rPr>
            </w:pPr>
          </w:p>
        </w:tc>
        <w:tc>
          <w:tcPr>
            <w:tcW w:w="1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40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shd w:val="clear" w:color="auto" w:fill="9ADAF6"/>
          </w:tcPr>
          <w:p>
            <w:pPr>
              <w:spacing w:after="0"/>
              <w:rPr>
                <w:sz w:val="17"/>
                <w:szCs w:val="17"/>
                <w:color w:val="auto"/>
              </w:rPr>
            </w:pPr>
          </w:p>
        </w:tc>
        <w:tc>
          <w:tcPr>
            <w:tcW w:w="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shd w:val="clear" w:color="auto" w:fill="9ADAF6"/>
          </w:tcPr>
          <w:p>
            <w:pPr>
              <w:spacing w:after="0"/>
              <w:rPr>
                <w:sz w:val="17"/>
                <w:szCs w:val="17"/>
                <w:color w:val="auto"/>
              </w:rPr>
            </w:pPr>
          </w:p>
        </w:tc>
        <w:tc>
          <w:tcPr>
            <w:tcW w:w="740" w:type="dxa"/>
            <w:vAlign w:val="bottom"/>
            <w:tcBorders>
              <w:top w:val="single" w:sz="8" w:color="auto"/>
            </w:tcBorders>
            <w:shd w:val="clear" w:color="auto" w:fill="9ADAF6"/>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shd w:val="clear" w:color="auto" w:fill="9ADAF6"/>
          </w:tcPr>
          <w:p>
            <w:pPr>
              <w:spacing w:after="0"/>
              <w:rPr>
                <w:sz w:val="17"/>
                <w:szCs w:val="17"/>
                <w:color w:val="auto"/>
              </w:rPr>
            </w:pPr>
          </w:p>
        </w:tc>
        <w:tc>
          <w:tcPr>
            <w:tcW w:w="700" w:type="dxa"/>
            <w:vAlign w:val="bottom"/>
            <w:tcBorders>
              <w:top w:val="single" w:sz="8" w:color="auto"/>
            </w:tcBorders>
            <w:gridSpan w:val="3"/>
            <w:vMerge w:val="restart"/>
            <w:shd w:val="clear" w:color="auto" w:fill="9ADAF6"/>
          </w:tcPr>
          <w:p>
            <w:pPr>
              <w:jc w:val="center"/>
              <w:ind w:right="200"/>
              <w:spacing w:after="0"/>
              <w:rPr>
                <w:sz w:val="20"/>
                <w:szCs w:val="20"/>
                <w:color w:val="auto"/>
              </w:rPr>
            </w:pPr>
            <w:r>
              <w:rPr>
                <w:rFonts w:ascii="Arial" w:cs="Arial" w:eastAsia="Arial" w:hAnsi="Arial"/>
                <w:sz w:val="18"/>
                <w:szCs w:val="18"/>
                <w:b w:val="1"/>
                <w:bCs w:val="1"/>
                <w:color w:val="auto"/>
                <w:w w:val="97"/>
              </w:rPr>
              <w:t>Initial</w:t>
            </w:r>
          </w:p>
        </w:tc>
        <w:tc>
          <w:tcPr>
            <w:tcW w:w="1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960" w:type="dxa"/>
            <w:vAlign w:val="bottom"/>
            <w:gridSpan w:val="5"/>
            <w:vMerge w:val="restart"/>
            <w:shd w:val="clear" w:color="auto" w:fill="9ADAF6"/>
          </w:tcPr>
          <w:p>
            <w:pPr>
              <w:ind w:left="60"/>
              <w:spacing w:after="0" w:line="200" w:lineRule="exact"/>
              <w:rPr>
                <w:sz w:val="20"/>
                <w:szCs w:val="20"/>
                <w:color w:val="auto"/>
              </w:rPr>
            </w:pPr>
            <w:r>
              <w:rPr>
                <w:rFonts w:ascii="Arial" w:cs="Arial" w:eastAsia="Arial" w:hAnsi="Arial"/>
                <w:sz w:val="18"/>
                <w:szCs w:val="18"/>
                <w:b w:val="1"/>
                <w:bCs w:val="1"/>
                <w:color w:val="auto"/>
              </w:rPr>
              <w:t>Securities</w:t>
            </w:r>
          </w:p>
        </w:tc>
        <w:tc>
          <w:tcPr>
            <w:tcW w:w="3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left w:val="single" w:sz="8" w:color="9ADAF6"/>
            </w:tcBorders>
            <w:shd w:val="clear" w:color="auto" w:fill="9ADAF6"/>
          </w:tcPr>
          <w:p>
            <w:pPr>
              <w:spacing w:after="0"/>
              <w:rPr>
                <w:sz w:val="8"/>
                <w:szCs w:val="8"/>
                <w:color w:val="auto"/>
              </w:rPr>
            </w:pPr>
          </w:p>
        </w:tc>
        <w:tc>
          <w:tcPr>
            <w:tcW w:w="1920" w:type="dxa"/>
            <w:vAlign w:val="bottom"/>
            <w:gridSpan w:val="8"/>
            <w:vMerge w:val="restart"/>
            <w:shd w:val="clear" w:color="auto" w:fill="9ADAF6"/>
          </w:tcPr>
          <w:p>
            <w:pPr>
              <w:jc w:val="center"/>
              <w:spacing w:after="0" w:line="200" w:lineRule="exact"/>
              <w:rPr>
                <w:sz w:val="20"/>
                <w:szCs w:val="20"/>
                <w:color w:val="auto"/>
              </w:rPr>
            </w:pPr>
            <w:r>
              <w:rPr>
                <w:rFonts w:ascii="Arial" w:cs="Arial" w:eastAsia="Arial" w:hAnsi="Arial"/>
                <w:sz w:val="18"/>
                <w:szCs w:val="18"/>
                <w:b w:val="1"/>
                <w:bCs w:val="1"/>
                <w:color w:val="auto"/>
                <w:w w:val="99"/>
              </w:rPr>
              <w:t>Offering Price of</w:t>
            </w:r>
          </w:p>
        </w:tc>
        <w:tc>
          <w:tcPr>
            <w:tcW w:w="40" w:type="dxa"/>
            <w:vAlign w:val="bottom"/>
          </w:tcPr>
          <w:p>
            <w:pPr>
              <w:spacing w:after="0"/>
              <w:rPr>
                <w:sz w:val="8"/>
                <w:szCs w:val="8"/>
                <w:color w:val="auto"/>
              </w:rPr>
            </w:pPr>
          </w:p>
        </w:tc>
        <w:tc>
          <w:tcPr>
            <w:tcW w:w="100" w:type="dxa"/>
            <w:vAlign w:val="bottom"/>
            <w:tcBorders>
              <w:left w:val="single" w:sz="8" w:color="9ADAF6"/>
              <w:right w:val="single" w:sz="8" w:color="9ADAF6"/>
            </w:tcBorders>
            <w:shd w:val="clear" w:color="auto" w:fill="9ADAF6"/>
          </w:tcPr>
          <w:p>
            <w:pPr>
              <w:spacing w:after="0"/>
              <w:rPr>
                <w:sz w:val="8"/>
                <w:szCs w:val="8"/>
                <w:color w:val="auto"/>
              </w:rPr>
            </w:pPr>
          </w:p>
        </w:tc>
        <w:tc>
          <w:tcPr>
            <w:tcW w:w="560" w:type="dxa"/>
            <w:vAlign w:val="bottom"/>
            <w:gridSpan w:val="3"/>
            <w:vMerge w:val="restart"/>
            <w:shd w:val="clear" w:color="auto" w:fill="9ADAF6"/>
          </w:tcPr>
          <w:p>
            <w:pPr>
              <w:jc w:val="center"/>
              <w:ind w:right="33"/>
              <w:spacing w:after="0" w:line="200" w:lineRule="exact"/>
              <w:rPr>
                <w:sz w:val="20"/>
                <w:szCs w:val="20"/>
                <w:color w:val="auto"/>
              </w:rPr>
            </w:pPr>
            <w:r>
              <w:rPr>
                <w:rFonts w:ascii="Arial" w:cs="Arial" w:eastAsia="Arial" w:hAnsi="Arial"/>
                <w:sz w:val="18"/>
                <w:szCs w:val="18"/>
                <w:b w:val="1"/>
                <w:bCs w:val="1"/>
                <w:color w:val="auto"/>
                <w:w w:val="97"/>
              </w:rPr>
              <w:t>Form</w:t>
            </w: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00" w:type="dxa"/>
            <w:vAlign w:val="bottom"/>
            <w:gridSpan w:val="3"/>
            <w:vMerge w:val="continue"/>
            <w:shd w:val="clear" w:color="auto" w:fill="9ADAF6"/>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Borders>
              <w:right w:val="single" w:sz="8" w:color="9ADAF6"/>
            </w:tcBorders>
            <w:gridSpan w:val="10"/>
            <w:vMerge w:val="restart"/>
            <w:shd w:val="clear" w:color="auto" w:fill="9ADAF6"/>
          </w:tcPr>
          <w:p>
            <w:pPr>
              <w:ind w:left="200"/>
              <w:spacing w:after="0"/>
              <w:rPr>
                <w:sz w:val="20"/>
                <w:szCs w:val="20"/>
                <w:color w:val="auto"/>
              </w:rPr>
            </w:pPr>
            <w:r>
              <w:rPr>
                <w:rFonts w:ascii="Arial" w:cs="Arial" w:eastAsia="Arial" w:hAnsi="Arial"/>
                <w:sz w:val="18"/>
                <w:szCs w:val="18"/>
                <w:b w:val="1"/>
                <w:bCs w:val="1"/>
                <w:color w:val="auto"/>
              </w:rPr>
              <w:t>Security Type</w:t>
            </w:r>
          </w:p>
        </w:tc>
        <w:tc>
          <w:tcPr>
            <w:tcW w:w="20" w:type="dxa"/>
            <w:vAlign w:val="bottom"/>
          </w:tcPr>
          <w:p>
            <w:pPr>
              <w:spacing w:after="0"/>
              <w:rPr>
                <w:sz w:val="8"/>
                <w:szCs w:val="8"/>
                <w:color w:val="auto"/>
              </w:rPr>
            </w:pPr>
          </w:p>
        </w:tc>
        <w:tc>
          <w:tcPr>
            <w:tcW w:w="2480" w:type="dxa"/>
            <w:vAlign w:val="bottom"/>
            <w:tcBorders>
              <w:right w:val="single" w:sz="8" w:color="9ADAF6"/>
            </w:tcBorders>
            <w:gridSpan w:val="10"/>
            <w:vMerge w:val="restart"/>
            <w:shd w:val="clear" w:color="auto" w:fill="9ADAF6"/>
          </w:tcPr>
          <w:p>
            <w:pPr>
              <w:jc w:val="center"/>
              <w:ind w:left="231"/>
              <w:spacing w:after="0"/>
              <w:rPr>
                <w:sz w:val="20"/>
                <w:szCs w:val="20"/>
                <w:color w:val="auto"/>
              </w:rPr>
            </w:pPr>
            <w:r>
              <w:rPr>
                <w:rFonts w:ascii="Arial" w:cs="Arial" w:eastAsia="Arial" w:hAnsi="Arial"/>
                <w:sz w:val="18"/>
                <w:szCs w:val="18"/>
                <w:b w:val="1"/>
                <w:bCs w:val="1"/>
                <w:color w:val="auto"/>
                <w:w w:val="98"/>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960" w:type="dxa"/>
            <w:vAlign w:val="bottom"/>
            <w:gridSpan w:val="5"/>
            <w:vMerge w:val="continue"/>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left w:val="single" w:sz="8" w:color="9ADAF6"/>
            </w:tcBorders>
            <w:shd w:val="clear" w:color="auto" w:fill="9ADAF6"/>
          </w:tcPr>
          <w:p>
            <w:pPr>
              <w:spacing w:after="0"/>
              <w:rPr>
                <w:sz w:val="8"/>
                <w:szCs w:val="8"/>
                <w:color w:val="auto"/>
              </w:rPr>
            </w:pPr>
          </w:p>
        </w:tc>
        <w:tc>
          <w:tcPr>
            <w:tcW w:w="1920" w:type="dxa"/>
            <w:vAlign w:val="bottom"/>
            <w:gridSpan w:val="8"/>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left w:val="single" w:sz="8" w:color="9ADAF6"/>
              <w:right w:val="single" w:sz="8" w:color="9ADAF6"/>
            </w:tcBorders>
            <w:shd w:val="clear" w:color="auto" w:fill="9ADAF6"/>
          </w:tcPr>
          <w:p>
            <w:pPr>
              <w:spacing w:after="0"/>
              <w:rPr>
                <w:sz w:val="8"/>
                <w:szCs w:val="8"/>
                <w:color w:val="auto"/>
              </w:rPr>
            </w:pPr>
          </w:p>
        </w:tc>
        <w:tc>
          <w:tcPr>
            <w:tcW w:w="5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4"/>
            <w:vMerge w:val="restart"/>
            <w:shd w:val="clear" w:color="auto" w:fill="9ADAF6"/>
          </w:tcPr>
          <w:p>
            <w:pPr>
              <w:ind w:left="40"/>
              <w:spacing w:after="0"/>
              <w:rPr>
                <w:sz w:val="20"/>
                <w:szCs w:val="20"/>
                <w:color w:val="auto"/>
              </w:rPr>
            </w:pPr>
            <w:r>
              <w:rPr>
                <w:rFonts w:ascii="Arial" w:cs="Arial" w:eastAsia="Arial" w:hAnsi="Arial"/>
                <w:sz w:val="18"/>
                <w:szCs w:val="18"/>
                <w:b w:val="1"/>
                <w:bCs w:val="1"/>
                <w:color w:val="auto"/>
                <w:w w:val="99"/>
              </w:rPr>
              <w:t>File Number</w:t>
            </w:r>
          </w:p>
        </w:tc>
        <w:tc>
          <w:tcPr>
            <w:tcW w:w="20" w:type="dxa"/>
            <w:vAlign w:val="bottom"/>
          </w:tcPr>
          <w:p>
            <w:pPr>
              <w:spacing w:after="0"/>
              <w:rPr>
                <w:sz w:val="8"/>
                <w:szCs w:val="8"/>
                <w:color w:val="auto"/>
              </w:rPr>
            </w:pPr>
          </w:p>
        </w:tc>
        <w:tc>
          <w:tcPr>
            <w:tcW w:w="900" w:type="dxa"/>
            <w:vAlign w:val="bottom"/>
            <w:gridSpan w:val="4"/>
            <w:vMerge w:val="restart"/>
            <w:shd w:val="clear" w:color="auto" w:fill="9ADAF6"/>
          </w:tcPr>
          <w:p>
            <w:pPr>
              <w:jc w:val="center"/>
              <w:spacing w:after="0"/>
              <w:rPr>
                <w:sz w:val="20"/>
                <w:szCs w:val="20"/>
                <w:color w:val="auto"/>
              </w:rPr>
            </w:pPr>
            <w:r>
              <w:rPr>
                <w:rFonts w:ascii="Arial" w:cs="Arial" w:eastAsia="Arial" w:hAnsi="Arial"/>
                <w:sz w:val="18"/>
                <w:szCs w:val="18"/>
                <w:b w:val="1"/>
                <w:bCs w:val="1"/>
                <w:color w:val="auto"/>
                <w:w w:val="98"/>
              </w:rPr>
              <w:t>Effective</w:t>
            </w:r>
          </w:p>
        </w:tc>
        <w:tc>
          <w:tcPr>
            <w:tcW w:w="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Borders>
              <w:right w:val="single" w:sz="8" w:color="9ADAF6"/>
            </w:tcBorders>
            <w:gridSpan w:val="10"/>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480" w:type="dxa"/>
            <w:vAlign w:val="bottom"/>
            <w:tcBorders>
              <w:right w:val="single" w:sz="8" w:color="9ADAF6"/>
            </w:tcBorders>
            <w:gridSpan w:val="10"/>
            <w:vMerge w:val="continue"/>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right w:val="single" w:sz="8" w:color="9ADAF6"/>
            </w:tcBorders>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960" w:type="dxa"/>
            <w:vAlign w:val="bottom"/>
            <w:gridSpan w:val="5"/>
            <w:shd w:val="clear" w:color="auto" w:fill="9ADAF6"/>
          </w:tcPr>
          <w:p>
            <w:pPr>
              <w:ind w:left="40"/>
              <w:spacing w:after="0" w:line="178" w:lineRule="exact"/>
              <w:rPr>
                <w:sz w:val="20"/>
                <w:szCs w:val="20"/>
                <w:color w:val="auto"/>
              </w:rPr>
            </w:pPr>
            <w:r>
              <w:rPr>
                <w:rFonts w:ascii="Arial" w:cs="Arial" w:eastAsia="Arial" w:hAnsi="Arial"/>
                <w:sz w:val="18"/>
                <w:szCs w:val="18"/>
                <w:b w:val="1"/>
                <w:bCs w:val="1"/>
                <w:color w:val="auto"/>
                <w:w w:val="98"/>
              </w:rPr>
              <w:t>Previously</w:t>
            </w:r>
          </w:p>
        </w:tc>
        <w:tc>
          <w:tcPr>
            <w:tcW w:w="3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left w:val="single" w:sz="8" w:color="9ADAF6"/>
            </w:tcBorders>
            <w:shd w:val="clear" w:color="auto" w:fill="9ADAF6"/>
          </w:tcPr>
          <w:p>
            <w:pPr>
              <w:spacing w:after="0"/>
              <w:rPr>
                <w:sz w:val="15"/>
                <w:szCs w:val="15"/>
                <w:color w:val="auto"/>
              </w:rPr>
            </w:pPr>
          </w:p>
        </w:tc>
        <w:tc>
          <w:tcPr>
            <w:tcW w:w="1920" w:type="dxa"/>
            <w:vAlign w:val="bottom"/>
            <w:gridSpan w:val="8"/>
            <w:shd w:val="clear" w:color="auto" w:fill="9ADAF6"/>
          </w:tcPr>
          <w:p>
            <w:pPr>
              <w:ind w:left="20"/>
              <w:spacing w:after="0" w:line="178" w:lineRule="exact"/>
              <w:rPr>
                <w:sz w:val="20"/>
                <w:szCs w:val="20"/>
                <w:color w:val="auto"/>
              </w:rPr>
            </w:pPr>
            <w:r>
              <w:rPr>
                <w:rFonts w:ascii="Arial" w:cs="Arial" w:eastAsia="Arial" w:hAnsi="Arial"/>
                <w:sz w:val="18"/>
                <w:szCs w:val="18"/>
                <w:b w:val="1"/>
                <w:bCs w:val="1"/>
                <w:color w:val="auto"/>
              </w:rPr>
              <w:t>Securities Previously</w:t>
            </w:r>
          </w:p>
        </w:tc>
        <w:tc>
          <w:tcPr>
            <w:tcW w:w="40" w:type="dxa"/>
            <w:vAlign w:val="bottom"/>
          </w:tcPr>
          <w:p>
            <w:pPr>
              <w:spacing w:after="0"/>
              <w:rPr>
                <w:sz w:val="15"/>
                <w:szCs w:val="15"/>
                <w:color w:val="auto"/>
              </w:rPr>
            </w:pPr>
          </w:p>
        </w:tc>
        <w:tc>
          <w:tcPr>
            <w:tcW w:w="100" w:type="dxa"/>
            <w:vAlign w:val="bottom"/>
            <w:tcBorders>
              <w:left w:val="single" w:sz="8" w:color="9ADAF6"/>
              <w:right w:val="single" w:sz="8" w:color="9ADAF6"/>
            </w:tcBorders>
            <w:shd w:val="clear" w:color="auto" w:fill="9ADAF6"/>
          </w:tcPr>
          <w:p>
            <w:pPr>
              <w:spacing w:after="0"/>
              <w:rPr>
                <w:sz w:val="15"/>
                <w:szCs w:val="15"/>
                <w:color w:val="auto"/>
              </w:rPr>
            </w:pPr>
          </w:p>
        </w:tc>
        <w:tc>
          <w:tcPr>
            <w:tcW w:w="560" w:type="dxa"/>
            <w:vAlign w:val="bottom"/>
            <w:gridSpan w:val="3"/>
            <w:shd w:val="clear" w:color="auto" w:fill="9ADAF6"/>
          </w:tcPr>
          <w:p>
            <w:pPr>
              <w:jc w:val="center"/>
              <w:ind w:right="33"/>
              <w:spacing w:after="0" w:line="178" w:lineRule="exact"/>
              <w:rPr>
                <w:sz w:val="20"/>
                <w:szCs w:val="20"/>
                <w:color w:val="auto"/>
              </w:rPr>
            </w:pPr>
            <w:r>
              <w:rPr>
                <w:rFonts w:ascii="Arial" w:cs="Arial" w:eastAsia="Arial" w:hAnsi="Arial"/>
                <w:sz w:val="18"/>
                <w:szCs w:val="18"/>
                <w:b w:val="1"/>
                <w:bCs w:val="1"/>
                <w:color w:val="auto"/>
                <w:w w:val="95"/>
              </w:rPr>
              <w:t>Type</w:t>
            </w:r>
          </w:p>
        </w:tc>
        <w:tc>
          <w:tcPr>
            <w:tcW w:w="20" w:type="dxa"/>
            <w:vAlign w:val="bottom"/>
          </w:tcPr>
          <w:p>
            <w:pPr>
              <w:spacing w:after="0"/>
              <w:rPr>
                <w:sz w:val="15"/>
                <w:szCs w:val="15"/>
                <w:color w:val="auto"/>
              </w:rPr>
            </w:pPr>
          </w:p>
        </w:tc>
        <w:tc>
          <w:tcPr>
            <w:tcW w:w="1100" w:type="dxa"/>
            <w:vAlign w:val="bottom"/>
            <w:gridSpan w:val="4"/>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4"/>
            <w:vMerge w:val="continue"/>
            <w:shd w:val="clear" w:color="auto" w:fill="9ADAF6"/>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44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8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22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44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280" w:type="dxa"/>
            <w:vAlign w:val="bottom"/>
            <w:tcBorders>
              <w:bottom w:val="single" w:sz="8" w:color="9ADAF6"/>
            </w:tcBorders>
            <w:shd w:val="clear" w:color="auto" w:fill="9ADAF6"/>
          </w:tcPr>
          <w:p>
            <w:pPr>
              <w:spacing w:after="0"/>
              <w:rPr>
                <w:sz w:val="20"/>
                <w:szCs w:val="20"/>
                <w:color w:val="auto"/>
              </w:rPr>
            </w:pPr>
          </w:p>
        </w:tc>
        <w:tc>
          <w:tcPr>
            <w:tcW w:w="80" w:type="dxa"/>
            <w:vAlign w:val="bottom"/>
            <w:tcBorders>
              <w:bottom w:val="single" w:sz="8" w:color="9ADAF6"/>
              <w:right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140" w:type="dxa"/>
            <w:vAlign w:val="bottom"/>
            <w:tcBorders>
              <w:bottom w:val="single" w:sz="8" w:color="9ADAF6"/>
            </w:tcBorders>
            <w:shd w:val="clear" w:color="auto" w:fill="9ADAF6"/>
          </w:tcPr>
          <w:p>
            <w:pPr>
              <w:spacing w:after="0"/>
              <w:rPr>
                <w:sz w:val="20"/>
                <w:szCs w:val="20"/>
                <w:color w:val="auto"/>
              </w:rPr>
            </w:pPr>
          </w:p>
        </w:tc>
        <w:tc>
          <w:tcPr>
            <w:tcW w:w="120" w:type="dxa"/>
            <w:vAlign w:val="bottom"/>
            <w:tcBorders>
              <w:bottom w:val="single" w:sz="8" w:color="9ADAF6"/>
            </w:tcBorders>
            <w:shd w:val="clear" w:color="auto" w:fill="9ADAF6"/>
          </w:tcPr>
          <w:p>
            <w:pPr>
              <w:spacing w:after="0"/>
              <w:rPr>
                <w:sz w:val="20"/>
                <w:szCs w:val="20"/>
                <w:color w:val="auto"/>
              </w:rPr>
            </w:pPr>
          </w:p>
        </w:tc>
        <w:tc>
          <w:tcPr>
            <w:tcW w:w="14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560" w:type="dxa"/>
            <w:vAlign w:val="bottom"/>
            <w:tcBorders>
              <w:bottom w:val="single" w:sz="8" w:color="9ADAF6"/>
            </w:tcBorders>
            <w:shd w:val="clear" w:color="auto" w:fill="9ADAF6"/>
          </w:tcPr>
          <w:p>
            <w:pPr>
              <w:spacing w:after="0"/>
              <w:rPr>
                <w:sz w:val="20"/>
                <w:szCs w:val="20"/>
                <w:color w:val="auto"/>
              </w:rPr>
            </w:pPr>
          </w:p>
        </w:tc>
        <w:tc>
          <w:tcPr>
            <w:tcW w:w="40" w:type="dxa"/>
            <w:vAlign w:val="bottom"/>
            <w:tcBorders>
              <w:bottom w:val="single" w:sz="8" w:color="9ADAF6"/>
              <w:right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760" w:type="dxa"/>
            <w:vAlign w:val="bottom"/>
            <w:tcBorders>
              <w:bottom w:val="single" w:sz="8" w:color="9ADAF6"/>
              <w:right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12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16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9ADAF6"/>
              <w:right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960" w:type="dxa"/>
            <w:vAlign w:val="bottom"/>
            <w:tcBorders>
              <w:bottom w:val="single" w:sz="8" w:color="9ADAF6"/>
            </w:tcBorders>
            <w:gridSpan w:val="5"/>
            <w:shd w:val="clear" w:color="auto" w:fill="9ADAF6"/>
          </w:tcPr>
          <w:p>
            <w:pPr>
              <w:ind w:left="40"/>
              <w:spacing w:after="0"/>
              <w:rPr>
                <w:sz w:val="20"/>
                <w:szCs w:val="20"/>
                <w:color w:val="auto"/>
              </w:rPr>
            </w:pPr>
            <w:r>
              <w:rPr>
                <w:rFonts w:ascii="Arial" w:cs="Arial" w:eastAsia="Arial" w:hAnsi="Arial"/>
                <w:sz w:val="18"/>
                <w:szCs w:val="18"/>
                <w:b w:val="1"/>
                <w:bCs w:val="1"/>
                <w:color w:val="auto"/>
                <w:w w:val="96"/>
              </w:rPr>
              <w:t>Registered</w:t>
            </w:r>
          </w:p>
        </w:tc>
        <w:tc>
          <w:tcPr>
            <w:tcW w:w="300" w:type="dxa"/>
            <w:vAlign w:val="bottom"/>
            <w:tcBorders>
              <w:bottom w:val="single" w:sz="8" w:color="9ADAF6"/>
            </w:tcBorders>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left w:val="single" w:sz="8" w:color="9ADAF6"/>
              <w:bottom w:val="single" w:sz="8" w:color="9ADAF6"/>
            </w:tcBorders>
            <w:shd w:val="clear" w:color="auto" w:fill="9ADAF6"/>
          </w:tcPr>
          <w:p>
            <w:pPr>
              <w:spacing w:after="0"/>
              <w:rPr>
                <w:sz w:val="20"/>
                <w:szCs w:val="20"/>
                <w:color w:val="auto"/>
              </w:rPr>
            </w:pPr>
          </w:p>
        </w:tc>
        <w:tc>
          <w:tcPr>
            <w:tcW w:w="36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1060" w:type="dxa"/>
            <w:vAlign w:val="bottom"/>
            <w:tcBorders>
              <w:bottom w:val="single" w:sz="8" w:color="9ADAF6"/>
            </w:tcBorders>
            <w:gridSpan w:val="4"/>
            <w:shd w:val="clear" w:color="auto" w:fill="9ADAF6"/>
          </w:tcPr>
          <w:p>
            <w:pPr>
              <w:jc w:val="center"/>
              <w:spacing w:after="0"/>
              <w:rPr>
                <w:sz w:val="20"/>
                <w:szCs w:val="20"/>
                <w:color w:val="auto"/>
              </w:rPr>
            </w:pPr>
            <w:r>
              <w:rPr>
                <w:rFonts w:ascii="Arial" w:cs="Arial" w:eastAsia="Arial" w:hAnsi="Arial"/>
                <w:sz w:val="18"/>
                <w:szCs w:val="18"/>
                <w:b w:val="1"/>
                <w:bCs w:val="1"/>
                <w:color w:val="auto"/>
                <w:w w:val="98"/>
              </w:rPr>
              <w:t>Registered</w:t>
            </w:r>
          </w:p>
        </w:tc>
        <w:tc>
          <w:tcPr>
            <w:tcW w:w="20" w:type="dxa"/>
            <w:vAlign w:val="bottom"/>
            <w:tcBorders>
              <w:bottom w:val="single" w:sz="8" w:color="9ADAF6"/>
            </w:tcBorders>
            <w:shd w:val="clear" w:color="auto" w:fill="9ADAF6"/>
          </w:tcPr>
          <w:p>
            <w:pPr>
              <w:spacing w:after="0"/>
              <w:rPr>
                <w:sz w:val="20"/>
                <w:szCs w:val="20"/>
                <w:color w:val="auto"/>
              </w:rPr>
            </w:pPr>
          </w:p>
        </w:tc>
        <w:tc>
          <w:tcPr>
            <w:tcW w:w="460" w:type="dxa"/>
            <w:vAlign w:val="bottom"/>
            <w:tcBorders>
              <w:bottom w:val="single" w:sz="8" w:color="9ADAF6"/>
            </w:tcBorders>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left w:val="single" w:sz="8" w:color="9ADAF6"/>
              <w:bottom w:val="single" w:sz="8" w:color="9ADAF6"/>
              <w:right w:val="single" w:sz="8" w:color="9ADAF6"/>
            </w:tcBorders>
            <w:shd w:val="clear" w:color="auto" w:fill="9ADAF6"/>
          </w:tcPr>
          <w:p>
            <w:pPr>
              <w:spacing w:after="0"/>
              <w:rPr>
                <w:sz w:val="20"/>
                <w:szCs w:val="20"/>
                <w:color w:val="auto"/>
              </w:rPr>
            </w:pPr>
          </w:p>
        </w:tc>
        <w:tc>
          <w:tcPr>
            <w:tcW w:w="14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40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9ADAF6"/>
            </w:tcBorders>
            <w:shd w:val="clear" w:color="auto" w:fill="9ADAF6"/>
          </w:tcPr>
          <w:p>
            <w:pPr>
              <w:spacing w:after="0"/>
              <w:rPr>
                <w:sz w:val="20"/>
                <w:szCs w:val="20"/>
                <w:color w:val="auto"/>
              </w:rPr>
            </w:pPr>
          </w:p>
        </w:tc>
        <w:tc>
          <w:tcPr>
            <w:tcW w:w="40" w:type="dxa"/>
            <w:vAlign w:val="bottom"/>
            <w:tcBorders>
              <w:bottom w:val="single" w:sz="8" w:color="9ADAF6"/>
            </w:tcBorders>
            <w:shd w:val="clear" w:color="auto" w:fill="9ADAF6"/>
          </w:tcPr>
          <w:p>
            <w:pPr>
              <w:spacing w:after="0"/>
              <w:rPr>
                <w:sz w:val="20"/>
                <w:szCs w:val="20"/>
                <w:color w:val="auto"/>
              </w:rPr>
            </w:pPr>
          </w:p>
        </w:tc>
        <w:tc>
          <w:tcPr>
            <w:tcW w:w="20" w:type="dxa"/>
            <w:vAlign w:val="bottom"/>
            <w:tcBorders>
              <w:bottom w:val="single" w:sz="8" w:color="9ADAF6"/>
            </w:tcBorders>
            <w:shd w:val="clear" w:color="auto" w:fill="9ADAF6"/>
          </w:tcPr>
          <w:p>
            <w:pPr>
              <w:spacing w:after="0"/>
              <w:rPr>
                <w:sz w:val="20"/>
                <w:szCs w:val="20"/>
                <w:color w:val="auto"/>
              </w:rPr>
            </w:pPr>
          </w:p>
        </w:tc>
        <w:tc>
          <w:tcPr>
            <w:tcW w:w="740" w:type="dxa"/>
            <w:vAlign w:val="bottom"/>
            <w:tcBorders>
              <w:bottom w:val="single" w:sz="8" w:color="9ADAF6"/>
            </w:tcBorders>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9ADAF6"/>
            </w:tcBorders>
            <w:shd w:val="clear" w:color="auto" w:fill="9ADAF6"/>
          </w:tcPr>
          <w:p>
            <w:pPr>
              <w:spacing w:after="0"/>
              <w:rPr>
                <w:sz w:val="20"/>
                <w:szCs w:val="20"/>
                <w:color w:val="auto"/>
              </w:rPr>
            </w:pPr>
          </w:p>
        </w:tc>
        <w:tc>
          <w:tcPr>
            <w:tcW w:w="40" w:type="dxa"/>
            <w:vAlign w:val="bottom"/>
            <w:tcBorders>
              <w:bottom w:val="single" w:sz="8" w:color="9ADAF6"/>
            </w:tcBorders>
            <w:shd w:val="clear" w:color="auto" w:fill="9ADAF6"/>
          </w:tcPr>
          <w:p>
            <w:pPr>
              <w:spacing w:after="0"/>
              <w:rPr>
                <w:sz w:val="20"/>
                <w:szCs w:val="20"/>
                <w:color w:val="auto"/>
              </w:rPr>
            </w:pPr>
          </w:p>
        </w:tc>
        <w:tc>
          <w:tcPr>
            <w:tcW w:w="660" w:type="dxa"/>
            <w:vAlign w:val="bottom"/>
            <w:tcBorders>
              <w:bottom w:val="single" w:sz="8" w:color="9ADAF6"/>
            </w:tcBorders>
            <w:gridSpan w:val="2"/>
            <w:shd w:val="clear" w:color="auto" w:fill="9ADAF6"/>
          </w:tcPr>
          <w:p>
            <w:pPr>
              <w:jc w:val="center"/>
              <w:ind w:right="240"/>
              <w:spacing w:after="0" w:line="200" w:lineRule="exact"/>
              <w:rPr>
                <w:sz w:val="20"/>
                <w:szCs w:val="20"/>
                <w:color w:val="auto"/>
              </w:rPr>
            </w:pPr>
            <w:r>
              <w:rPr>
                <w:rFonts w:ascii="Arial" w:cs="Arial" w:eastAsia="Arial" w:hAnsi="Arial"/>
                <w:sz w:val="18"/>
                <w:szCs w:val="18"/>
                <w:b w:val="1"/>
                <w:bCs w:val="1"/>
                <w:color w:val="auto"/>
                <w:w w:val="97"/>
              </w:rPr>
              <w:t>Date</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80" w:type="dxa"/>
            <w:vAlign w:val="bottom"/>
            <w:tcBorders>
              <w:left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960" w:type="dxa"/>
            <w:vAlign w:val="bottom"/>
            <w:gridSpan w:val="34"/>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 w:type="dxa"/>
            <w:vAlign w:val="bottom"/>
            <w:tcBorders>
              <w:lef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9"/>
                <w:szCs w:val="19"/>
                <w:color w:val="auto"/>
              </w:rPr>
            </w:pPr>
          </w:p>
        </w:tc>
        <w:tc>
          <w:tcPr>
            <w:tcW w:w="1560" w:type="dxa"/>
            <w:vAlign w:val="bottom"/>
            <w:tcBorders>
              <w:right w:val="single" w:sz="8" w:color="E7E7E2"/>
            </w:tcBorders>
            <w:gridSpan w:val="10"/>
            <w:shd w:val="clear" w:color="auto" w:fill="E7E7E2"/>
          </w:tcPr>
          <w:p>
            <w:pPr>
              <w:spacing w:after="0"/>
              <w:rPr>
                <w:sz w:val="20"/>
                <w:szCs w:val="20"/>
                <w:color w:val="auto"/>
              </w:rPr>
            </w:pPr>
            <w:r>
              <w:rPr>
                <w:rFonts w:ascii="Arial" w:cs="Arial" w:eastAsia="Arial" w:hAnsi="Arial"/>
                <w:sz w:val="18"/>
                <w:szCs w:val="18"/>
                <w:color w:val="auto"/>
              </w:rPr>
              <w:t>N/A</w:t>
            </w:r>
          </w:p>
        </w:tc>
        <w:tc>
          <w:tcPr>
            <w:tcW w:w="1720" w:type="dxa"/>
            <w:vAlign w:val="bottom"/>
            <w:tcBorders>
              <w:right w:val="single" w:sz="8" w:color="E7E7E2"/>
            </w:tcBorders>
            <w:gridSpan w:val="9"/>
          </w:tcPr>
          <w:p>
            <w:pPr>
              <w:spacing w:after="0"/>
              <w:rPr>
                <w:sz w:val="20"/>
                <w:szCs w:val="20"/>
                <w:color w:val="auto"/>
              </w:rPr>
            </w:pPr>
            <w:r>
              <w:rPr>
                <w:rFonts w:ascii="Arial" w:cs="Arial" w:eastAsia="Arial" w:hAnsi="Arial"/>
                <w:sz w:val="18"/>
                <w:szCs w:val="18"/>
                <w:color w:val="auto"/>
              </w:rPr>
              <w:t>N/A</w:t>
            </w:r>
          </w:p>
        </w:tc>
        <w:tc>
          <w:tcPr>
            <w:tcW w:w="780" w:type="dxa"/>
            <w:vAlign w:val="bottom"/>
            <w:tcBorders>
              <w:right w:val="single" w:sz="8" w:color="E7E7E2"/>
            </w:tcBorders>
            <w:gridSpan w:val="2"/>
            <w:shd w:val="clear" w:color="auto" w:fill="E7E7E2"/>
          </w:tcPr>
          <w:p>
            <w:pPr>
              <w:spacing w:after="0"/>
              <w:rPr>
                <w:sz w:val="19"/>
                <w:szCs w:val="19"/>
                <w:color w:val="auto"/>
              </w:rPr>
            </w:pPr>
          </w:p>
        </w:tc>
        <w:tc>
          <w:tcPr>
            <w:tcW w:w="620" w:type="dxa"/>
            <w:vAlign w:val="bottom"/>
            <w:tcBorders>
              <w:right w:val="single" w:sz="8" w:color="E7E7E2"/>
            </w:tcBorders>
            <w:gridSpan w:val="6"/>
            <w:shd w:val="clear" w:color="auto" w:fill="E7E7E2"/>
          </w:tcPr>
          <w:p>
            <w:pPr>
              <w:spacing w:after="0"/>
              <w:rPr>
                <w:sz w:val="19"/>
                <w:szCs w:val="19"/>
                <w:color w:val="auto"/>
              </w:rPr>
            </w:pPr>
          </w:p>
        </w:tc>
        <w:tc>
          <w:tcPr>
            <w:tcW w:w="1280" w:type="dxa"/>
            <w:vAlign w:val="bottom"/>
            <w:gridSpan w:val="7"/>
            <w:shd w:val="clear" w:color="auto" w:fill="E7E7E2"/>
          </w:tcPr>
          <w:p>
            <w:pPr>
              <w:spacing w:after="0"/>
              <w:rPr>
                <w:sz w:val="20"/>
                <w:szCs w:val="20"/>
                <w:color w:val="auto"/>
              </w:rPr>
            </w:pPr>
            <w:r>
              <w:rPr>
                <w:rFonts w:ascii="Arial" w:cs="Arial" w:eastAsia="Arial" w:hAnsi="Arial"/>
                <w:sz w:val="18"/>
                <w:szCs w:val="18"/>
                <w:color w:val="auto"/>
              </w:rPr>
              <w:t>N/A</w:t>
            </w:r>
          </w:p>
        </w:tc>
        <w:tc>
          <w:tcPr>
            <w:tcW w:w="40" w:type="dxa"/>
            <w:vAlign w:val="bottom"/>
            <w:vMerge w:val="continue"/>
          </w:tcPr>
          <w:p>
            <w:pPr>
              <w:spacing w:after="0"/>
              <w:rPr>
                <w:sz w:val="19"/>
                <w:szCs w:val="19"/>
                <w:color w:val="auto"/>
              </w:rPr>
            </w:pPr>
          </w:p>
        </w:tc>
        <w:tc>
          <w:tcPr>
            <w:tcW w:w="2000" w:type="dxa"/>
            <w:vAlign w:val="bottom"/>
            <w:tcBorders>
              <w:left w:val="single" w:sz="8" w:color="E7E7E2"/>
            </w:tcBorders>
            <w:gridSpan w:val="9"/>
            <w:shd w:val="clear" w:color="auto" w:fill="E7E7E2"/>
          </w:tcPr>
          <w:p>
            <w:pPr>
              <w:spacing w:after="0"/>
              <w:rPr>
                <w:sz w:val="20"/>
                <w:szCs w:val="20"/>
                <w:color w:val="auto"/>
              </w:rPr>
            </w:pPr>
            <w:r>
              <w:rPr>
                <w:rFonts w:ascii="Arial" w:cs="Arial" w:eastAsia="Arial" w:hAnsi="Arial"/>
                <w:sz w:val="18"/>
                <w:szCs w:val="18"/>
                <w:color w:val="auto"/>
              </w:rPr>
              <w:t>N/A</w:t>
            </w:r>
          </w:p>
        </w:tc>
        <w:tc>
          <w:tcPr>
            <w:tcW w:w="40" w:type="dxa"/>
            <w:vAlign w:val="bottom"/>
            <w:vMerge w:val="continue"/>
          </w:tcPr>
          <w:p>
            <w:pPr>
              <w:spacing w:after="0"/>
              <w:rPr>
                <w:sz w:val="19"/>
                <w:szCs w:val="19"/>
                <w:color w:val="auto"/>
              </w:rPr>
            </w:pPr>
          </w:p>
        </w:tc>
        <w:tc>
          <w:tcPr>
            <w:tcW w:w="100" w:type="dxa"/>
            <w:vAlign w:val="bottom"/>
            <w:tcBorders>
              <w:left w:val="single" w:sz="8" w:color="E7E7E2"/>
              <w:right w:val="single" w:sz="8" w:color="E7E7E2"/>
            </w:tcBorders>
            <w:shd w:val="clear" w:color="auto" w:fill="E7E7E2"/>
          </w:tcPr>
          <w:p>
            <w:pPr>
              <w:spacing w:after="0"/>
              <w:rPr>
                <w:sz w:val="19"/>
                <w:szCs w:val="19"/>
                <w:color w:val="auto"/>
              </w:rPr>
            </w:pPr>
          </w:p>
        </w:tc>
        <w:tc>
          <w:tcPr>
            <w:tcW w:w="940" w:type="dxa"/>
            <w:vAlign w:val="bottom"/>
            <w:gridSpan w:val="7"/>
            <w:shd w:val="clear" w:color="auto" w:fill="E7E7E2"/>
          </w:tcPr>
          <w:p>
            <w:pPr>
              <w:jc w:val="center"/>
              <w:ind w:right="391"/>
              <w:spacing w:after="0"/>
              <w:rPr>
                <w:sz w:val="20"/>
                <w:szCs w:val="20"/>
                <w:color w:val="auto"/>
              </w:rPr>
            </w:pPr>
            <w:r>
              <w:rPr>
                <w:rFonts w:ascii="Arial" w:cs="Arial" w:eastAsia="Arial" w:hAnsi="Arial"/>
                <w:sz w:val="18"/>
                <w:szCs w:val="18"/>
                <w:color w:val="auto"/>
                <w:w w:val="99"/>
              </w:rPr>
              <w:t>N/A</w:t>
            </w:r>
          </w:p>
        </w:tc>
        <w:tc>
          <w:tcPr>
            <w:tcW w:w="740" w:type="dxa"/>
            <w:vAlign w:val="bottom"/>
            <w:shd w:val="clear" w:color="auto" w:fill="E7E7E2"/>
          </w:tcPr>
          <w:p>
            <w:pPr>
              <w:ind w:left="40"/>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9"/>
                <w:szCs w:val="19"/>
                <w:color w:val="auto"/>
              </w:rPr>
            </w:pPr>
          </w:p>
        </w:tc>
        <w:tc>
          <w:tcPr>
            <w:tcW w:w="900" w:type="dxa"/>
            <w:vAlign w:val="bottom"/>
            <w:gridSpan w:val="4"/>
            <w:shd w:val="clear" w:color="auto" w:fill="E7E7E2"/>
          </w:tcPr>
          <w:p>
            <w:pPr>
              <w:spacing w:after="0"/>
              <w:rPr>
                <w:sz w:val="20"/>
                <w:szCs w:val="20"/>
                <w:color w:val="auto"/>
              </w:rPr>
            </w:pPr>
            <w:r>
              <w:rPr>
                <w:rFonts w:ascii="Arial" w:cs="Arial" w:eastAsia="Arial" w:hAnsi="Arial"/>
                <w:sz w:val="18"/>
                <w:szCs w:val="18"/>
                <w:color w:val="auto"/>
              </w:rPr>
              <w:t>N/A</w:t>
            </w:r>
          </w:p>
        </w:tc>
        <w:tc>
          <w:tcPr>
            <w:tcW w:w="1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360" w:type="dxa"/>
            <w:vAlign w:val="bottom"/>
            <w:tcBorders>
              <w:left w:val="single" w:sz="8" w:color="auto"/>
              <w:bottom w:val="single" w:sz="8" w:color="auto"/>
              <w:right w:val="single" w:sz="8" w:color="auto"/>
            </w:tcBorders>
            <w:gridSpan w:val="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Narrative Disclosure</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maximum aggregate offering price of the securities to which the prospectus relates is $300,000,000.00. The prospectus is a final</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prospectus for the related offering.</w:t>
      </w:r>
    </w:p>
    <w:sectPr>
      <w:pgSz w:w="11900" w:h="16838" w:orient="portrait"/>
      <w:cols w:equalWidth="0" w:num="1">
        <w:col w:w="11360"/>
      </w:cols>
      <w:pgMar w:left="300" w:top="1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upperLetter"/>
      <w:start w:val="1"/>
    </w:lvl>
  </w:abstractNum>
  <w:abstractNum w:abstractNumId="13">
    <w:nsid w:val="8138641"/>
    <w:multiLevelType w:val="hybridMultilevel"/>
    <w:lvl w:ilvl="0">
      <w:lvlJc w:val="left"/>
      <w:lvlText w:val="%1."/>
      <w:numFmt w:val="upperLetter"/>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678"/>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74" Type="http://schemas.openxmlformats.org/officeDocument/2006/relationships/image" Target="media/image34.png"/><Relationship Id="rId75" Type="http://schemas.openxmlformats.org/officeDocument/2006/relationships/image" Target="media/image35.jpeg"/><Relationship Id="rId76" Type="http://schemas.openxmlformats.org/officeDocument/2006/relationships/image" Target="media/image36.png"/><Relationship Id="rId77" Type="http://schemas.openxmlformats.org/officeDocument/2006/relationships/image" Target="media/image37.png"/><Relationship Id="rId78" Type="http://schemas.openxmlformats.org/officeDocument/2006/relationships/image" Target="media/image38.png"/><Relationship Id="rId79" Type="http://schemas.openxmlformats.org/officeDocument/2006/relationships/image" Target="media/image39.png"/><Relationship Id="rId80" Type="http://schemas.openxmlformats.org/officeDocument/2006/relationships/image" Target="media/image40.png"/><Relationship Id="rId81" Type="http://schemas.openxmlformats.org/officeDocument/2006/relationships/image" Target="media/image41.png"/><Relationship Id="rId82" Type="http://schemas.openxmlformats.org/officeDocument/2006/relationships/image" Target="media/image42.png"/><Relationship Id="rId83" Type="http://schemas.openxmlformats.org/officeDocument/2006/relationships/image" Target="media/image43.png"/><Relationship Id="rId84" Type="http://schemas.openxmlformats.org/officeDocument/2006/relationships/image" Target="media/image44.png"/><Relationship Id="rId85"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3" Type="http://schemas.openxmlformats.org/officeDocument/2006/relationships/image" Target="media/image53.png"/><Relationship Id="rId94" Type="http://schemas.openxmlformats.org/officeDocument/2006/relationships/image" Target="media/image54.png"/><Relationship Id="rId95" Type="http://schemas.openxmlformats.org/officeDocument/2006/relationships/image" Target="media/image55.png"/><Relationship Id="rId96" Type="http://schemas.openxmlformats.org/officeDocument/2006/relationships/image" Target="media/image56.png"/><Relationship Id="rId97" Type="http://schemas.openxmlformats.org/officeDocument/2006/relationships/image" Target="media/image57.png"/><Relationship Id="rId98" Type="http://schemas.openxmlformats.org/officeDocument/2006/relationships/image" Target="media/image58.png"/><Relationship Id="rId99" Type="http://schemas.openxmlformats.org/officeDocument/2006/relationships/image" Target="media/image59.png"/><Relationship Id="rId100" Type="http://schemas.openxmlformats.org/officeDocument/2006/relationships/image" Target="media/image60.png"/><Relationship Id="rId101" Type="http://schemas.openxmlformats.org/officeDocument/2006/relationships/image" Target="media/image61.png"/><Relationship Id="rId102" Type="http://schemas.openxmlformats.org/officeDocument/2006/relationships/image" Target="media/image62.png"/><Relationship Id="rId103" Type="http://schemas.openxmlformats.org/officeDocument/2006/relationships/image" Target="media/image63.png"/><Relationship Id="rId104" Type="http://schemas.openxmlformats.org/officeDocument/2006/relationships/image" Target="media/image64.png"/><Relationship Id="rId105" Type="http://schemas.openxmlformats.org/officeDocument/2006/relationships/image" Target="media/image65.png"/><Relationship Id="rId106" Type="http://schemas.openxmlformats.org/officeDocument/2006/relationships/image" Target="media/image66.png"/><Relationship Id="rId107" Type="http://schemas.openxmlformats.org/officeDocument/2006/relationships/image" Target="media/image67.png"/><Relationship Id="rId108" Type="http://schemas.openxmlformats.org/officeDocument/2006/relationships/image" Target="media/image68.png"/><Relationship Id="rId109" Type="http://schemas.openxmlformats.org/officeDocument/2006/relationships/image" Target="media/image69.png"/><Relationship Id="rId110" Type="http://schemas.openxmlformats.org/officeDocument/2006/relationships/image" Target="media/image70.png"/><Relationship Id="rId111" Type="http://schemas.openxmlformats.org/officeDocument/2006/relationships/image" Target="media/image71.png"/><Relationship Id="rId115" Type="http://schemas.openxmlformats.org/officeDocument/2006/relationships/image" Target="media/image72.png"/><Relationship Id="rId116" Type="http://schemas.openxmlformats.org/officeDocument/2006/relationships/image" Target="media/image73.png"/><Relationship Id="rId117" Type="http://schemas.openxmlformats.org/officeDocument/2006/relationships/image" Target="media/image74.png"/><Relationship Id="rId118" Type="http://schemas.openxmlformats.org/officeDocument/2006/relationships/image" Target="media/image75.jpeg"/><Relationship Id="rId119" Type="http://schemas.openxmlformats.org/officeDocument/2006/relationships/image" Target="media/image76.png"/><Relationship Id="rId120" Type="http://schemas.openxmlformats.org/officeDocument/2006/relationships/image" Target="media/image77.png"/><Relationship Id="rId121" Type="http://schemas.openxmlformats.org/officeDocument/2006/relationships/image" Target="media/image78.png"/><Relationship Id="rId122" Type="http://schemas.openxmlformats.org/officeDocument/2006/relationships/image" Target="media/image79.png"/><Relationship Id="rId41" Type="http://schemas.openxmlformats.org/officeDocument/2006/relationships/hyperlink" Target="http://www.sec.gov/ix?doc=/Archives/edgar/data/1820302/000162828025013959/bakkt-20241231.htm" TargetMode="External"/><Relationship Id="rId42" Type="http://schemas.openxmlformats.org/officeDocument/2006/relationships/hyperlink" Target="http://www.sec.gov/ix?doc=/Archives/edgar/data/1820302/000162828025056295/bakkt-20251210_d2.htm" TargetMode="External"/><Relationship Id="rId43" Type="http://schemas.openxmlformats.org/officeDocument/2006/relationships/hyperlink" Target="http://www.sec.gov/Archives/edgar/data/1820302/000119312525159866/d930056ddef14a.htm" TargetMode="External"/><Relationship Id="rId44" Type="http://schemas.openxmlformats.org/officeDocument/2006/relationships/hyperlink" Target="http://www.sec.gov/ix?doc=/Archives/edgar/data/1820302/000162828025024743/bakkt-20250331.htm" TargetMode="External"/><Relationship Id="rId45" Type="http://schemas.openxmlformats.org/officeDocument/2006/relationships/hyperlink" Target="http://www.sec.gov/ix?doc=/Archives/edgar/data/1820302/000162828025039625/bakkt-20250630.htm" TargetMode="External"/><Relationship Id="rId46" Type="http://schemas.openxmlformats.org/officeDocument/2006/relationships/hyperlink" Target="http://www.sec.gov/ix?doc=/Archives/edgar/data/1820302/000162828025051180/bakkt-20250930.htm" TargetMode="External"/><Relationship Id="rId47" Type="http://schemas.openxmlformats.org/officeDocument/2006/relationships/hyperlink" Target="http://www.sec.gov/ix?doc=/Archives/edgar/data/1820302/000119312525138191/d76438d8k.htm" TargetMode="External"/><Relationship Id="rId48" Type="http://schemas.openxmlformats.org/officeDocument/2006/relationships/hyperlink" Target="http://www.sec.gov/ix?doc=/Archives/edgar/data/1820302/000162828025030475/bakkt-20250610.htm" TargetMode="External"/><Relationship Id="rId49" Type="http://schemas.openxmlformats.org/officeDocument/2006/relationships/hyperlink" Target="http://www.sec.gov/ix?doc=/Archives/edgar/data/1820302/000162828025031314/bakkt-20250609.htm" TargetMode="External"/><Relationship Id="rId50" Type="http://schemas.openxmlformats.org/officeDocument/2006/relationships/hyperlink" Target="http://www.sec.gov/ix?doc=/Archives/edgar/data/1820302/000119312525142918/d80998d8k.htm" TargetMode="External"/><Relationship Id="rId51" Type="http://schemas.openxmlformats.org/officeDocument/2006/relationships/hyperlink" Target="http://www.sec.gov/ix?doc=/Archives/edgar/data/1820302/000162828025036239/bakkt-20250723.htm" TargetMode="External"/><Relationship Id="rId52" Type="http://schemas.openxmlformats.org/officeDocument/2006/relationships/hyperlink" Target="http://www.sec.gov/ix?doc=/Archives/edgar/data/1820302/000119312525169353/d37228d8k.htm" TargetMode="External"/><Relationship Id="rId53" Type="http://schemas.openxmlformats.org/officeDocument/2006/relationships/hyperlink" Target="http://www.sec.gov/ix?doc=/Archives/edgar/data/1820302/000162828025038417/bakkt-20250806.htm" TargetMode="External"/><Relationship Id="rId54" Type="http://schemas.openxmlformats.org/officeDocument/2006/relationships/hyperlink" Target="http://www.sec.gov/ix?doc=/Archives/edgar/data/1820302/000162828025039333/bakkt-20250806.htm" TargetMode="External"/><Relationship Id="rId55" Type="http://schemas.openxmlformats.org/officeDocument/2006/relationships/hyperlink" Target="http://www.sec.gov/ix?doc=/Archives/edgar/data/1820302/000119312525178246/d18816d8k.htm" TargetMode="External"/><Relationship Id="rId56" Type="http://schemas.openxmlformats.org/officeDocument/2006/relationships/hyperlink" Target="http://www.sec.gov/ix?doc=/Archives/edgar/data/1820302/000182030225000005/bakkt-20250826.htm" TargetMode="External"/><Relationship Id="rId57" Type="http://schemas.openxmlformats.org/officeDocument/2006/relationships/hyperlink" Target="http://www.sec.gov/ix?doc=/Archives/edgar/data/1820302/000119312525203599/d100139d8k.htm" TargetMode="External"/><Relationship Id="rId58" Type="http://schemas.openxmlformats.org/officeDocument/2006/relationships/hyperlink" Target="http://www.sec.gov/ix?doc=/Archives/edgar/data/1820302/000162828025042251/bakkt-20250917.htm" TargetMode="External"/><Relationship Id="rId59" Type="http://schemas.openxmlformats.org/officeDocument/2006/relationships/hyperlink" Target="http://www.sec.gov/ix?doc=/Archives/edgar/data/1820302/000162828025043317/bakkt-20250930.htm" TargetMode="External"/><Relationship Id="rId60" Type="http://schemas.openxmlformats.org/officeDocument/2006/relationships/hyperlink" Target="http://www.sec.gov/ix?doc=/Archives/edgar/data/1820302/000119312525234538/d87349d8k.htm" TargetMode="External"/><Relationship Id="rId61" Type="http://schemas.openxmlformats.org/officeDocument/2006/relationships/hyperlink" Target="http://www.sec.gov/ix?doc=/Archives/edgar/data/1820302/000119312525237364/d32118d8k.htm" TargetMode="External"/><Relationship Id="rId62" Type="http://schemas.openxmlformats.org/officeDocument/2006/relationships/hyperlink" Target="http://www.sec.gov/ix?doc=/Archives/edgar/data/1820302/000119312525242750/d74254d8k.htm" TargetMode="External"/><Relationship Id="rId63" Type="http://schemas.openxmlformats.org/officeDocument/2006/relationships/hyperlink" Target="http://www.sec.gov/ix?doc=/Archives/edgar/data/1820302/000162828025045560/bakkt-20251019.htm" TargetMode="External"/><Relationship Id="rId64" Type="http://schemas.openxmlformats.org/officeDocument/2006/relationships/hyperlink" Target="http://www.sec.gov/ix?doc=/Archives/edgar/data/1820302/000119312525245822/d36779d8k.htm" TargetMode="External"/><Relationship Id="rId65" Type="http://schemas.openxmlformats.org/officeDocument/2006/relationships/hyperlink" Target="http://www.sec.gov/ix?doc=/Archives/edgar/data/1820302/000162828025047840/bakkt-20251031.htm" TargetMode="External"/><Relationship Id="rId66" Type="http://schemas.openxmlformats.org/officeDocument/2006/relationships/hyperlink" Target="http://www.sec.gov/ix?doc=/Archives/edgar/data/1820302/000119312525262474/d98917d8k.htm" TargetMode="External"/><Relationship Id="rId67" Type="http://schemas.openxmlformats.org/officeDocument/2006/relationships/hyperlink" Target="http://www.sec.gov/ix?doc=/Archives/edgar/data/1820302/000119312525262732/d83327d8k12b.htm" TargetMode="External"/><Relationship Id="rId68" Type="http://schemas.openxmlformats.org/officeDocument/2006/relationships/hyperlink" Target="http://www.sec.gov/ix?doc=/Archives/edgar/data/1820302/000162828025052422/bakkt-20251107.htm" TargetMode="External"/><Relationship Id="rId69" Type="http://schemas.openxmlformats.org/officeDocument/2006/relationships/hyperlink" Target="http://www.sec.gov/ix?doc=/Archives/edgar/data/1820302/000162828025053695/bakkt-20251121.htm" TargetMode="External"/><Relationship Id="rId70" Type="http://schemas.openxmlformats.org/officeDocument/2006/relationships/hyperlink" Target="http://www.sec.gov/ix?doc=/Archives/edgar/data/1820302/000119312526009830/d88960d8k.htm" TargetMode="External"/><Relationship Id="rId71" Type="http://schemas.openxmlformats.org/officeDocument/2006/relationships/hyperlink" Target="http://www.sec.gov/ix?doc=/Archives/edgar/data/1820302/000119312526015873/d51133d8k.htm" TargetMode="External"/><Relationship Id="rId72" Type="http://schemas.openxmlformats.org/officeDocument/2006/relationships/hyperlink" Target="http://www.sec.gov/ix?doc=/Archives/edgar/data/1820302/000119312525272524/d70742d8ka.htm" TargetMode="External"/><Relationship Id="rId73" Type="http://schemas.openxmlformats.org/officeDocument/2006/relationships/hyperlink" Target="http://www.sec.gov/Archives/edgar/data/1820302/000119312525262732/d83327dex991.htm" TargetMode="External"/><Relationship Id="rId112" Type="http://schemas.openxmlformats.org/officeDocument/2006/relationships/hyperlink" Target="http://www.sec.gov/ix?doc=/Archives/edgar/data/1820302/000162828025020274/bakkt-20250428.htm" TargetMode="External"/><Relationship Id="rId113" Type="http://schemas.openxmlformats.org/officeDocument/2006/relationships/hyperlink" Target="http://www.sec.gov/ix?doc=/Archives/edgar/data/1820302/000162828025013995/bakkt-20250319.htm" TargetMode="External"/><Relationship Id="rId114" Type="http://schemas.openxmlformats.org/officeDocument/2006/relationships/hyperlink" Target="http://www.sec.gov/Archives/edgar/data/1820302/000119312521299620/d211377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2026-01-20T08:32:30Z</dcterms:created>
  <dcterms:modified xsi:type="dcterms:W3CDTF">2026-01-20T08:32:30Z</dcterms:modified>
</cp:coreProperties>
</file>