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9189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918972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5"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right="660"/>
        <w:spacing w:after="0" w:line="237"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VPC Impact Acquisition Holdings</w:t>
        </w:r>
      </w:hyperlink>
      <w:r>
        <w:rPr>
          <w:rFonts w:ascii="Arial" w:cs="Arial" w:eastAsia="Arial" w:hAnsi="Arial"/>
          <w:sz w:val="22"/>
          <w:szCs w:val="22"/>
          <w:u w:val="single" w:color="auto"/>
          <w:color w:val="0000EE"/>
        </w:rPr>
        <w:t xml:space="preserve"> </w:t>
      </w:r>
      <w:hyperlink r:id="rId12">
        <w:r>
          <w:rPr>
            <w:rFonts w:ascii="Arial" w:cs="Arial" w:eastAsia="Arial" w:hAnsi="Arial"/>
            <w:sz w:val="22"/>
            <w:szCs w:val="22"/>
            <w:u w:val="single" w:color="auto"/>
            <w:color w:val="0000EE"/>
          </w:rPr>
          <w:t>Sponsor, LLC</w:t>
        </w:r>
      </w:hyperlink>
    </w:p>
    <w:p>
      <w:pPr>
        <w:spacing w:after="0" w:line="304" w:lineRule="exact"/>
        <w:rPr>
          <w:sz w:val="20"/>
          <w:szCs w:val="20"/>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0"/>
          <w:szCs w:val="20"/>
          <w:color w:val="auto"/>
        </w:rPr>
      </w:pPr>
    </w:p>
    <w:p>
      <w:pPr>
        <w:ind w:left="120" w:right="320"/>
        <w:spacing w:after="0" w:line="268" w:lineRule="auto"/>
        <w:rPr>
          <w:sz w:val="20"/>
          <w:szCs w:val="20"/>
          <w:color w:val="auto"/>
        </w:rPr>
      </w:pPr>
      <w:r>
        <w:rPr>
          <w:rFonts w:ascii="Arial" w:cs="Arial" w:eastAsia="Arial" w:hAnsi="Arial"/>
          <w:sz w:val="18"/>
          <w:szCs w:val="18"/>
          <w:color w:val="0000FF"/>
        </w:rPr>
        <w:t>C/O VICTORY PARK CAPITAL ADVISORS, LLC</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150 NORTH RIVERSIDE PLAZA, SUITE 5200</w:t>
      </w:r>
    </w:p>
    <w:p>
      <w:pPr>
        <w:spacing w:after="0" w:line="314"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CHICAGO</w:t>
            </w:r>
          </w:p>
        </w:tc>
        <w:tc>
          <w:tcPr>
            <w:tcW w:w="1020" w:type="dxa"/>
            <w:vAlign w:val="bottom"/>
          </w:tcPr>
          <w:p>
            <w:pPr>
              <w:ind w:left="220"/>
              <w:spacing w:after="0"/>
              <w:rPr>
                <w:sz w:val="20"/>
                <w:szCs w:val="20"/>
                <w:color w:val="auto"/>
              </w:rPr>
            </w:pPr>
            <w:r>
              <w:rPr>
                <w:rFonts w:ascii="Arial" w:cs="Arial" w:eastAsia="Arial" w:hAnsi="Arial"/>
                <w:sz w:val="18"/>
                <w:szCs w:val="18"/>
                <w:color w:val="0000FF"/>
              </w:rPr>
              <w:t>IL</w:t>
            </w:r>
          </w:p>
        </w:tc>
        <w:tc>
          <w:tcPr>
            <w:tcW w:w="1600" w:type="dxa"/>
            <w:vAlign w:val="bottom"/>
          </w:tcPr>
          <w:p>
            <w:pPr>
              <w:ind w:left="420"/>
              <w:spacing w:after="0"/>
              <w:rPr>
                <w:sz w:val="20"/>
                <w:szCs w:val="20"/>
                <w:color w:val="auto"/>
              </w:rPr>
            </w:pPr>
            <w:r>
              <w:rPr>
                <w:rFonts w:ascii="Arial" w:cs="Arial" w:eastAsia="Arial" w:hAnsi="Arial"/>
                <w:sz w:val="18"/>
                <w:szCs w:val="18"/>
                <w:color w:val="0000FF"/>
              </w:rPr>
              <w:t>60606</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2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Bakkt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BKKT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80" w:type="dxa"/>
            <w:vAlign w:val="bottom"/>
            <w:tcBorders>
              <w:bottom w:val="single" w:sz="8" w:color="0000EE"/>
            </w:tcBorders>
          </w:tcPr>
          <w:p>
            <w:pPr>
              <w:spacing w:after="0"/>
              <w:rPr>
                <w:sz w:val="3"/>
                <w:szCs w:val="3"/>
                <w:color w:val="auto"/>
              </w:rPr>
            </w:pPr>
          </w:p>
        </w:tc>
        <w:tc>
          <w:tcPr>
            <w:tcW w:w="1960" w:type="dxa"/>
            <w:vAlign w:val="bottom"/>
          </w:tcPr>
          <w:p>
            <w:pPr>
              <w:spacing w:after="0"/>
              <w:rPr>
                <w:sz w:val="3"/>
                <w:szCs w:val="3"/>
                <w:color w:val="auto"/>
              </w:rPr>
            </w:pPr>
          </w:p>
        </w:tc>
        <w:tc>
          <w:tcPr>
            <w:tcW w:w="1680" w:type="dxa"/>
            <w:vAlign w:val="bottom"/>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440" w:type="dxa"/>
            <w:vAlign w:val="bottom"/>
          </w:tcPr>
          <w:p>
            <w:pPr>
              <w:spacing w:after="0"/>
              <w:rPr>
                <w:sz w:val="3"/>
                <w:szCs w:val="3"/>
                <w:color w:val="auto"/>
              </w:rPr>
            </w:pP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tcPr>
          <w:p>
            <w:pPr>
              <w:spacing w:after="0"/>
              <w:rPr>
                <w:sz w:val="6"/>
                <w:szCs w:val="6"/>
                <w:color w:val="auto"/>
              </w:rPr>
            </w:pPr>
          </w:p>
        </w:tc>
        <w:tc>
          <w:tcPr>
            <w:tcW w:w="1680" w:type="dxa"/>
            <w:vAlign w:val="bottom"/>
            <w:vMerge w:val="restart"/>
          </w:tcPr>
          <w:p>
            <w:pPr>
              <w:ind w:left="580"/>
              <w:spacing w:after="0"/>
              <w:rPr>
                <w:sz w:val="20"/>
                <w:szCs w:val="20"/>
                <w:color w:val="auto"/>
              </w:rPr>
            </w:pPr>
            <w:r>
              <w:rPr>
                <w:rFonts w:ascii="Arial" w:cs="Arial" w:eastAsia="Arial" w:hAnsi="Arial"/>
                <w:sz w:val="14"/>
                <w:szCs w:val="14"/>
                <w:color w:val="auto"/>
              </w:rPr>
              <w:t>Officer (give title</w:t>
            </w:r>
          </w:p>
        </w:tc>
        <w:tc>
          <w:tcPr>
            <w:tcW w:w="440" w:type="dxa"/>
            <w:vAlign w:val="bottom"/>
            <w:vMerge w:val="restart"/>
          </w:tcPr>
          <w:p>
            <w:pPr>
              <w:ind w:left="140"/>
              <w:spacing w:after="0"/>
              <w:rPr>
                <w:sz w:val="20"/>
                <w:szCs w:val="20"/>
                <w:color w:val="auto"/>
              </w:rPr>
            </w:pPr>
            <w:r>
              <w:rPr>
                <w:rFonts w:ascii="Arial" w:cs="Arial" w:eastAsia="Arial" w:hAnsi="Arial"/>
                <w:sz w:val="18"/>
                <w:szCs w:val="18"/>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9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168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gridSpan w:val="2"/>
            <w:vMerge w:val="continue"/>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1680" w:type="dxa"/>
            <w:vAlign w:val="bottom"/>
            <w:vMerge w:val="restart"/>
          </w:tcPr>
          <w:p>
            <w:pPr>
              <w:ind w:left="580"/>
              <w:spacing w:after="0"/>
              <w:rPr>
                <w:sz w:val="20"/>
                <w:szCs w:val="20"/>
                <w:color w:val="auto"/>
              </w:rPr>
            </w:pPr>
            <w:r>
              <w:rPr>
                <w:rFonts w:ascii="Arial" w:cs="Arial" w:eastAsia="Arial" w:hAnsi="Arial"/>
                <w:sz w:val="14"/>
                <w:szCs w:val="14"/>
                <w:color w:val="auto"/>
              </w:rPr>
              <w:t>below)</w:t>
            </w:r>
          </w:p>
        </w:tc>
        <w:tc>
          <w:tcPr>
            <w:tcW w:w="440" w:type="dxa"/>
            <w:vAlign w:val="bottom"/>
            <w:vMerge w:val="continue"/>
          </w:tcPr>
          <w:p>
            <w:pPr>
              <w:spacing w:after="0"/>
              <w:rPr>
                <w:sz w:val="8"/>
                <w:szCs w:val="8"/>
                <w:color w:val="auto"/>
              </w:rPr>
            </w:pP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1880" w:type="dxa"/>
            <w:vAlign w:val="bottom"/>
            <w:gridSpan w:val="3"/>
            <w:vMerge w:val="restart"/>
          </w:tcPr>
          <w:p>
            <w:pPr>
              <w:ind w:left="80"/>
              <w:spacing w:after="0"/>
              <w:rPr>
                <w:sz w:val="20"/>
                <w:szCs w:val="20"/>
                <w:color w:val="auto"/>
              </w:rPr>
            </w:pPr>
            <w:r>
              <w:rPr>
                <w:rFonts w:ascii="Arial" w:cs="Arial" w:eastAsia="Arial" w:hAnsi="Arial"/>
                <w:sz w:val="18"/>
                <w:szCs w:val="18"/>
                <w:color w:val="0000FF"/>
              </w:rPr>
              <w:t>07/11/2023</w:t>
            </w:r>
          </w:p>
        </w:tc>
        <w:tc>
          <w:tcPr>
            <w:tcW w:w="196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1880" w:type="dxa"/>
            <w:vAlign w:val="bottom"/>
            <w:gridSpan w:val="3"/>
            <w:vMerge w:val="continue"/>
          </w:tcPr>
          <w:p>
            <w:pPr>
              <w:spacing w:after="0"/>
              <w:rPr>
                <w:sz w:val="12"/>
                <w:szCs w:val="12"/>
                <w:color w:val="auto"/>
              </w:rPr>
            </w:pPr>
          </w:p>
        </w:tc>
        <w:tc>
          <w:tcPr>
            <w:tcW w:w="1960" w:type="dxa"/>
            <w:vAlign w:val="bottom"/>
          </w:tcPr>
          <w:p>
            <w:pPr>
              <w:spacing w:after="0"/>
              <w:rPr>
                <w:sz w:val="12"/>
                <w:szCs w:val="12"/>
                <w:color w:val="auto"/>
              </w:rPr>
            </w:pPr>
          </w:p>
        </w:tc>
        <w:tc>
          <w:tcPr>
            <w:tcW w:w="2120" w:type="dxa"/>
            <w:vAlign w:val="bottom"/>
            <w:gridSpan w:val="2"/>
            <w:vMerge w:val="restart"/>
          </w:tcPr>
          <w:p>
            <w:pPr>
              <w:ind w:left="1180"/>
              <w:spacing w:after="0"/>
              <w:rPr>
                <w:sz w:val="20"/>
                <w:szCs w:val="20"/>
                <w:color w:val="auto"/>
              </w:rPr>
            </w:pPr>
            <w:r>
              <w:rPr>
                <w:rFonts w:ascii="Arial" w:cs="Arial" w:eastAsia="Arial" w:hAnsi="Arial"/>
                <w:sz w:val="18"/>
                <w:szCs w:val="18"/>
                <w:color w:val="0000FF"/>
                <w:w w:val="84"/>
              </w:rPr>
              <w:t>See Remarks</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120" w:type="dxa"/>
            <w:vAlign w:val="bottom"/>
            <w:gridSpan w:val="2"/>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tcPr>
          <w:p>
            <w:pPr>
              <w:spacing w:after="0"/>
              <w:rPr>
                <w:sz w:val="10"/>
                <w:szCs w:val="10"/>
                <w:color w:val="auto"/>
              </w:rPr>
            </w:pPr>
          </w:p>
        </w:tc>
        <w:tc>
          <w:tcPr>
            <w:tcW w:w="3280" w:type="dxa"/>
            <w:vAlign w:val="bottom"/>
            <w:tcBorders>
              <w:bottom w:val="single" w:sz="8" w:color="2C2C2C"/>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spacing w:after="0" w:line="18" w:lineRule="exact"/>
        <w:rPr>
          <w:sz w:val="20"/>
          <w:szCs w:val="20"/>
          <w:color w:val="auto"/>
        </w:rPr>
      </w:pPr>
    </w:p>
    <w:tbl>
      <w:tblPr>
        <w:tblLayout w:type="fixed"/>
        <w:tblInd w:w="410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0"/>
          <w:szCs w:val="20"/>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8" w:lineRule="exact"/>
        <w:rPr>
          <w:sz w:val="20"/>
          <w:szCs w:val="20"/>
          <w:color w:val="auto"/>
        </w:rPr>
      </w:pPr>
    </w:p>
    <w:p>
      <w:pPr>
        <w:sectPr>
          <w:pgSz w:w="11900" w:h="16838" w:orient="portrait"/>
          <w:cols w:equalWidth="0" w:num="2">
            <w:col w:w="3760" w:space="80"/>
            <w:col w:w="7240"/>
          </w:cols>
          <w:pgMar w:left="460" w:top="226" w:right="359" w:bottom="145"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4"/>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gridSpan w:val="2"/>
          </w:tcPr>
          <w:p>
            <w:pPr>
              <w:ind w:left="38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4"/>
          </w:tcPr>
          <w:p>
            <w:pPr>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4"/>
              </w:rPr>
              <w:t>Owned</w:t>
            </w:r>
          </w:p>
        </w:tc>
        <w:tc>
          <w:tcPr>
            <w:tcW w:w="72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gridSpan w:val="2"/>
            <w:vMerge w:val="restart"/>
          </w:tcPr>
          <w:p>
            <w:pPr>
              <w:ind w:left="80"/>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940" w:type="dxa"/>
            <w:vAlign w:val="bottom"/>
            <w:gridSpan w:val="2"/>
            <w:vMerge w:val="restart"/>
          </w:tcPr>
          <w:p>
            <w:pPr>
              <w:ind w:left="100"/>
              <w:spacing w:after="0" w:line="243" w:lineRule="exact"/>
              <w:rPr>
                <w:sz w:val="20"/>
                <w:szCs w:val="20"/>
                <w:color w:val="auto"/>
              </w:rPr>
            </w:pPr>
            <w:r>
              <w:rPr>
                <w:rFonts w:ascii="Arial" w:cs="Arial" w:eastAsia="Arial" w:hAnsi="Arial"/>
                <w:sz w:val="24"/>
                <w:szCs w:val="24"/>
                <w:b w:val="1"/>
                <w:bCs w:val="1"/>
                <w:color w:val="auto"/>
                <w:vertAlign w:val="superscript"/>
              </w:rPr>
              <w:t>(A) or</w:t>
            </w:r>
            <w:r>
              <w:rPr>
                <w:rFonts w:ascii="Arial" w:cs="Arial" w:eastAsia="Arial" w:hAnsi="Arial"/>
                <w:sz w:val="12"/>
                <w:szCs w:val="12"/>
                <w:b w:val="1"/>
                <w:bCs w:val="1"/>
                <w:color w:val="auto"/>
              </w:rPr>
              <w:t xml:space="preserve">  Price</w:t>
            </w: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9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w w:val="96"/>
              </w:rPr>
              <w:t>Class A common stock, par value</w:t>
            </w:r>
          </w:p>
        </w:tc>
        <w:tc>
          <w:tcPr>
            <w:tcW w:w="1500" w:type="dxa"/>
            <w:vAlign w:val="bottom"/>
            <w:gridSpan w:val="2"/>
            <w:vMerge w:val="restart"/>
          </w:tcPr>
          <w:p>
            <w:pPr>
              <w:ind w:left="480"/>
              <w:spacing w:after="0"/>
              <w:rPr>
                <w:sz w:val="20"/>
                <w:szCs w:val="20"/>
                <w:color w:val="auto"/>
              </w:rPr>
            </w:pPr>
            <w:r>
              <w:rPr>
                <w:rFonts w:ascii="Arial" w:cs="Arial" w:eastAsia="Arial" w:hAnsi="Arial"/>
                <w:sz w:val="18"/>
                <w:szCs w:val="18"/>
                <w:color w:val="0000FF"/>
              </w:rPr>
              <w:t>07/11/2023</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800" w:type="dxa"/>
            <w:vAlign w:val="bottom"/>
            <w:vMerge w:val="restart"/>
          </w:tcPr>
          <w:p>
            <w:pPr>
              <w:ind w:left="60"/>
              <w:spacing w:after="0"/>
              <w:rPr>
                <w:sz w:val="20"/>
                <w:szCs w:val="20"/>
                <w:color w:val="auto"/>
              </w:rPr>
            </w:pPr>
            <w:r>
              <w:rPr>
                <w:rFonts w:ascii="Arial" w:cs="Arial" w:eastAsia="Arial" w:hAnsi="Arial"/>
                <w:sz w:val="18"/>
                <w:szCs w:val="18"/>
                <w:color w:val="0000FF"/>
                <w:w w:val="86"/>
              </w:rPr>
              <w:t>200,000</w:t>
            </w:r>
            <w:r>
              <w:rPr>
                <w:rFonts w:ascii="Arial" w:cs="Arial" w:eastAsia="Arial" w:hAnsi="Arial"/>
                <w:sz w:val="22"/>
                <w:szCs w:val="22"/>
                <w:color w:val="008000"/>
                <w:w w:val="86"/>
                <w:vertAlign w:val="superscript"/>
              </w:rPr>
              <w:t>(1)</w:t>
            </w:r>
          </w:p>
        </w:tc>
        <w:tc>
          <w:tcPr>
            <w:tcW w:w="38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840" w:type="dxa"/>
            <w:vAlign w:val="bottom"/>
            <w:gridSpan w:val="2"/>
            <w:vMerge w:val="restart"/>
          </w:tcPr>
          <w:p>
            <w:pPr>
              <w:ind w:left="2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1.5773</w:t>
            </w:r>
          </w:p>
        </w:tc>
        <w:tc>
          <w:tcPr>
            <w:tcW w:w="1200" w:type="dxa"/>
            <w:vAlign w:val="bottom"/>
            <w:gridSpan w:val="2"/>
            <w:vMerge w:val="restart"/>
          </w:tcPr>
          <w:p>
            <w:pPr>
              <w:ind w:left="220"/>
              <w:spacing w:after="0"/>
              <w:rPr>
                <w:sz w:val="20"/>
                <w:szCs w:val="20"/>
                <w:color w:val="auto"/>
              </w:rPr>
            </w:pPr>
            <w:r>
              <w:rPr>
                <w:rFonts w:ascii="Arial" w:cs="Arial" w:eastAsia="Arial" w:hAnsi="Arial"/>
                <w:sz w:val="18"/>
                <w:szCs w:val="18"/>
                <w:color w:val="0000FF"/>
              </w:rPr>
              <w:t>5,844,254</w:t>
            </w:r>
          </w:p>
        </w:tc>
        <w:tc>
          <w:tcPr>
            <w:tcW w:w="900" w:type="dxa"/>
            <w:vAlign w:val="bottom"/>
            <w:vMerge w:val="restart"/>
          </w:tcPr>
          <w:p>
            <w:pPr>
              <w:ind w:left="2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w w:val="98"/>
              </w:rPr>
              <w:t>$0.0001 per share</w:t>
            </w:r>
          </w:p>
        </w:tc>
        <w:tc>
          <w:tcPr>
            <w:tcW w:w="1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4"/>
          </w:tcPr>
          <w:p>
            <w:pPr>
              <w:spacing w:after="0"/>
              <w:rPr>
                <w:sz w:val="8"/>
                <w:szCs w:val="8"/>
                <w:color w:val="auto"/>
              </w:rPr>
            </w:pPr>
          </w:p>
        </w:tc>
        <w:tc>
          <w:tcPr>
            <w:tcW w:w="860" w:type="dxa"/>
            <w:vAlign w:val="bottom"/>
            <w:tcBorders>
              <w:bottom w:val="single" w:sz="8" w:color="2C2C2C"/>
            </w:tcBorders>
            <w:gridSpan w:val="2"/>
          </w:tcPr>
          <w:p>
            <w:pPr>
              <w:spacing w:after="0"/>
              <w:rPr>
                <w:sz w:val="8"/>
                <w:szCs w:val="8"/>
                <w:color w:val="auto"/>
              </w:rPr>
            </w:pPr>
          </w:p>
        </w:tc>
        <w:tc>
          <w:tcPr>
            <w:tcW w:w="4100" w:type="dxa"/>
            <w:vAlign w:val="bottom"/>
            <w:tcBorders>
              <w:bottom w:val="single" w:sz="8" w:color="2C2C2C"/>
            </w:tcBorders>
            <w:gridSpan w:val="8"/>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5"/>
                <w:szCs w:val="15"/>
                <w:color w:val="auto"/>
              </w:rPr>
            </w:pP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20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-1926590</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21"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VPC Impact Acquisition Holdings Sponsor,</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LLC</w:t>
        </w:r>
      </w:hyperlink>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VICTORY PARK CAPITAL ADVISORS, LLC</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150 NORTH RIVERSIDE PLAZA, SUITE 5200</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CHICAGO</w:t>
            </w:r>
          </w:p>
        </w:tc>
        <w:tc>
          <w:tcPr>
            <w:tcW w:w="1280" w:type="dxa"/>
            <w:vAlign w:val="bottom"/>
          </w:tcPr>
          <w:p>
            <w:pPr>
              <w:spacing w:after="0"/>
              <w:rPr>
                <w:sz w:val="20"/>
                <w:szCs w:val="20"/>
                <w:color w:val="auto"/>
              </w:rPr>
            </w:pPr>
            <w:r>
              <w:rPr>
                <w:rFonts w:ascii="Arial" w:cs="Arial" w:eastAsia="Arial" w:hAnsi="Arial"/>
                <w:sz w:val="18"/>
                <w:szCs w:val="18"/>
                <w:color w:val="0000FF"/>
              </w:rPr>
              <w:t>IL</w:t>
            </w:r>
          </w:p>
        </w:tc>
        <w:tc>
          <w:tcPr>
            <w:tcW w:w="1480" w:type="dxa"/>
            <w:vAlign w:val="bottom"/>
          </w:tcPr>
          <w:p>
            <w:pPr>
              <w:ind w:left="120"/>
              <w:spacing w:after="0"/>
              <w:rPr>
                <w:sz w:val="20"/>
                <w:szCs w:val="20"/>
                <w:color w:val="auto"/>
              </w:rPr>
            </w:pPr>
            <w:r>
              <w:rPr>
                <w:rFonts w:ascii="Arial" w:cs="Arial" w:eastAsia="Arial" w:hAnsi="Arial"/>
                <w:sz w:val="18"/>
                <w:szCs w:val="18"/>
                <w:color w:val="0000FF"/>
              </w:rPr>
              <w:t>60606</w:t>
            </w:r>
          </w:p>
        </w:tc>
        <w:tc>
          <w:tcPr>
            <w:tcW w:w="10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(Zip)</w:t>
            </w:r>
          </w:p>
        </w:tc>
      </w:tr>
      <w:tr>
        <w:trPr>
          <w:trHeight w:val="89"/>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0" w:type="dxa"/>
            <w:vAlign w:val="bottom"/>
          </w:tcPr>
          <w:p>
            <w:pPr>
              <w:spacing w:after="0"/>
              <w:rPr>
                <w:sz w:val="22"/>
                <w:szCs w:val="22"/>
                <w:color w:val="auto"/>
              </w:rPr>
            </w:pPr>
          </w:p>
        </w:tc>
        <w:tc>
          <w:tcPr>
            <w:tcW w:w="278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4" w:lineRule="exact"/>
              <w:rPr>
                <w:rFonts w:ascii="Arial" w:cs="Arial" w:eastAsia="Arial" w:hAnsi="Arial"/>
                <w:sz w:val="22"/>
                <w:szCs w:val="22"/>
                <w:color w:val="0000EE"/>
                <w:w w:val="91"/>
              </w:rPr>
            </w:pPr>
            <w:hyperlink r:id="rId15">
              <w:r>
                <w:rPr>
                  <w:rFonts w:ascii="Arial" w:cs="Arial" w:eastAsia="Arial" w:hAnsi="Arial"/>
                  <w:sz w:val="22"/>
                  <w:szCs w:val="22"/>
                  <w:color w:val="0000EE"/>
                  <w:w w:val="91"/>
                </w:rPr>
                <w:t>Levy Richard N</w:t>
              </w:r>
            </w:hyperlink>
          </w:p>
        </w:tc>
        <w:tc>
          <w:tcPr>
            <w:tcW w:w="1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tcPr>
          <w:p>
            <w:pPr>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VICTORY PARK CAPITAL ADVISORS, LLC</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150 NORTH RIVERSIDE PLAZA, SUITE 5200</w:t>
      </w:r>
    </w:p>
    <w:p>
      <w:pPr>
        <w:spacing w:after="0" w:line="291"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080"/>
          </w:cols>
          <w:pgMar w:left="460" w:top="226" w:right="359" w:bottom="145" w:gutter="0" w:footer="0" w:header="0"/>
          <w:type w:val="continuous"/>
        </w:sectPr>
      </w:pPr>
    </w:p>
    <w:p>
      <w:pPr>
        <w:spacing w:after="0" w:line="3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8"/>
          <w:szCs w:val="18"/>
          <w:color w:val="0000FF"/>
        </w:rPr>
        <w:t>CHICAGO</w:t>
      </w:r>
      <w:r>
        <w:rPr>
          <w:sz w:val="20"/>
          <w:szCs w:val="20"/>
          <w:color w:val="auto"/>
        </w:rPr>
        <w:tab/>
      </w:r>
      <w:r>
        <w:rPr>
          <w:rFonts w:ascii="Arial" w:cs="Arial" w:eastAsia="Arial" w:hAnsi="Arial"/>
          <w:sz w:val="18"/>
          <w:szCs w:val="18"/>
          <w:color w:val="0000FF"/>
        </w:rPr>
        <w:t>IL</w:t>
      </w:r>
      <w:r>
        <w:rPr>
          <w:sz w:val="20"/>
          <w:szCs w:val="20"/>
          <w:color w:val="auto"/>
        </w:rPr>
        <w:tab/>
      </w:r>
      <w:r>
        <w:rPr>
          <w:rFonts w:ascii="Arial" w:cs="Arial" w:eastAsia="Arial" w:hAnsi="Arial"/>
          <w:sz w:val="15"/>
          <w:szCs w:val="15"/>
          <w:color w:val="0000FF"/>
        </w:rPr>
        <w:t>60606</w:t>
      </w:r>
    </w:p>
    <w:p>
      <w:pPr>
        <w:sectPr>
          <w:pgSz w:w="11900" w:h="16838" w:orient="portrait"/>
          <w:cols w:equalWidth="0" w:num="1">
            <w:col w:w="11080"/>
          </w:cols>
          <w:pgMar w:left="460" w:top="226" w:right="359" w:bottom="145" w:gutter="0" w:footer="0" w:header="0"/>
          <w:type w:val="continuous"/>
        </w:sectPr>
      </w:pPr>
    </w:p>
    <w:bookmarkStart w:id="1" w:name="page2"/>
    <w:bookmarkEnd w:id="1"/>
    <w:p>
      <w:pPr>
        <w:ind w:left="80"/>
        <w:spacing w:after="0"/>
        <w:tabs>
          <w:tab w:leader="none" w:pos="1460" w:val="left"/>
          <w:tab w:leader="none" w:pos="286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284480</wp:posOffset>
            </wp:positionH>
            <wp:positionV relativeFrom="page">
              <wp:posOffset>88900</wp:posOffset>
            </wp:positionV>
            <wp:extent cx="2794000" cy="210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94000" cy="210185"/>
                    </a:xfrm>
                    <a:prstGeom prst="rect">
                      <a:avLst/>
                    </a:prstGeom>
                    <a:noFill/>
                  </pic:spPr>
                </pic:pic>
              </a:graphicData>
            </a:graphic>
          </wp:anchor>
        </w:drawing>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firstLine="9"/>
        <w:spacing w:after="0" w:line="230" w:lineRule="auto"/>
        <w:tabs>
          <w:tab w:leader="none" w:pos="13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effected multiple same-way open market sale transactions on the same day at different prices through a trade order executed by a broker-dealer. The reporting person reported on a single line all such transactions that occurred within a one dollar price range. The price reported in Column 4 is a weighted average price. These shares were sold in multiple transactions at prices ranging from $1.55-1.7108, inclusive. The reporting person hereby undertakes to provide upon request by the Securities Exchange Commission staff, the issuer, or a shareholder of the issuer, full information regarding the number of shares sold at each separate price.</w:t>
      </w:r>
    </w:p>
    <w:p>
      <w:pPr>
        <w:spacing w:after="0" w:line="31" w:lineRule="exact"/>
        <w:rPr>
          <w:rFonts w:ascii="Arial" w:cs="Arial" w:eastAsia="Arial" w:hAnsi="Arial"/>
          <w:sz w:val="14"/>
          <w:szCs w:val="14"/>
          <w:color w:val="008000"/>
        </w:rPr>
      </w:pPr>
    </w:p>
    <w:p>
      <w:pPr>
        <w:jc w:val="both"/>
        <w:ind w:right="220" w:firstLine="9"/>
        <w:spacing w:after="0" w:line="233" w:lineRule="auto"/>
        <w:tabs>
          <w:tab w:leader="none" w:pos="13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VPC Impact Acquisition Holdings Sponsor, LLC ("VIH Sponsor") is the record holder of the securities reported herein. Richard N. Levy, as Chief Executive Officer and Founder of Victory Park Capital Advisors, LLC, has voting and investment discretion with respect to the securities held of record by VIH Sponsor. Mr. Levy disclaims any beneficial ownership of the securities held by VIH Sponsor other than to the extent of any pecuniary interest he may have therein, directly or indirectly.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right="580"/>
        <w:spacing w:after="0" w:line="239" w:lineRule="auto"/>
        <w:rPr>
          <w:sz w:val="20"/>
          <w:szCs w:val="20"/>
          <w:color w:val="auto"/>
        </w:rPr>
      </w:pPr>
      <w:r>
        <w:rPr>
          <w:rFonts w:ascii="Arial" w:cs="Arial" w:eastAsia="Arial" w:hAnsi="Arial"/>
          <w:sz w:val="14"/>
          <w:szCs w:val="14"/>
          <w:color w:val="008000"/>
        </w:rPr>
        <w:t>The reporting persons both may be deemed a Director by Deputization. See Exhibit 99.1 - Joint Filer Information, which is incorporated herein by reference and describes in further detail the relationships of the Reporting Persons to the Issuer.</w:t>
      </w:r>
    </w:p>
    <w:p>
      <w:pPr>
        <w:spacing w:after="0" w:line="37" w:lineRule="exact"/>
        <w:rPr>
          <w:sz w:val="20"/>
          <w:szCs w:val="20"/>
          <w:color w:val="auto"/>
        </w:rPr>
      </w:pPr>
    </w:p>
    <w:tbl>
      <w:tblPr>
        <w:tblLayout w:type="fixed"/>
        <w:tblInd w:w="6540" w:type="dxa"/>
        <w:tblCellMar>
          <w:top w:w="0" w:type="dxa"/>
          <w:left w:w="0" w:type="dxa"/>
          <w:bottom w:w="0" w:type="dxa"/>
          <w:right w:w="0" w:type="dxa"/>
        </w:tblCellMar>
      </w:tblPr>
      <w:tr>
        <w:trPr>
          <w:trHeight w:val="207"/>
        </w:trPr>
        <w:tc>
          <w:tcPr>
            <w:tcW w:w="20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0000FF"/>
                <w:w w:val="88"/>
              </w:rPr>
              <w:t>/s/ Sam Tuttleman, Attorney-</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0000FF"/>
                <w:w w:val="91"/>
              </w:rPr>
              <w:t>in-Fact for VPC Impact</w:t>
            </w:r>
          </w:p>
        </w:tc>
        <w:tc>
          <w:tcPr>
            <w:tcW w:w="360" w:type="dxa"/>
            <w:vAlign w:val="bottom"/>
            <w:gridSpan w:val="2"/>
          </w:tcPr>
          <w:p>
            <w:pPr>
              <w:spacing w:after="0"/>
              <w:rPr>
                <w:sz w:val="17"/>
                <w:szCs w:val="17"/>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07/11/2023</w:t>
            </w:r>
          </w:p>
        </w:tc>
        <w:tc>
          <w:tcPr>
            <w:tcW w:w="0" w:type="dxa"/>
            <w:vAlign w:val="bottom"/>
          </w:tcPr>
          <w:p>
            <w:pPr>
              <w:spacing w:after="0"/>
              <w:rPr>
                <w:sz w:val="1"/>
                <w:szCs w:val="1"/>
                <w:color w:val="auto"/>
              </w:rPr>
            </w:pPr>
          </w:p>
        </w:tc>
      </w:tr>
      <w:tr>
        <w:trPr>
          <w:trHeight w:val="88"/>
        </w:trPr>
        <w:tc>
          <w:tcPr>
            <w:tcW w:w="15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2"/>
              </w:rPr>
              <w:t>Acquisition Holdings</w:t>
            </w:r>
          </w:p>
        </w:tc>
        <w:tc>
          <w:tcPr>
            <w:tcW w:w="520" w:type="dxa"/>
            <w:vAlign w:val="bottom"/>
            <w:gridSpan w:val="3"/>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20" w:type="dxa"/>
            <w:vAlign w:val="bottom"/>
            <w:tcBorders>
              <w:bottom w:val="single" w:sz="8" w:color="auto"/>
            </w:tcBorders>
            <w:gridSpan w:val="2"/>
            <w:vMerge w:val="continue"/>
          </w:tcPr>
          <w:p>
            <w:pPr>
              <w:spacing w:after="0"/>
              <w:rPr>
                <w:sz w:val="7"/>
                <w:szCs w:val="7"/>
                <w:color w:val="auto"/>
              </w:rPr>
            </w:pPr>
          </w:p>
        </w:tc>
        <w:tc>
          <w:tcPr>
            <w:tcW w:w="5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0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Sponsor, LLC</w:t>
            </w:r>
          </w:p>
        </w:tc>
        <w:tc>
          <w:tcPr>
            <w:tcW w:w="104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0000FF"/>
                <w:w w:val="88"/>
              </w:rPr>
              <w:t>/s/ Sam Tuttleman, Attorney-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07/11/2023</w:t>
            </w:r>
          </w:p>
        </w:tc>
        <w:tc>
          <w:tcPr>
            <w:tcW w:w="0" w:type="dxa"/>
            <w:vAlign w:val="bottom"/>
          </w:tcPr>
          <w:p>
            <w:pPr>
              <w:spacing w:after="0"/>
              <w:rPr>
                <w:sz w:val="1"/>
                <w:szCs w:val="1"/>
                <w:color w:val="auto"/>
              </w:rPr>
            </w:pPr>
          </w:p>
        </w:tc>
      </w:tr>
      <w:tr>
        <w:trPr>
          <w:trHeight w:val="88"/>
        </w:trPr>
        <w:tc>
          <w:tcPr>
            <w:tcW w:w="1980" w:type="dxa"/>
            <w:vAlign w:val="bottom"/>
            <w:gridSpan w:val="4"/>
            <w:vMerge w:val="restart"/>
          </w:tcPr>
          <w:p>
            <w:pPr>
              <w:spacing w:after="0" w:line="196" w:lineRule="exact"/>
              <w:rPr>
                <w:sz w:val="20"/>
                <w:szCs w:val="20"/>
                <w:color w:val="auto"/>
              </w:rPr>
            </w:pPr>
            <w:r>
              <w:rPr>
                <w:rFonts w:ascii="Arial" w:cs="Arial" w:eastAsia="Arial" w:hAnsi="Arial"/>
                <w:sz w:val="18"/>
                <w:szCs w:val="18"/>
                <w:color w:val="0000FF"/>
                <w:w w:val="91"/>
              </w:rPr>
              <w:t>in-Fact for Richard N. Levy</w:t>
            </w:r>
          </w:p>
        </w:tc>
        <w:tc>
          <w:tcPr>
            <w:tcW w:w="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980" w:type="dxa"/>
            <w:vAlign w:val="bottom"/>
            <w:tcBorders>
              <w:bottom w:val="single" w:sz="8" w:color="auto"/>
            </w:tcBorders>
            <w:gridSpan w:val="4"/>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40" w:type="dxa"/>
            <w:vAlign w:val="bottom"/>
            <w:gridSpan w:val="5"/>
          </w:tcPr>
          <w:p>
            <w:pPr>
              <w:spacing w:after="0"/>
              <w:rPr>
                <w:sz w:val="20"/>
                <w:szCs w:val="20"/>
                <w:color w:val="auto"/>
              </w:rPr>
            </w:pPr>
            <w:r>
              <w:rPr>
                <w:rFonts w:ascii="Arial" w:cs="Arial" w:eastAsia="Arial" w:hAnsi="Arial"/>
                <w:sz w:val="14"/>
                <w:szCs w:val="14"/>
                <w:color w:val="auto"/>
                <w:w w:val="99"/>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06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80"/>
          </w:cols>
          <w:pgMar w:left="500" w:top="169" w:right="519" w:bottom="1440" w:gutter="0" w:footer="0" w:header="0"/>
        </w:sectPr>
      </w:pPr>
    </w:p>
    <w:bookmarkStart w:id="2" w:name="page3"/>
    <w:bookmarkEnd w:id="2"/>
    <w:p>
      <w:pPr>
        <w:jc w:val="right"/>
        <w:ind w:right="1839"/>
        <w:spacing w:after="0"/>
        <w:rPr>
          <w:sz w:val="20"/>
          <w:szCs w:val="20"/>
          <w:color w:val="auto"/>
        </w:rPr>
      </w:pPr>
      <w:r>
        <w:rPr>
          <w:rFonts w:ascii="Courier New" w:cs="Courier New" w:eastAsia="Courier New" w:hAnsi="Courier New"/>
          <w:sz w:val="18"/>
          <w:szCs w:val="18"/>
          <w:color w:val="auto"/>
        </w:rPr>
        <w:t>Exhibit 99.1</w:t>
      </w:r>
    </w:p>
    <w:p>
      <w:pPr>
        <w:spacing w:after="0" w:line="202" w:lineRule="exact"/>
        <w:rPr>
          <w:sz w:val="20"/>
          <w:szCs w:val="20"/>
          <w:color w:val="auto"/>
        </w:rPr>
      </w:pPr>
    </w:p>
    <w:p>
      <w:pPr>
        <w:ind w:left="2020"/>
        <w:spacing w:after="0"/>
        <w:rPr>
          <w:sz w:val="20"/>
          <w:szCs w:val="20"/>
          <w:color w:val="auto"/>
        </w:rPr>
      </w:pPr>
      <w:r>
        <w:rPr>
          <w:rFonts w:ascii="Courier New" w:cs="Courier New" w:eastAsia="Courier New" w:hAnsi="Courier New"/>
          <w:sz w:val="18"/>
          <w:szCs w:val="18"/>
          <w:color w:val="auto"/>
        </w:rPr>
        <w:t>Joint Filer Information</w:t>
      </w:r>
    </w:p>
    <w:p>
      <w:pPr>
        <w:sectPr>
          <w:pgSz w:w="11900" w:h="16838" w:orient="portrait"/>
          <w:cols w:equalWidth="0" w:num="1">
            <w:col w:w="9999"/>
          </w:cols>
          <w:pgMar w:left="460" w:top="298" w:right="1440" w:bottom="1440" w:gutter="0" w:footer="0" w:header="0"/>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Joint Filer: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Relationship of Joint Filer to Issuer:</w:t>
      </w:r>
    </w:p>
    <w:p>
      <w:pPr>
        <w:spacing w:after="0" w:line="200" w:lineRule="exact"/>
        <w:rPr>
          <w:sz w:val="20"/>
          <w:szCs w:val="20"/>
          <w:color w:val="auto"/>
        </w:rPr>
      </w:pPr>
    </w:p>
    <w:p>
      <w:pPr>
        <w:spacing w:after="0" w:line="227" w:lineRule="exact"/>
        <w:rPr>
          <w:sz w:val="20"/>
          <w:szCs w:val="20"/>
          <w:color w:val="auto"/>
        </w:rPr>
      </w:pPr>
    </w:p>
    <w:p>
      <w:pPr>
        <w:ind w:right="1680"/>
        <w:spacing w:after="0" w:line="350" w:lineRule="auto"/>
        <w:rPr>
          <w:sz w:val="20"/>
          <w:szCs w:val="20"/>
          <w:color w:val="auto"/>
        </w:rPr>
      </w:pPr>
      <w:r>
        <w:rPr>
          <w:rFonts w:ascii="Courier New" w:cs="Courier New" w:eastAsia="Courier New" w:hAnsi="Courier New"/>
          <w:sz w:val="16"/>
          <w:szCs w:val="16"/>
          <w:color w:val="auto"/>
        </w:rPr>
        <w:t>Issuer Name and Ticker or Trading Symbol:</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Event Requiring Statement: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(Month/Day/Year):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Joint Filer: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Relationship of Joint Filer to Issuer:</w:t>
      </w:r>
    </w:p>
    <w:p>
      <w:pPr>
        <w:spacing w:after="0" w:line="200" w:lineRule="exact"/>
        <w:rPr>
          <w:sz w:val="20"/>
          <w:szCs w:val="20"/>
          <w:color w:val="auto"/>
        </w:rPr>
      </w:pPr>
    </w:p>
    <w:p>
      <w:pPr>
        <w:spacing w:after="0" w:line="227" w:lineRule="exact"/>
        <w:rPr>
          <w:sz w:val="20"/>
          <w:szCs w:val="20"/>
          <w:color w:val="auto"/>
        </w:rPr>
      </w:pPr>
    </w:p>
    <w:p>
      <w:pPr>
        <w:ind w:right="1680"/>
        <w:spacing w:after="0" w:line="350" w:lineRule="auto"/>
        <w:rPr>
          <w:sz w:val="20"/>
          <w:szCs w:val="20"/>
          <w:color w:val="auto"/>
        </w:rPr>
      </w:pPr>
      <w:r>
        <w:rPr>
          <w:rFonts w:ascii="Courier New" w:cs="Courier New" w:eastAsia="Courier New" w:hAnsi="Courier New"/>
          <w:sz w:val="16"/>
          <w:szCs w:val="16"/>
          <w:color w:val="auto"/>
        </w:rPr>
        <w:t>Issuer Name and Ticker or Trading Symbol:</w:t>
      </w: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Event Requiring Statement: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(Month/Day/Year):</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2379"/>
        <w:spacing w:after="0" w:line="284" w:lineRule="auto"/>
        <w:rPr>
          <w:sz w:val="20"/>
          <w:szCs w:val="20"/>
          <w:color w:val="auto"/>
        </w:rPr>
      </w:pPr>
      <w:r>
        <w:rPr>
          <w:rFonts w:ascii="Courier New" w:cs="Courier New" w:eastAsia="Courier New" w:hAnsi="Courier New"/>
          <w:sz w:val="18"/>
          <w:szCs w:val="18"/>
          <w:color w:val="auto"/>
        </w:rPr>
        <w:t>VPC Impact Acquisition Holdings Sponsor, LLC</w:t>
      </w:r>
    </w:p>
    <w:p>
      <w:pPr>
        <w:spacing w:after="0" w:line="329" w:lineRule="exact"/>
        <w:rPr>
          <w:sz w:val="20"/>
          <w:szCs w:val="20"/>
          <w:color w:val="auto"/>
        </w:rPr>
      </w:pPr>
    </w:p>
    <w:p>
      <w:pPr>
        <w:ind w:right="1639"/>
        <w:spacing w:after="0" w:line="261" w:lineRule="auto"/>
        <w:rPr>
          <w:sz w:val="20"/>
          <w:szCs w:val="20"/>
          <w:color w:val="auto"/>
        </w:rPr>
      </w:pPr>
      <w:r>
        <w:rPr>
          <w:rFonts w:ascii="Courier New" w:cs="Courier New" w:eastAsia="Courier New" w:hAnsi="Courier New"/>
          <w:sz w:val="18"/>
          <w:szCs w:val="18"/>
          <w:color w:val="auto"/>
        </w:rPr>
        <w:t>c/o Victory Park Capital Advisors, LLC 150 North Riverside Plaza, Suite 5200 Chicago, Illinois 60606</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(See Remarks)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Bakkt Holdings, Inc. [BKKT]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07/11/2023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N. Levy</w:t>
      </w:r>
    </w:p>
    <w:p>
      <w:pPr>
        <w:spacing w:after="0" w:line="200" w:lineRule="exact"/>
        <w:rPr>
          <w:sz w:val="20"/>
          <w:szCs w:val="20"/>
          <w:color w:val="auto"/>
        </w:rPr>
      </w:pPr>
    </w:p>
    <w:p>
      <w:pPr>
        <w:spacing w:after="0" w:line="204" w:lineRule="exact"/>
        <w:rPr>
          <w:sz w:val="20"/>
          <w:szCs w:val="20"/>
          <w:color w:val="auto"/>
        </w:rPr>
      </w:pPr>
    </w:p>
    <w:p>
      <w:pPr>
        <w:ind w:right="1639"/>
        <w:spacing w:after="0" w:line="261" w:lineRule="auto"/>
        <w:rPr>
          <w:sz w:val="20"/>
          <w:szCs w:val="20"/>
          <w:color w:val="auto"/>
        </w:rPr>
      </w:pPr>
      <w:r>
        <w:rPr>
          <w:rFonts w:ascii="Courier New" w:cs="Courier New" w:eastAsia="Courier New" w:hAnsi="Courier New"/>
          <w:sz w:val="18"/>
          <w:szCs w:val="18"/>
          <w:color w:val="auto"/>
        </w:rPr>
        <w:t>c/o Victory Park Capital Advisors, LLC 150 North Riverside Plaza, Suite 5200 Chicago, Illinois 60606</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(See Remarks)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Bakkt Holdings, Inc. [BKKT]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07/11/2023</w:t>
      </w:r>
    </w:p>
    <w:sectPr>
      <w:pgSz w:w="11900" w:h="16838" w:orient="portrait"/>
      <w:cols w:equalWidth="0" w:num="2">
        <w:col w:w="4020" w:space="320"/>
        <w:col w:w="5659"/>
      </w:cols>
      <w:pgMar w:left="460" w:top="29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2" Type="http://schemas.openxmlformats.org/officeDocument/2006/relationships/hyperlink" Target="http://www.sec.gov/cgi-bin/browse-edgar?action=getcompany&amp;CIK=0001825041" TargetMode="External"/><Relationship Id="rId13" Type="http://schemas.openxmlformats.org/officeDocument/2006/relationships/hyperlink" Target="http://www.sec.gov/cgi-bin/browse-edgar?action=getcompany&amp;CIK=0001820302" TargetMode="External"/><Relationship Id="rId15" Type="http://schemas.openxmlformats.org/officeDocument/2006/relationships/hyperlink" Target="http://www.sec.gov/cgi-bin/browse-edgar?action=getcompany&amp;CIK=00014138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2023-07-11T15:09:40Z</dcterms:created>
  <dcterms:modified xsi:type="dcterms:W3CDTF">2023-07-11T15:09:40Z</dcterms:modified>
</cp:coreProperties>
</file>