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584"/>
        <w:spacing w:after="0"/>
        <w:rPr>
          <w:sz w:val="20"/>
          <w:szCs w:val="20"/>
          <w:color w:val="auto"/>
        </w:rPr>
      </w:pPr>
      <w:r>
        <w:rPr>
          <w:rFonts w:ascii="Arial" w:cs="Arial" w:eastAsia="Arial" w:hAnsi="Arial"/>
          <w:sz w:val="16"/>
          <w:szCs w:val="16"/>
          <w:b w:val="1"/>
          <w:bCs w:val="1"/>
          <w:color w:val="auto"/>
        </w:rPr>
        <w:t>10000 Avalon Boulevard, Suite 1000, Alpharetta, Georgia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30009</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180"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Warrants to purchase Class A Common Stock</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BKKT WS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 October 25, 2021, Bakkt Holdings, Inc. (the “Company”) issued a press release announcing the partnership between the Company and Mastercard for certain product offerings, a copy of which is furnished herewith as Exhibit 99.1. Additionally, on October 25, 2021, Fiserv, Inc. issued a press release announcing the strategic partnership between the Company and Fiserv, Inc. for certain product offerings, a copy of which is furnished herewith as Exhibit 99.2.</w:t>
      </w:r>
    </w:p>
    <w:p>
      <w:pPr>
        <w:spacing w:after="0" w:line="187"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The information in this Current Report on Form 8-K and Exhibits 99.1 and 99.2 are being furnished and shall not be deemed to be “filed” for purposes of Section 18 of the Securities Exchange Act of 1934, as amended (the “Exchange Act”), or otherwise subject to the liabilities of that section, nor shall such information or exhibits be deemed incorporated by reference in any filing made by the Company under the Securities Act of 1933, as amended, or the Exchange Act, except as shall be expressly set forth by specific reference in such a filing.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20" w:type="dxa"/>
            <w:vAlign w:val="bottom"/>
          </w:tcPr>
          <w:p>
            <w:pPr>
              <w:spacing w:after="0"/>
              <w:rPr>
                <w:sz w:val="15"/>
                <w:szCs w:val="15"/>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c>
          <w:tcPr>
            <w:tcW w:w="700" w:type="dxa"/>
            <w:vAlign w:val="bottom"/>
          </w:tcPr>
          <w:p>
            <w:pPr>
              <w:spacing w:after="0"/>
              <w:rPr>
                <w:sz w:val="15"/>
                <w:szCs w:val="15"/>
                <w:color w:val="auto"/>
              </w:rPr>
            </w:pP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3"/>
                <w:szCs w:val="23"/>
                <w:color w:val="auto"/>
              </w:rPr>
            </w:pPr>
          </w:p>
        </w:tc>
        <w:tc>
          <w:tcPr>
            <w:tcW w:w="59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Bakkt Holdings, Inc. Press Release, dated October 25, 2021 (Furnished herewith).</w:t>
              </w:r>
            </w:hyperlink>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720" w:type="dxa"/>
            <w:vAlign w:val="bottom"/>
          </w:tcPr>
          <w:p>
            <w:pPr>
              <w:spacing w:after="0"/>
              <w:rPr>
                <w:sz w:val="24"/>
                <w:szCs w:val="24"/>
                <w:color w:val="auto"/>
              </w:rPr>
            </w:pPr>
          </w:p>
        </w:tc>
        <w:tc>
          <w:tcPr>
            <w:tcW w:w="522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Fiserv, Inc. Press Release, dated October 25, 2021 (Furnished herewith).</w:t>
              </w:r>
            </w:hyperlink>
          </w:p>
        </w:tc>
        <w:tc>
          <w:tcPr>
            <w:tcW w:w="700" w:type="dxa"/>
            <w:vAlign w:val="bottom"/>
          </w:tcPr>
          <w:p>
            <w:pPr>
              <w:spacing w:after="0"/>
              <w:rPr>
                <w:sz w:val="24"/>
                <w:szCs w:val="24"/>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720" w:type="dxa"/>
            <w:vAlign w:val="bottom"/>
          </w:tcPr>
          <w:p>
            <w:pPr>
              <w:spacing w:after="0"/>
              <w:rPr>
                <w:sz w:val="24"/>
                <w:szCs w:val="24"/>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w w:val="93"/>
              </w:rPr>
              <w:t>Cover Page Interactive Data File (embedded within the Inline XBRL document).</w:t>
            </w:r>
          </w:p>
        </w:tc>
      </w:tr>
    </w:tbl>
    <w:p>
      <w:pPr>
        <w:sectPr>
          <w:pgSz w:w="11900" w:h="16838" w:orient="portrait"/>
          <w:cols w:equalWidth="0" w:num="1">
            <w:col w:w="10880"/>
          </w:cols>
          <w:pgMar w:left="440" w:top="297" w:right="57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BAKKT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Marc D’Annunzio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Mastercard and Bakkt Partner to Offer Innovative Crypto and Loyalty Solutions</w:t>
      </w:r>
    </w:p>
    <w:p>
      <w:pPr>
        <w:spacing w:after="0" w:line="229" w:lineRule="exact"/>
        <w:rPr>
          <w:sz w:val="20"/>
          <w:szCs w:val="20"/>
          <w:color w:val="auto"/>
        </w:rPr>
      </w:pPr>
    </w:p>
    <w:p>
      <w:pPr>
        <w:jc w:val="center"/>
        <w:ind w:right="16"/>
        <w:spacing w:after="0" w:line="277" w:lineRule="auto"/>
        <w:rPr>
          <w:sz w:val="20"/>
          <w:szCs w:val="20"/>
          <w:color w:val="auto"/>
        </w:rPr>
      </w:pPr>
      <w:r>
        <w:rPr>
          <w:rFonts w:ascii="Arial" w:cs="Arial" w:eastAsia="Arial" w:hAnsi="Arial"/>
          <w:sz w:val="18"/>
          <w:szCs w:val="18"/>
          <w:i w:val="1"/>
          <w:iCs w:val="1"/>
          <w:color w:val="auto"/>
        </w:rPr>
        <w:t>Mastercard customers can now enable consumers to buy, sell and hold cryptocurrency, deliver unique, crypto-centric loyalty opportunities, and streamline issuance of branded crypto debit and credit cards</w:t>
      </w:r>
    </w:p>
    <w:p>
      <w:pPr>
        <w:spacing w:after="0" w:line="166" w:lineRule="exact"/>
        <w:rPr>
          <w:sz w:val="20"/>
          <w:szCs w:val="20"/>
          <w:color w:val="auto"/>
        </w:rPr>
      </w:pPr>
    </w:p>
    <w:p>
      <w:pPr>
        <w:ind w:left="4" w:right="220"/>
        <w:spacing w:after="0" w:line="314" w:lineRule="auto"/>
        <w:rPr>
          <w:sz w:val="20"/>
          <w:szCs w:val="20"/>
          <w:color w:val="auto"/>
        </w:rPr>
      </w:pPr>
      <w:r>
        <w:rPr>
          <w:rFonts w:ascii="Arial" w:cs="Arial" w:eastAsia="Arial" w:hAnsi="Arial"/>
          <w:sz w:val="16"/>
          <w:szCs w:val="16"/>
          <w:b w:val="1"/>
          <w:bCs w:val="1"/>
          <w:color w:val="auto"/>
        </w:rPr>
        <w:t>LAS VEGAS, ALPHARETTA, GA and PURCHASE, NY – October 25, 2021 – Today at Money20/20, Mastercard (NYSE: MA) and Bakkt (NYSE: BKKT) announced a multifaceted partnership to make it easier for merchants, banks and fintechs in the U.S. to embrace and offer a broad set of cryptocurrency solutions and services. Consumers, in turn, will experience expanded access to the digital asset ecosystem.</w:t>
      </w:r>
    </w:p>
    <w:p>
      <w:pPr>
        <w:spacing w:after="0" w:line="146" w:lineRule="exact"/>
        <w:rPr>
          <w:sz w:val="20"/>
          <w:szCs w:val="20"/>
          <w:color w:val="auto"/>
        </w:rPr>
      </w:pPr>
    </w:p>
    <w:p>
      <w:pPr>
        <w:ind w:left="4" w:right="360"/>
        <w:spacing w:after="0" w:line="259" w:lineRule="auto"/>
        <w:rPr>
          <w:sz w:val="20"/>
          <w:szCs w:val="20"/>
          <w:color w:val="auto"/>
        </w:rPr>
      </w:pPr>
      <w:r>
        <w:rPr>
          <w:rFonts w:ascii="Arial" w:cs="Arial" w:eastAsia="Arial" w:hAnsi="Arial"/>
          <w:sz w:val="18"/>
          <w:szCs w:val="18"/>
          <w:color w:val="auto"/>
        </w:rPr>
        <w:t>Bakkt extends Mastercard’s ecosystem of cryptocurrency partners enabling Crypto-as-a-Service, which provides quick access to cryptocurrency capabilities. Through the power of the Mastercard network and Bakkt’s trusted digital asset platform, Mastercard partners will be able to offer cryptocurrency solutions. These include the ability for consumers to buy, sell and hold digital assets through custodial wallets powered by the Bakkt platform and streamlined issuance of branded crypto debit and credit cards.</w:t>
      </w:r>
    </w:p>
    <w:p>
      <w:pPr>
        <w:spacing w:after="0" w:line="187"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Mastercard will also integrate crypto into its loyalty solutions, enabling its partners to offer cryptocurrency as rewards and create fungibility between loyalty points and other digital assets. This means that consumers can earn and spend rewards in cryptocurrency instead of traditional loyalty points and seamlessly convert their crypto holdings to pay for purchases. This is the latest move by Mastercard to bring innovative loyalty options to consumers that align with their passion points.</w:t>
      </w:r>
    </w:p>
    <w:p>
      <w:pPr>
        <w:spacing w:after="0" w:line="187" w:lineRule="exact"/>
        <w:rPr>
          <w:sz w:val="20"/>
          <w:szCs w:val="20"/>
          <w:color w:val="auto"/>
        </w:rPr>
      </w:pPr>
    </w:p>
    <w:p>
      <w:pPr>
        <w:jc w:val="both"/>
        <w:ind w:left="4" w:right="240"/>
        <w:spacing w:after="0" w:line="311" w:lineRule="auto"/>
        <w:rPr>
          <w:sz w:val="20"/>
          <w:szCs w:val="20"/>
          <w:color w:val="auto"/>
        </w:rPr>
      </w:pPr>
      <w:r>
        <w:rPr>
          <w:rFonts w:ascii="Arial" w:cs="Arial" w:eastAsia="Arial" w:hAnsi="Arial"/>
          <w:sz w:val="16"/>
          <w:szCs w:val="16"/>
          <w:color w:val="auto"/>
        </w:rPr>
        <w:t>“Mastercard is committed to offering a wide range of payment solutions that deliver more choice, value and impact every day,” said Sherri Haymond, executive vice president, Digital Partnerships at Mastercard. “Together with Bakkt and grounded by our principled approach to innovation, we’ll not only empower our partners to offer a dynamic mix of digital assets options, but also deliver differentiated and relevant consumer experiences.”</w:t>
      </w:r>
    </w:p>
    <w:p>
      <w:pPr>
        <w:spacing w:after="0" w:line="149" w:lineRule="exact"/>
        <w:rPr>
          <w:sz w:val="20"/>
          <w:szCs w:val="20"/>
          <w:color w:val="auto"/>
        </w:rPr>
      </w:pPr>
    </w:p>
    <w:p>
      <w:pPr>
        <w:ind w:left="4" w:right="480"/>
        <w:spacing w:after="0" w:line="301" w:lineRule="auto"/>
        <w:rPr>
          <w:sz w:val="20"/>
          <w:szCs w:val="20"/>
          <w:color w:val="auto"/>
        </w:rPr>
      </w:pPr>
      <w:r>
        <w:rPr>
          <w:rFonts w:ascii="Arial" w:cs="Arial" w:eastAsia="Arial" w:hAnsi="Arial"/>
          <w:sz w:val="16"/>
          <w:szCs w:val="16"/>
          <w:color w:val="auto"/>
        </w:rPr>
        <w:t>Consumers continue to seek out crypto assets as an option for everyday purchases. In the Bakkt U.S. Consumer Crypto Survey</w:t>
      </w:r>
      <w:r>
        <w:rPr>
          <w:rFonts w:ascii="Arial" w:cs="Arial" w:eastAsia="Arial" w:hAnsi="Arial"/>
          <w:sz w:val="13"/>
          <w:szCs w:val="13"/>
          <w:color w:val="auto"/>
        </w:rPr>
        <w:t>1</w:t>
      </w:r>
      <w:r>
        <w:rPr>
          <w:rFonts w:ascii="Arial" w:cs="Arial" w:eastAsia="Arial" w:hAnsi="Arial"/>
          <w:sz w:val="16"/>
          <w:szCs w:val="16"/>
          <w:color w:val="auto"/>
        </w:rPr>
        <w:t xml:space="preserve"> of 2,000 U.S. Consumers, nearly half (48%) of respondents reported purchasing crypto in the first half of 2021, while 32% of those who didn’t are either very or somewhat interested in doing so before year-end. And, according to the </w:t>
      </w:r>
      <w:r>
        <w:rPr>
          <w:rFonts w:ascii="Arial" w:cs="Arial" w:eastAsia="Arial" w:hAnsi="Arial"/>
          <w:sz w:val="16"/>
          <w:szCs w:val="16"/>
          <w:u w:val="single" w:color="auto"/>
          <w:color w:val="auto"/>
        </w:rPr>
        <w:t>Mastercard New Payments Index</w:t>
      </w:r>
      <w:r>
        <w:rPr>
          <w:rFonts w:ascii="Arial" w:cs="Arial" w:eastAsia="Arial" w:hAnsi="Arial"/>
          <w:sz w:val="16"/>
          <w:szCs w:val="16"/>
          <w:color w:val="auto"/>
        </w:rPr>
        <w:t>, 77% of millennials stated that they are interested in learning more about cryptocurrency, with 75% saying that they would use cryptocurrency if they understood it better.</w:t>
      </w:r>
    </w:p>
    <w:p>
      <w:pPr>
        <w:spacing w:after="0" w:line="157" w:lineRule="exact"/>
        <w:rPr>
          <w:sz w:val="20"/>
          <w:szCs w:val="20"/>
          <w:color w:val="auto"/>
        </w:rPr>
      </w:pPr>
    </w:p>
    <w:p>
      <w:pPr>
        <w:ind w:left="4" w:right="240"/>
        <w:spacing w:after="0" w:line="286" w:lineRule="auto"/>
        <w:rPr>
          <w:sz w:val="20"/>
          <w:szCs w:val="20"/>
          <w:color w:val="auto"/>
        </w:rPr>
      </w:pPr>
      <w:r>
        <w:rPr>
          <w:rFonts w:ascii="Arial" w:cs="Arial" w:eastAsia="Arial" w:hAnsi="Arial"/>
          <w:sz w:val="17"/>
          <w:szCs w:val="17"/>
          <w:color w:val="auto"/>
        </w:rPr>
        <w:t>“We’re incredibly excited to partner with Mastercard to bring crypto loyalty services to millions of consumers,” said Nancy Gordon, EVP, Loyalty Rewards &amp; Payments at Bakkt. “As brands and merchants look to appeal to younger consumers and their transaction preferences, these new offerings represent a unique opportunity to satisfy increasing demand for crypto, payment and rewards flexibility.”</w:t>
      </w:r>
    </w:p>
    <w:p>
      <w:pPr>
        <w:spacing w:after="0" w:line="165" w:lineRule="exact"/>
        <w:rPr>
          <w:sz w:val="20"/>
          <w:szCs w:val="20"/>
          <w:color w:val="auto"/>
        </w:rPr>
      </w:pPr>
    </w:p>
    <w:p>
      <w:pPr>
        <w:ind w:left="4" w:right="660"/>
        <w:spacing w:after="0" w:line="255" w:lineRule="auto"/>
        <w:rPr>
          <w:sz w:val="20"/>
          <w:szCs w:val="20"/>
          <w:color w:val="auto"/>
        </w:rPr>
      </w:pPr>
      <w:r>
        <w:rPr>
          <w:rFonts w:ascii="Arial" w:cs="Arial" w:eastAsia="Arial" w:hAnsi="Arial"/>
          <w:sz w:val="18"/>
          <w:szCs w:val="18"/>
          <w:color w:val="auto"/>
        </w:rPr>
        <w:t>This partnership builds on both companies’ commitment to the crypto ecosystem. Bakkt publicly listed on the NYSE under the ticker BKKT on October 18, 2021, while Mastercard continues to invest in the digital asset space through several initiatives. This includes the acquisition of CipherTrace, partnerships</w:t>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leading crypto players, the creation of new platforms to test and support central bank digital currencies, and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5"/>
          <w:szCs w:val="15"/>
          <w:color w:val="auto"/>
        </w:rPr>
      </w:pPr>
      <w:r>
        <w:rPr>
          <w:rFonts w:ascii="Arial" w:cs="Arial" w:eastAsia="Arial" w:hAnsi="Arial"/>
          <w:sz w:val="18"/>
          <w:szCs w:val="18"/>
          <w:color w:val="auto"/>
        </w:rPr>
        <w:t xml:space="preserve">To view the full findings from the Bakkt U.S. Consumer Crypto Survey </w:t>
      </w:r>
      <w:r>
        <w:rPr>
          <w:rFonts w:ascii="Arial" w:cs="Arial" w:eastAsia="Arial" w:hAnsi="Arial"/>
          <w:sz w:val="18"/>
          <w:szCs w:val="18"/>
          <w:u w:val="single" w:color="auto"/>
          <w:color w:val="auto"/>
        </w:rPr>
        <w:t>click here</w:t>
      </w:r>
      <w:r>
        <w:rPr>
          <w:rFonts w:ascii="Arial" w:cs="Arial" w:eastAsia="Arial" w:hAnsi="Arial"/>
          <w:sz w:val="18"/>
          <w:szCs w:val="18"/>
          <w:color w:val="auto"/>
        </w:rPr>
        <w:t>.</w:t>
      </w:r>
    </w:p>
    <w:p>
      <w:pPr>
        <w:sectPr>
          <w:pgSz w:w="11900" w:h="16838" w:orient="portrait"/>
          <w:cols w:equalWidth="0" w:num="1">
            <w:col w:w="11024"/>
          </w:cols>
          <w:pgMar w:left="436" w:top="121"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221"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b w:val="1"/>
          <w:bCs w:val="1"/>
          <w:color w:val="auto"/>
        </w:rPr>
        <w:t xml:space="preserve">About Bakkt </w:t>
      </w:r>
      <w:r>
        <w:rPr>
          <w:rFonts w:ascii="Arial" w:cs="Arial" w:eastAsia="Arial" w:hAnsi="Arial"/>
          <w:sz w:val="16"/>
          <w:szCs w:val="16"/>
          <w:color w:val="auto"/>
        </w:rPr>
        <w:t>Bakkt is a trusted digital asset platform that enables consumers to buy, sell, store and spend digital assets. Bakkt’s consumer platform,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available through the recently released Bakkt app and to partners through the Bakkt platform, amplifies consumer spending and bolsters loyalty programs, adding value for all key stakeholders within the Bakkt payments and digital assets ecosystem. Launched in 2018, Bakkt is headquartered in Alpharetta, GA. For more information, visit: </w:t>
      </w:r>
      <w:r>
        <w:rPr>
          <w:rFonts w:ascii="Arial" w:cs="Arial" w:eastAsia="Arial" w:hAnsi="Arial"/>
          <w:sz w:val="16"/>
          <w:szCs w:val="16"/>
          <w:u w:val="single" w:color="auto"/>
          <w:color w:val="auto"/>
        </w:rPr>
        <w:t>https://www.bakkt.com/</w:t>
      </w:r>
      <w:r>
        <w:rPr>
          <w:rFonts w:ascii="Arial" w:cs="Arial" w:eastAsia="Arial" w:hAnsi="Arial"/>
          <w:sz w:val="16"/>
          <w:szCs w:val="16"/>
          <w:color w:val="auto"/>
        </w:rPr>
        <w:t xml:space="preserve"> | Twitter </w:t>
      </w:r>
      <w:r>
        <w:rPr>
          <w:rFonts w:ascii="Arial" w:cs="Arial" w:eastAsia="Arial" w:hAnsi="Arial"/>
          <w:sz w:val="16"/>
          <w:szCs w:val="16"/>
          <w:u w:val="single" w:color="auto"/>
          <w:color w:val="auto"/>
        </w:rPr>
        <w:t>@Bakkt</w:t>
      </w:r>
      <w:r>
        <w:rPr>
          <w:rFonts w:ascii="Arial" w:cs="Arial" w:eastAsia="Arial" w:hAnsi="Arial"/>
          <w:sz w:val="16"/>
          <w:szCs w:val="16"/>
          <w:color w:val="auto"/>
        </w:rPr>
        <w:t xml:space="preserve"> | LinkedIn </w:t>
      </w:r>
      <w:r>
        <w:rPr>
          <w:rFonts w:ascii="Arial" w:cs="Arial" w:eastAsia="Arial" w:hAnsi="Arial"/>
          <w:sz w:val="16"/>
          <w:szCs w:val="16"/>
          <w:u w:val="single" w:color="auto"/>
          <w:color w:val="auto"/>
        </w:rPr>
        <w:t>https://www.linkedin.com/company/bakkt/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download the Bakkt App, visit the </w:t>
      </w:r>
      <w:r>
        <w:rPr>
          <w:rFonts w:ascii="Arial" w:cs="Arial" w:eastAsia="Arial" w:hAnsi="Arial"/>
          <w:sz w:val="18"/>
          <w:szCs w:val="18"/>
          <w:u w:val="single" w:color="auto"/>
          <w:color w:val="auto"/>
        </w:rPr>
        <w:t>App Store</w:t>
      </w:r>
      <w:r>
        <w:rPr>
          <w:rFonts w:ascii="Arial" w:cs="Arial" w:eastAsia="Arial" w:hAnsi="Arial"/>
          <w:sz w:val="15"/>
          <w:szCs w:val="15"/>
          <w:u w:val="single" w:color="auto"/>
          <w:color w:val="auto"/>
        </w:rPr>
        <w: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Google Play Store</w:t>
      </w:r>
      <w:r>
        <w:rPr>
          <w:rFonts w:ascii="Arial" w:cs="Arial" w:eastAsia="Arial" w:hAnsi="Arial"/>
          <w:sz w:val="15"/>
          <w:szCs w:val="15"/>
          <w:u w:val="single" w:color="auto"/>
          <w:color w:val="auto"/>
        </w:rPr>
        <w:t>TM</w:t>
      </w:r>
      <w:r>
        <w:rPr>
          <w:rFonts w:ascii="Arial" w:cs="Arial" w:eastAsia="Arial" w:hAnsi="Arial"/>
          <w:sz w:val="18"/>
          <w:szCs w:val="18"/>
          <w:color w:val="auto"/>
        </w:rPr>
        <w: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Mastercard (NYSE: MA)</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Mastercard is a global technology company in the payments industry. Our mission is to connect and power an inclusive, digital economy that benefits everyone, everywhere by making transactions safe, simple, smart and accessible. Using secure data and networks, partnerships and passion, our innovations and solutions help individuals, financial institutions, governments and businesses realize their greatest potential. Our decency quotient, or DQ, drives our culture and everything we do inside and outside of our company. With connections across more than 210 countries and territories, we are building a sustainable world that unlocks priceless possibilities for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www.mastercard.com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Bakkt Forward-Looking Statements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Such statements include, but are not limited to, statements regarding the expected offerings by, and benefits to Bakkt of, the Mastercard and Bakkt partnership, as well as other statements identified by words such as “will,” “expect,” “anticipate,” “estimate,” “believe,” “intend,” “plan,” “project,” “outlook”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generally beyond Bakkt’s control. Actual results and the timing of events may differ materially from the results anticipated in these forward-looking statements.</w:t>
      </w:r>
    </w:p>
    <w:p>
      <w:pPr>
        <w:spacing w:after="0" w:line="16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following factors, among others, could cause actual results and the timing of events to differ materially from the anticipated results or other expectations expressed in the forward-looking statements: (i) the impact of the ongoing COVID-19 pandemic; (ii) changes in the markets in which Bakkt competes, including with respect to its competitive landscape, technology evolution or regulatory changes; (iii) changes in the markets that Bakkt targets; (iv) risk that Bakkt may not be able to execute its growth strategies, including identifying and executing acquisitions; (v) risks relating to data security; and (vi) the risk that Bakkt may not realize the anticipated benefits with respect to the agreements disclosed hereby. The foregoing list of factors is not exhaustive. You should carefully consider the foregoing factors and the other risks and uncertainties described in the “Risk Factors” section of the definitive proxy statement/prospectus filed by Bakkt (under the name VPC Impact Acquisition Holdings) on September 17, 2021 and other documents Bakkt may from time to time file with the SEC. These filings identify and address, or will identify and address, other important risks and uncertainties that could cause actual events and results to differ materially from those contained in the forward-looking statements.</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Bakkt Media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Lauren Post, VP –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Lauren.Post@bakkt.com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Mastercard Media Contacts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Biz Cozine, Manager –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Biz.Cozine@mastercard.com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Bakkt-C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Bakkt Holdings, Inc.</w:t>
      </w:r>
    </w:p>
    <w:p>
      <w:pPr>
        <w:sectPr>
          <w:pgSz w:w="11900" w:h="16838" w:orient="portrait"/>
          <w:cols w:equalWidth="0" w:num="1">
            <w:col w:w="10019"/>
          </w:cols>
          <w:pgMar w:left="440" w:top="270"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News Release</w:t>
            </w:r>
          </w:p>
        </w:tc>
        <w:tc>
          <w:tcPr>
            <w:tcW w:w="10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980" w:type="dxa"/>
            <w:vAlign w:val="bottom"/>
          </w:tcPr>
          <w:p>
            <w:pPr>
              <w:spacing w:after="0"/>
              <w:rPr>
                <w:sz w:val="20"/>
                <w:szCs w:val="20"/>
                <w:color w:val="auto"/>
              </w:rPr>
            </w:pPr>
          </w:p>
        </w:tc>
      </w:tr>
      <w:tr>
        <w:trPr>
          <w:trHeight w:val="803"/>
        </w:trPr>
        <w:tc>
          <w:tcPr>
            <w:tcW w:w="4740" w:type="dxa"/>
            <w:vAlign w:val="bottom"/>
            <w:gridSpan w:val="2"/>
          </w:tcPr>
          <w:p>
            <w:pPr>
              <w:spacing w:after="0"/>
              <w:rPr>
                <w:sz w:val="20"/>
                <w:szCs w:val="20"/>
                <w:color w:val="auto"/>
              </w:rPr>
            </w:pPr>
            <w:r>
              <w:rPr>
                <w:rFonts w:ascii="Arial" w:cs="Arial" w:eastAsia="Arial" w:hAnsi="Arial"/>
                <w:sz w:val="18"/>
                <w:szCs w:val="18"/>
                <w:color w:val="auto"/>
              </w:rPr>
              <w:t>For more information contact:</w:t>
            </w:r>
          </w:p>
        </w:tc>
        <w:tc>
          <w:tcPr>
            <w:tcW w:w="1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Media Relations:</w:t>
            </w:r>
          </w:p>
        </w:tc>
        <w:tc>
          <w:tcPr>
            <w:tcW w:w="1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Chase Wallace</w:t>
            </w:r>
          </w:p>
        </w:tc>
        <w:tc>
          <w:tcPr>
            <w:tcW w:w="4300" w:type="dxa"/>
            <w:vAlign w:val="bottom"/>
            <w:gridSpan w:val="3"/>
          </w:tcPr>
          <w:p>
            <w:pPr>
              <w:ind w:left="1000"/>
              <w:spacing w:after="0"/>
              <w:rPr>
                <w:sz w:val="20"/>
                <w:szCs w:val="20"/>
                <w:color w:val="auto"/>
              </w:rPr>
            </w:pPr>
            <w:r>
              <w:rPr>
                <w:rFonts w:ascii="Arial" w:cs="Arial" w:eastAsia="Arial" w:hAnsi="Arial"/>
                <w:sz w:val="18"/>
                <w:szCs w:val="18"/>
                <w:color w:val="auto"/>
              </w:rPr>
              <w:t>Lauren Post</w:t>
            </w:r>
          </w:p>
        </w:tc>
        <w:tc>
          <w:tcPr>
            <w:tcW w:w="1980" w:type="dxa"/>
            <w:vAlign w:val="bottom"/>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Director, Communications</w:t>
            </w:r>
          </w:p>
        </w:tc>
        <w:tc>
          <w:tcPr>
            <w:tcW w:w="4300" w:type="dxa"/>
            <w:vAlign w:val="bottom"/>
            <w:gridSpan w:val="3"/>
          </w:tcPr>
          <w:p>
            <w:pPr>
              <w:ind w:left="1000"/>
              <w:spacing w:after="0"/>
              <w:rPr>
                <w:sz w:val="20"/>
                <w:szCs w:val="20"/>
                <w:color w:val="auto"/>
              </w:rPr>
            </w:pPr>
            <w:r>
              <w:rPr>
                <w:rFonts w:ascii="Arial" w:cs="Arial" w:eastAsia="Arial" w:hAnsi="Arial"/>
                <w:sz w:val="18"/>
                <w:szCs w:val="18"/>
                <w:color w:val="auto"/>
              </w:rPr>
              <w:t>Head of Communications</w:t>
            </w:r>
          </w:p>
        </w:tc>
        <w:tc>
          <w:tcPr>
            <w:tcW w:w="1980" w:type="dxa"/>
            <w:vAlign w:val="bottom"/>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Fiserv, Inc.</w:t>
            </w:r>
          </w:p>
        </w:tc>
        <w:tc>
          <w:tcPr>
            <w:tcW w:w="4300" w:type="dxa"/>
            <w:vAlign w:val="bottom"/>
            <w:gridSpan w:val="3"/>
          </w:tcPr>
          <w:p>
            <w:pPr>
              <w:ind w:left="1000"/>
              <w:spacing w:after="0"/>
              <w:rPr>
                <w:sz w:val="20"/>
                <w:szCs w:val="20"/>
                <w:color w:val="auto"/>
              </w:rPr>
            </w:pPr>
            <w:r>
              <w:rPr>
                <w:rFonts w:ascii="Arial" w:cs="Arial" w:eastAsia="Arial" w:hAnsi="Arial"/>
                <w:sz w:val="18"/>
                <w:szCs w:val="18"/>
                <w:color w:val="auto"/>
              </w:rPr>
              <w:t>Bakkt</w:t>
            </w:r>
          </w:p>
        </w:tc>
        <w:tc>
          <w:tcPr>
            <w:tcW w:w="1980" w:type="dxa"/>
            <w:vAlign w:val="bottom"/>
          </w:tcPr>
          <w:p>
            <w:pPr>
              <w:spacing w:after="0"/>
              <w:rPr>
                <w:sz w:val="18"/>
                <w:szCs w:val="18"/>
                <w:color w:val="auto"/>
              </w:rPr>
            </w:pPr>
          </w:p>
        </w:tc>
      </w:tr>
      <w:tr>
        <w:trPr>
          <w:trHeight w:val="190"/>
        </w:trPr>
        <w:tc>
          <w:tcPr>
            <w:tcW w:w="1900" w:type="dxa"/>
            <w:vAlign w:val="bottom"/>
          </w:tcPr>
          <w:p>
            <w:pPr>
              <w:spacing w:after="0" w:line="190" w:lineRule="exact"/>
              <w:rPr>
                <w:sz w:val="20"/>
                <w:szCs w:val="20"/>
                <w:color w:val="auto"/>
              </w:rPr>
            </w:pPr>
            <w:r>
              <w:rPr>
                <w:rFonts w:ascii="Arial" w:cs="Arial" w:eastAsia="Arial" w:hAnsi="Arial"/>
                <w:sz w:val="18"/>
                <w:szCs w:val="18"/>
                <w:color w:val="auto"/>
              </w:rPr>
              <w:t>+1 470-481-2555</w:t>
            </w:r>
          </w:p>
        </w:tc>
        <w:tc>
          <w:tcPr>
            <w:tcW w:w="2840" w:type="dxa"/>
            <w:vAlign w:val="bottom"/>
          </w:tcPr>
          <w:p>
            <w:pPr>
              <w:spacing w:after="0"/>
              <w:rPr>
                <w:sz w:val="16"/>
                <w:szCs w:val="16"/>
                <w:color w:val="auto"/>
              </w:rPr>
            </w:pPr>
          </w:p>
        </w:tc>
        <w:tc>
          <w:tcPr>
            <w:tcW w:w="4300" w:type="dxa"/>
            <w:vAlign w:val="bottom"/>
            <w:gridSpan w:val="3"/>
          </w:tcPr>
          <w:p>
            <w:pPr>
              <w:ind w:left="1000"/>
              <w:spacing w:after="0" w:line="190" w:lineRule="exact"/>
              <w:rPr>
                <w:sz w:val="20"/>
                <w:szCs w:val="20"/>
                <w:color w:val="auto"/>
              </w:rPr>
            </w:pPr>
            <w:r>
              <w:rPr>
                <w:rFonts w:ascii="Arial" w:cs="Arial" w:eastAsia="Arial" w:hAnsi="Arial"/>
                <w:sz w:val="18"/>
                <w:szCs w:val="18"/>
                <w:color w:val="auto"/>
              </w:rPr>
              <w:t>Lauren.Post@bakkt.com</w:t>
            </w:r>
          </w:p>
        </w:tc>
        <w:tc>
          <w:tcPr>
            <w:tcW w:w="1980" w:type="dxa"/>
            <w:vAlign w:val="bottom"/>
          </w:tcPr>
          <w:p>
            <w:pPr>
              <w:spacing w:after="0"/>
              <w:rPr>
                <w:sz w:val="16"/>
                <w:szCs w:val="16"/>
                <w:color w:val="auto"/>
              </w:rPr>
            </w:pPr>
          </w:p>
        </w:tc>
      </w:tr>
      <w:tr>
        <w:trPr>
          <w:trHeight w:val="196"/>
        </w:trPr>
        <w:tc>
          <w:tcPr>
            <w:tcW w:w="4740" w:type="dxa"/>
            <w:vAlign w:val="bottom"/>
            <w:gridSpan w:val="2"/>
          </w:tcPr>
          <w:p>
            <w:pPr>
              <w:spacing w:after="0" w:line="196" w:lineRule="exact"/>
              <w:rPr>
                <w:sz w:val="20"/>
                <w:szCs w:val="20"/>
                <w:color w:val="auto"/>
              </w:rPr>
            </w:pPr>
            <w:r>
              <w:rPr>
                <w:rFonts w:ascii="Arial" w:cs="Arial" w:eastAsia="Arial" w:hAnsi="Arial"/>
                <w:sz w:val="18"/>
                <w:szCs w:val="18"/>
                <w:color w:val="auto"/>
              </w:rPr>
              <w:t>chase.wallace@fiserv.com</w:t>
            </w:r>
          </w:p>
        </w:tc>
        <w:tc>
          <w:tcPr>
            <w:tcW w:w="1000" w:type="dxa"/>
            <w:vAlign w:val="bottom"/>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5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460"/>
        </w:trPr>
        <w:tc>
          <w:tcPr>
            <w:tcW w:w="1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DRAFT</w:t>
            </w:r>
          </w:p>
        </w:tc>
        <w:tc>
          <w:tcPr>
            <w:tcW w:w="28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5809615</wp:posOffset>
            </wp:positionH>
            <wp:positionV relativeFrom="paragraph">
              <wp:posOffset>-1782445</wp:posOffset>
            </wp:positionV>
            <wp:extent cx="105410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54100" cy="53149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and Bakkt Innovate on Mainstream Use of Crypto Assets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Leading Global Merchants</w:t>
      </w:r>
    </w:p>
    <w:p>
      <w:pPr>
        <w:spacing w:after="0" w:line="207"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 xml:space="preserve">BROOKFIELD, Wis. — October 25, 2021 — </w:t>
      </w:r>
      <w:r>
        <w:rPr>
          <w:rFonts w:ascii="Arial" w:cs="Arial" w:eastAsia="Arial" w:hAnsi="Arial"/>
          <w:sz w:val="17"/>
          <w:szCs w:val="17"/>
          <w:u w:val="single" w:color="auto"/>
          <w:color w:val="auto"/>
        </w:rPr>
        <w:t>Fiserv, Inc.</w:t>
      </w:r>
      <w:r>
        <w:rPr>
          <w:rFonts w:ascii="Arial" w:cs="Arial" w:eastAsia="Arial" w:hAnsi="Arial"/>
          <w:sz w:val="17"/>
          <w:szCs w:val="17"/>
          <w:b w:val="1"/>
          <w:bCs w:val="1"/>
          <w:color w:val="auto"/>
        </w:rPr>
        <w:t xml:space="preserve"> </w:t>
      </w:r>
      <w:r>
        <w:rPr>
          <w:rFonts w:ascii="Arial" w:cs="Arial" w:eastAsia="Arial" w:hAnsi="Arial"/>
          <w:sz w:val="17"/>
          <w:szCs w:val="17"/>
          <w:color w:val="auto"/>
        </w:rPr>
        <w:t>(NASDAQ: FISV), a leading global provider of payments and financial services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today announced a strategic relationship with Bakkt (NYSE: BKKT), a trusted digital asset platform that enables consumers to buy, sell, send and spend a range of digital assets. The combination of expansive capabilities from Fiserv, including the ability to move funds into and out of mobile wallets, with Bakkt’s digital asset platform will enable practical uses of crypto and emerging asset classes.</w:t>
      </w:r>
    </w:p>
    <w:p>
      <w:pPr>
        <w:spacing w:after="0" w:line="16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 future integration of Bakkt into the Carat omnichannel ecosystem from Fiserv will allow businesses to pursue new options for B2B and B2C payouts, loyalty programs, and transactions, all with crypto assets accessible via a digital asset wallet. Merchants will be able to deliver innovative consumer experiences through a simple integration to Carat and roll out new digital asset offerings that are right for their brand and customers.</w:t>
      </w:r>
    </w:p>
    <w:p>
      <w:pPr>
        <w:spacing w:after="0" w:line="14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“Carat is a trusted solution for businesses, including fintechs, that want to access a broad range of commerce-enabling capabilities, such as the ability to accept and disburse funds, from a single provider,” said Nandan Sheth, Head of Carat and Digital Commerce at Fiserv. “Bakkt will be leveraging these capabilities while also working with us to build emerging merchant experiences that help bring crypto assets into the mainstream.”</w:t>
      </w:r>
    </w:p>
    <w:p>
      <w:pPr>
        <w:spacing w:after="0" w:line="14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“This partnership with Fiserv marks an important moment as we together create opportunities for consumers to seamlessly and at their own pace introduce digital assets into their daily habits,” said Sheela Zemlin, Chief Revenue Officer at Bakkt. “Whether it be buying bitcoin from within a financial institution’s app, redeeming loyalty points from their favorite restaurant for merchandise, using a digital asset wallet, or getting paid in bitcoin for their side gig grocery delivery runs, consumers will have new opportunities to participate in the digital economy.”</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to innovating on new digital capabilities for merchants, Fiserv and Bakkt plan to introduce Bakkt technology that supports consumers’ ability to buy, sell, and hold crypto assets to Fiserv financial institution clients.</w:t>
      </w:r>
    </w:p>
    <w:p>
      <w:pPr>
        <w:sectPr>
          <w:pgSz w:w="11900" w:h="16838" w:orient="portrait"/>
          <w:cols w:equalWidth="0" w:num="1">
            <w:col w:w="11020"/>
          </w:cols>
          <w:pgMar w:left="440" w:top="121" w:right="439" w:bottom="1440" w:gutter="0" w:footer="0" w:header="0"/>
        </w:sectPr>
      </w:pPr>
    </w:p>
    <w:bookmarkStart w:id="7" w:name="page8"/>
    <w:bookmarkEnd w:id="7"/>
    <w:p>
      <w:pPr>
        <w:jc w:val="both"/>
        <w:ind w:right="4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“Fiserv is in a unique position to connect merchants and financial institutions utilizing a unified digital asset platform, laying the foundation for an integrated digital asset ecosystem that can bring value and convenience to our clients and their customers,” said Sunil Sachdev, Head of Fintech at Fiserv.</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Fiserv</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Fiserv, Inc. (NASDAQ:FISV) aspires to move money and information in a way that moves the world. As a global leader in payments and financial technology, the company helps clients achieve best-in-class results through a commitment to innovation and excellence in areas including account processing and digital banking solutions; card issuer processing and network services; payments; e-commerce; merchant acquiring and processing; and the </w:t>
      </w:r>
      <w:r>
        <w:rPr>
          <w:rFonts w:ascii="Arial" w:cs="Arial" w:eastAsia="Arial" w:hAnsi="Arial"/>
          <w:sz w:val="16"/>
          <w:szCs w:val="16"/>
          <w:u w:val="single" w:color="auto"/>
          <w:color w:val="auto"/>
        </w:rPr>
        <w:t>Clover</w:t>
      </w:r>
      <w:r>
        <w:rPr>
          <w:rFonts w:ascii="Arial" w:cs="Arial" w:eastAsia="Arial" w:hAnsi="Arial"/>
          <w:sz w:val="13"/>
          <w:szCs w:val="13"/>
          <w:u w:val="single" w:color="auto"/>
          <w:color w:val="auto"/>
        </w:rPr>
        <w:t>®</w:t>
      </w:r>
      <w:r>
        <w:rPr>
          <w:rFonts w:ascii="Arial" w:cs="Arial" w:eastAsia="Arial" w:hAnsi="Arial"/>
          <w:sz w:val="16"/>
          <w:szCs w:val="16"/>
          <w:color w:val="auto"/>
        </w:rPr>
        <w:t xml:space="preserve"> cloud-based point-of-sale solution. Fiserv is a member of the S&amp;P 500</w:t>
      </w:r>
      <w:r>
        <w:rPr>
          <w:rFonts w:ascii="Arial" w:cs="Arial" w:eastAsia="Arial" w:hAnsi="Arial"/>
          <w:sz w:val="13"/>
          <w:szCs w:val="13"/>
          <w:color w:val="auto"/>
        </w:rPr>
        <w:t>®</w:t>
      </w:r>
      <w:r>
        <w:rPr>
          <w:rFonts w:ascii="Arial" w:cs="Arial" w:eastAsia="Arial" w:hAnsi="Arial"/>
          <w:sz w:val="16"/>
          <w:szCs w:val="16"/>
          <w:color w:val="auto"/>
        </w:rPr>
        <w:t xml:space="preserve"> Index and the FORTUNE</w:t>
      </w:r>
      <w:r>
        <w:rPr>
          <w:rFonts w:ascii="Arial" w:cs="Arial" w:eastAsia="Arial" w:hAnsi="Arial"/>
          <w:sz w:val="13"/>
          <w:szCs w:val="13"/>
          <w:color w:val="auto"/>
        </w:rPr>
        <w:t>®</w:t>
      </w:r>
      <w:r>
        <w:rPr>
          <w:rFonts w:ascii="Arial" w:cs="Arial" w:eastAsia="Arial" w:hAnsi="Arial"/>
          <w:sz w:val="16"/>
          <w:szCs w:val="16"/>
          <w:color w:val="auto"/>
        </w:rPr>
        <w:t xml:space="preserve"> 500, and is among FORTUNE World’s Most Admired Companies</w:t>
      </w:r>
      <w:r>
        <w:rPr>
          <w:rFonts w:ascii="Arial" w:cs="Arial" w:eastAsia="Arial" w:hAnsi="Arial"/>
          <w:sz w:val="13"/>
          <w:szCs w:val="13"/>
          <w:color w:val="auto"/>
        </w:rPr>
        <w:t>®</w:t>
      </w:r>
      <w:r>
        <w:rPr>
          <w:rFonts w:ascii="Arial" w:cs="Arial" w:eastAsia="Arial" w:hAnsi="Arial"/>
          <w:sz w:val="16"/>
          <w:szCs w:val="16"/>
          <w:color w:val="auto"/>
        </w:rPr>
        <w:t xml:space="preserve">. Visit </w:t>
      </w:r>
      <w:r>
        <w:rPr>
          <w:rFonts w:ascii="Arial" w:cs="Arial" w:eastAsia="Arial" w:hAnsi="Arial"/>
          <w:sz w:val="16"/>
          <w:szCs w:val="16"/>
          <w:u w:val="single" w:color="auto"/>
          <w:color w:val="auto"/>
        </w:rPr>
        <w:t>fiserv.com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follow on social media</w:t>
      </w:r>
      <w:r>
        <w:rPr>
          <w:rFonts w:ascii="Arial" w:cs="Arial" w:eastAsia="Arial" w:hAnsi="Arial"/>
          <w:sz w:val="16"/>
          <w:szCs w:val="16"/>
          <w:color w:val="auto"/>
        </w:rPr>
        <w:t xml:space="preserve"> for more information and the latest company news.</w:t>
      </w:r>
    </w:p>
    <w:p>
      <w:pPr>
        <w:spacing w:after="0" w:line="157" w:lineRule="exact"/>
        <w:rPr>
          <w:sz w:val="20"/>
          <w:szCs w:val="20"/>
          <w:color w:val="auto"/>
        </w:rPr>
      </w:pPr>
    </w:p>
    <w:p>
      <w:pPr>
        <w:jc w:val="both"/>
        <w:ind w:right="220"/>
        <w:spacing w:after="0" w:line="303" w:lineRule="auto"/>
        <w:rPr>
          <w:sz w:val="20"/>
          <w:szCs w:val="20"/>
          <w:color w:val="auto"/>
        </w:rPr>
      </w:pPr>
      <w:r>
        <w:rPr>
          <w:rFonts w:ascii="Arial" w:cs="Arial" w:eastAsia="Arial" w:hAnsi="Arial"/>
          <w:sz w:val="16"/>
          <w:szCs w:val="16"/>
          <w:b w:val="1"/>
          <w:bCs w:val="1"/>
          <w:color w:val="auto"/>
        </w:rPr>
        <w:t xml:space="preserve">About Bakkt </w:t>
      </w:r>
      <w:r>
        <w:rPr>
          <w:rFonts w:ascii="Arial" w:cs="Arial" w:eastAsia="Arial" w:hAnsi="Arial"/>
          <w:sz w:val="16"/>
          <w:szCs w:val="16"/>
          <w:color w:val="auto"/>
        </w:rPr>
        <w:t>Bakkt is a trusted digital asset platform that enables consumers to buy, sell, store and spend digital assets. Bakkt’s consumer platform,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now available through the recently-released Bakkt App and to partners through the Bakkt platform, amplifies consumer spending and bolsters loyalty programs, adding value for all key stakeholders within the Bakkt payments and digital assets ecosystem. Launched in 2018, Bakkt is headquartered in Alpharetta, GA. For more information, visit: </w:t>
      </w:r>
      <w:r>
        <w:rPr>
          <w:rFonts w:ascii="Arial" w:cs="Arial" w:eastAsia="Arial" w:hAnsi="Arial"/>
          <w:sz w:val="16"/>
          <w:szCs w:val="16"/>
          <w:u w:val="single" w:color="auto"/>
          <w:color w:val="auto"/>
        </w:rPr>
        <w:t>https://www.bakkt.com</w:t>
      </w:r>
      <w:r>
        <w:rPr>
          <w:rFonts w:ascii="Arial" w:cs="Arial" w:eastAsia="Arial" w:hAnsi="Arial"/>
          <w:sz w:val="16"/>
          <w:szCs w:val="16"/>
          <w:color w:val="auto"/>
        </w:rPr>
        <w:t xml:space="preserve">/ | Twitter </w:t>
      </w:r>
      <w:r>
        <w:rPr>
          <w:rFonts w:ascii="Arial" w:cs="Arial" w:eastAsia="Arial" w:hAnsi="Arial"/>
          <w:sz w:val="16"/>
          <w:szCs w:val="16"/>
          <w:u w:val="single" w:color="auto"/>
          <w:color w:val="auto"/>
        </w:rPr>
        <w:t>@Bakkt</w:t>
      </w:r>
      <w:r>
        <w:rPr>
          <w:rFonts w:ascii="Arial" w:cs="Arial" w:eastAsia="Arial" w:hAnsi="Arial"/>
          <w:sz w:val="16"/>
          <w:szCs w:val="16"/>
          <w:color w:val="auto"/>
        </w:rPr>
        <w:t xml:space="preserve"> | LinkedIn </w:t>
      </w:r>
      <w:r>
        <w:rPr>
          <w:rFonts w:ascii="Arial" w:cs="Arial" w:eastAsia="Arial" w:hAnsi="Arial"/>
          <w:sz w:val="16"/>
          <w:szCs w:val="16"/>
          <w:u w:val="single" w:color="auto"/>
          <w:color w:val="auto"/>
        </w:rPr>
        <w:t>https://www.linkedin.com/company/bakkt/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Bakkt Forward-Looking Statements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Such statements include, but are not limited to, statements regarding the expected offerings by, and benefits to Bakkt of, the Fiserv and Bakkt partnership, as well as other statements identified by words such as “will,” “expect,” “anticipate,” “estimate,” “believe,” “intend,” “plan,” “project,” “outlook”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generally beyond Bakkt’s control. Actual results and the timing of events may differ materially from the results anticipated in these forward-looking statements.</w:t>
      </w:r>
    </w:p>
    <w:p>
      <w:pPr>
        <w:spacing w:after="0" w:line="16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following factors, among others, could cause actual results and the timing of events to differ materially from the anticipated results or other expectations expressed in the forward-looking statements: (i) the impact of the ongoing COVID-19 pandemic; (ii) changes in the markets in which Bakkt competes, including with respect to its competitive landscape, technology evolution or regulatory changes; (iii) changes in the markets that Bakkt targets; (iv) risk that Bakkt may not be able to execute its growth strategies, including identifying and executing acquisitions; (v) risks relating to data security; and (vi) the risk that Bakkt may not realize the anticipated benefits with respect to the agreements disclosed hereby. The foregoing list of factors is not exhaustive. You should carefully consider the foregoing factors and the other risks and uncertainties described in the “Risk Factors” section of the definitive proxy statement/prospectus filed by Bakkt (under the name VPC Impact Acquisition Holdings) on September 17, 2021 and other documents Bakkt may from time to time file with the SEC. These filings identify and address, or will identify and address, other important risks and uncertainties that could cause actual events and results to differ materially from those contained in the forward-looking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FISV-G Bakkt-C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Bakkt Holdings, Inc.</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2021-10-26T05:13:42Z</dcterms:created>
  <dcterms:modified xsi:type="dcterms:W3CDTF">2021-10-26T05:13:42Z</dcterms:modified>
</cp:coreProperties>
</file>