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November 21,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Via EDGAR </w:t>
      </w:r>
    </w:p>
    <w:p>
      <w:pPr>
        <w:pStyle w:val="TextBody"/>
        <w:bidi w:val="0"/>
        <w:spacing w:before="12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Office of Crypto Assets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rFonts w:ascii="Times New Roman" w:hAnsi="Times New Roman"/>
          <w:sz w:val="20"/>
        </w:rPr>
      </w:pPr>
      <w:r>
        <w:rPr>
          <w:rFonts w:ascii="Times New Roman" w:hAnsi="Times New Roman"/>
          <w:sz w:val="20"/>
        </w:rPr>
        <w:t xml:space="preserve">Attn: Sandra Hunter Berkheimer and David Lin </w:t>
      </w:r>
    </w:p>
    <w:p>
      <w:pPr>
        <w:pStyle w:val="TextBody"/>
        <w:bidi w:val="0"/>
        <w:spacing w:before="240" w:after="0"/>
        <w:jc w:val="left"/>
        <w:rPr>
          <w:rFonts w:ascii="Times New Roman" w:hAnsi="Times New Roman"/>
          <w:b/>
          <w:sz w:val="20"/>
        </w:rPr>
      </w:pPr>
      <w:r>
        <w:rPr>
          <w:rFonts w:ascii="Times New Roman" w:hAnsi="Times New Roman"/>
          <w:b/>
          <w:sz w:val="20"/>
        </w:rPr>
        <w:t xml:space="preserve">Re:      Bakkt Holdings,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S-3 Filed April 21, 2023 (File No. 333-271361)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Registration Statement on Form S-3 Filed April 21, 2023 (File No. 333-271362)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Post-Effective Amendment No. 2 to Form S-1 on Form S-3 Filed April 21, 2023 (File No. 333-261034)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Registration Statement on Form S-3 Filed April 26, 2023 (File No. 333-271438) (collectively, the </w:t>
            </w:r>
            <w:r>
              <w:rPr>
                <w:rFonts w:ascii="Times New Roman" w:hAnsi="Times New Roman"/>
                <w:b/>
                <w:sz w:val="20"/>
                <w:u w:val="single"/>
              </w:rPr>
              <w:t>Registration Statements</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Ms. Berkheimer and Mr. Lin: </w:t>
      </w:r>
    </w:p>
    <w:p>
      <w:pPr>
        <w:pStyle w:val="TextBody"/>
        <w:bidi w:val="0"/>
        <w:spacing w:before="120" w:after="0"/>
        <w:jc w:val="left"/>
        <w:rPr>
          <w:rFonts w:ascii="Times New Roman" w:hAnsi="Times New Roman"/>
          <w:sz w:val="20"/>
        </w:rPr>
      </w:pPr>
      <w:r>
        <w:rPr>
          <w:rFonts w:ascii="Times New Roman" w:hAnsi="Times New Roman"/>
          <w:sz w:val="20"/>
        </w:rPr>
        <w:t>On behalf of Bakkt Holdings, Inc. (including its subsidiaries as the context requires, the </w:t>
      </w:r>
      <w:r>
        <w:rPr>
          <w:rFonts w:ascii="Times New Roman" w:hAnsi="Times New Roman"/>
          <w:sz w:val="20"/>
          <w:u w:val="single"/>
        </w:rPr>
        <w:t>Company</w:t>
      </w:r>
      <w:r>
        <w:rPr>
          <w:rFonts w:ascii="Times New Roman" w:hAnsi="Times New Roman"/>
          <w:sz w:val="20"/>
        </w:rPr>
        <w:t> and, in the responses below,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and </w:t>
      </w:r>
      <w:r>
        <w:rPr>
          <w:rFonts w:ascii="Times New Roman" w:hAnsi="Times New Roman"/>
          <w:sz w:val="20"/>
          <w:u w:val="single"/>
        </w:rPr>
        <w:t>our</w:t>
      </w:r>
      <w:r>
        <w:rPr>
          <w:rFonts w:ascii="Times New Roman" w:hAnsi="Times New Roman"/>
          <w:sz w:val="20"/>
        </w:rPr>
        <w:t>), we submit this letter containing consolidated responses to the comment letters, dated September 29, 2023, from the staff (the </w:t>
      </w:r>
      <w:r>
        <w:rPr>
          <w:rFonts w:ascii="Times New Roman" w:hAnsi="Times New Roman"/>
          <w:sz w:val="20"/>
          <w:u w:val="single"/>
        </w:rPr>
        <w:t>Staff</w:t>
      </w:r>
      <w:r>
        <w:rPr>
          <w:rFonts w:ascii="Times New Roman" w:hAnsi="Times New Roman"/>
          <w:sz w:val="20"/>
        </w:rPr>
        <w:t>) of the Securities and Exchange Commission (the </w:t>
      </w:r>
      <w:r>
        <w:rPr>
          <w:rFonts w:ascii="Times New Roman" w:hAnsi="Times New Roman"/>
          <w:sz w:val="20"/>
          <w:u w:val="single"/>
        </w:rPr>
        <w:t>SEC</w:t>
      </w:r>
      <w:r>
        <w:rPr>
          <w:rFonts w:ascii="Times New Roman" w:hAnsi="Times New Roman"/>
          <w:sz w:val="20"/>
        </w:rPr>
        <w:t>) regarding the Registration Statements, including the information incorporated by reference therein from the Companys Annual Report on Form 10-K for the year ended December 31, 2022 (the </w:t>
      </w:r>
      <w:r>
        <w:rPr>
          <w:rFonts w:ascii="Times New Roman" w:hAnsi="Times New Roman"/>
          <w:sz w:val="20"/>
          <w:u w:val="single"/>
        </w:rPr>
        <w:t>Form 10-K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ease of review, each of your comments from your comment letter relating to the Registration Statement with File No. 333-271362 are set forth below, followed by the Companys responses. Such responses are intended to be responsive to the comment letter relating to the Registration Statement with File No. 333-271362, as well as the corresponding substantively identical comment letters provided in respect of the other three Registration Statements.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Response Dated August 2, 2023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General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response to comment 1 and the introductory portion of your response letter where you state that you intend to include additional, or revised, disclosures in response to the staffs comments in a Current Report on Form 8-K that you will incorporate by reference into the Form S-3. Please amend your Form S-3 to include the additional, or revised, disclosures in response to our comments directly therein.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respectfully advises the Staff that including additional and revised disclosures directly in the Registration Statements in response to the Staffs comments is neither required by Form S-3 nor useful to investors in light of the evolving nature of the Companys business and the crypto industry more generally.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Consistent with the integrated disclosure system implemented by the SEC in 1982, Form S-3 allows a registrant to incorporate by reference its past and future reports filed under the Securities Exchange Act of 1934 (the </w:t>
      </w:r>
      <w:r>
        <w:rPr>
          <w:rFonts w:ascii="Times New Roman" w:hAnsi="Times New Roman"/>
          <w:sz w:val="20"/>
          <w:u w:val="single"/>
        </w:rPr>
        <w:t>Exchange Act</w:t>
      </w:r>
      <w:r>
        <w:rPr>
          <w:rFonts w:ascii="Times New Roman" w:hAnsi="Times New Roman"/>
          <w:sz w:val="20"/>
        </w:rPr>
        <w:t>) rather than having to amend or supplement its Securities Act of 1933 (the </w:t>
      </w:r>
      <w:r>
        <w:rPr>
          <w:rFonts w:ascii="Times New Roman" w:hAnsi="Times New Roman"/>
          <w:sz w:val="20"/>
          <w:u w:val="single"/>
        </w:rPr>
        <w:t>Securities Act</w:t>
      </w:r>
      <w:r>
        <w:rPr>
          <w:rFonts w:ascii="Times New Roman" w:hAnsi="Times New Roman"/>
          <w:sz w:val="20"/>
        </w:rPr>
        <w:t xml:space="preserve">) registration statement and prospectus each time a material event occurs. </w:t>
      </w:r>
    </w:p>
    <w:p>
      <w:pPr>
        <w:pStyle w:val="TextBody"/>
        <w:bidi w:val="0"/>
        <w:spacing w:before="240" w:after="0"/>
        <w:jc w:val="left"/>
        <w:rPr>
          <w:rFonts w:ascii="Times New Roman" w:hAnsi="Times New Roman"/>
          <w:sz w:val="20"/>
        </w:rPr>
      </w:pPr>
      <w:r>
        <w:rPr>
          <w:rFonts w:ascii="Times New Roman" w:hAnsi="Times New Roman"/>
          <w:sz w:val="20"/>
        </w:rPr>
        <w:t xml:space="preserve">Item 12(d) of Form S-3 provides that any information required in the prospectus in response to Item 3 through Item 11 of this Form may be included in the prospectus through documents filed pursuant to Section 13(a), 14, or 15(d) of the Exchange Act that are incorporated or deemed incorporated by reference into the prospectus that is part of the registration statement. This includes, for example, risk factors (Item 3) and any updates required to reflect material changes in a registrants business (Item 11). It is customary for a registrant to rely on Item 12 and incorporate all required information and material updates through documents filed pursuant to Section 13(a), 14, or 15(d) of the Exchange Act. As a shelf or resale registration statement on Form S-3 may be used over a period of three years (or longer), disclosure will become stale over time. Directing investors to the most recently filed Exchange Act reports of the registrant incorporated by reference into the registration statement, consistent with the instructions to Item 12, eliminates duplicative disclosures while continuing to provide material information. Requiring the Company to include selected disclosures in four separate registration statements that will be outdated with the Companys next Form 10-K filing is not efficient and will be costly for the Company. Moreover, it does not provide any meaningful benefit to investors and could result in investors looking at outdated disclosures in the Registration Statements rather than the more updated disclosures that are contained in the Companys Exchange Act filings. </w:t>
      </w:r>
    </w:p>
    <w:p>
      <w:pPr>
        <w:pStyle w:val="TextBody"/>
        <w:bidi w:val="0"/>
        <w:spacing w:before="240" w:after="0"/>
        <w:jc w:val="left"/>
        <w:rPr>
          <w:rFonts w:ascii="Times New Roman" w:hAnsi="Times New Roman"/>
          <w:sz w:val="20"/>
        </w:rPr>
      </w:pPr>
      <w:r>
        <w:rPr>
          <w:rFonts w:ascii="Times New Roman" w:hAnsi="Times New Roman"/>
          <w:sz w:val="20"/>
        </w:rPr>
        <w:t>As discussed with the Staff, the Company proposes to include an update to its business activities following its acquisition of Bakkt Crypto (the </w:t>
      </w:r>
      <w:r>
        <w:rPr>
          <w:rFonts w:ascii="Times New Roman" w:hAnsi="Times New Roman"/>
          <w:sz w:val="20"/>
          <w:u w:val="single"/>
        </w:rPr>
        <w:t>Business Update</w:t>
      </w:r>
      <w:r>
        <w:rPr>
          <w:rFonts w:ascii="Times New Roman" w:hAnsi="Times New Roman"/>
          <w:sz w:val="20"/>
        </w:rPr>
        <w:t xml:space="preserve">) in a future Exchange Act filing. The Business Update would include relevant information regarding Bakkt Crypto as well as the additional information responsive to the Staffs comments. Originally, the Company proposed filing the Business Update under Item 8.01 of Form 8-K, which would be automatically incorporated by reference into the Registration Statements. Based on the Staffs objection to that approach, the Company instead proposes to include the Business Update as Item 5. Other Information in an amendment to the Companys recently filed Form 10-Q for the quarter ended September 30, 2023 prior to the effectiveness of the Registration Statements. A draft of the Business Update is attached hereto as 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2.</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Please disclose your marketing efforts in connection with the Bakkt Crypto platform and clarify whether and how you encourage customers to use the platform, including your digital engagement practices, addressing,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analytical and technological tools and methods you use in connection with such practices and your use of technology to develop and provide investment education tools;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Whether any of such practices encourage retail investors to trade more often, invest in different crypto assets or change investment strategies;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Whether you use any optimization functions (e.g., to increase platform revenues, data collection and customer engagement). To the extent your use of any optimization functions may lead to potential conflicts between your platform and investors, please add related risk factor disclosure;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Your data collection practices or those of your third-party service providers.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comments. The proposed text is set forth below and included in Annex A under Marketing. </w:t>
      </w:r>
    </w:p>
    <w:p>
      <w:pPr>
        <w:pStyle w:val="TextBody"/>
        <w:bidi w:val="0"/>
        <w:spacing w:before="120" w:after="0"/>
        <w:jc w:val="left"/>
        <w:rPr>
          <w:rFonts w:ascii="Times New Roman" w:hAnsi="Times New Roman"/>
          <w:sz w:val="20"/>
        </w:rPr>
      </w:pPr>
      <w:r>
        <w:rPr>
          <w:rFonts w:ascii="Times New Roman" w:hAnsi="Times New Roman"/>
          <w:sz w:val="20"/>
        </w:rPr>
        <w:t xml:space="preserve">We market our platform to our Clients. We generally do not engage in any direct-to-consumer marketing for the acquisition or engagement of end consumers, or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 </w:t>
      </w:r>
    </w:p>
    <w:p>
      <w:pPr>
        <w:pStyle w:val="TextBody"/>
        <w:bidi w:val="0"/>
        <w:spacing w:before="120" w:after="0"/>
        <w:jc w:val="left"/>
        <w:rPr>
          <w:rFonts w:ascii="Times New Roman" w:hAnsi="Times New Roman"/>
          <w:sz w:val="20"/>
        </w:rPr>
      </w:pPr>
      <w:r>
        <w:rPr>
          <w:rFonts w:ascii="Times New Roman" w:hAnsi="Times New Roman"/>
          <w:sz w:val="20"/>
        </w:rPr>
        <w:t xml:space="preserve">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 </w:t>
      </w:r>
    </w:p>
    <w:p>
      <w:pPr>
        <w:pStyle w:val="TextBody"/>
        <w:bidi w:val="0"/>
        <w:spacing w:before="120" w:after="0"/>
        <w:jc w:val="left"/>
        <w:rPr>
          <w:rFonts w:ascii="Times New Roman" w:hAnsi="Times New Roman"/>
          <w:sz w:val="20"/>
        </w:rPr>
      </w:pPr>
      <w:r>
        <w:rPr>
          <w:rFonts w:ascii="Times New Roman" w:hAnsi="Times New Roman"/>
          <w:sz w:val="20"/>
        </w:rPr>
        <w:t>We market our products and services to potential Clients using multiple business-to-business channels, such as (i) Company-owned domains (</w:t>
      </w:r>
      <w:r>
        <w:rPr>
          <w:rFonts w:ascii="Times New Roman" w:hAnsi="Times New Roman"/>
          <w:i/>
          <w:sz w:val="20"/>
        </w:rPr>
        <w:t>e.g</w:t>
      </w:r>
      <w:r>
        <w:rPr>
          <w:rFonts w:ascii="Times New Roman" w:hAnsi="Times New Roman"/>
          <w:sz w:val="20"/>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 </w:t>
      </w:r>
    </w:p>
    <w:p>
      <w:pPr>
        <w:pStyle w:val="TextBody"/>
        <w:bidi w:val="0"/>
        <w:spacing w:before="120" w:after="0"/>
        <w:jc w:val="left"/>
        <w:rPr>
          <w:rFonts w:ascii="Times New Roman" w:hAnsi="Times New Roman"/>
          <w:sz w:val="20"/>
        </w:rPr>
      </w:pPr>
      <w:r>
        <w:rPr>
          <w:rFonts w:ascii="Times New Roman" w:hAnsi="Times New Roman"/>
          <w:sz w:val="20"/>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hAnsi="Times New Roman"/>
          <w:i/>
          <w:sz w:val="20"/>
        </w:rPr>
        <w:t>e.g</w:t>
      </w:r>
      <w:r>
        <w:rPr>
          <w:rFonts w:ascii="Times New Roman" w:hAnsi="Times New Roman"/>
          <w:sz w:val="20"/>
        </w:rPr>
        <w:t xml:space="preserve">., Customer Identification Program and Know Your Customer verification) and to service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3.</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disclosure in your Form 10-Q for the period ended June 30, 2023 that you provide custody services for Bakkt Cryptos customers and for Bakkt Trusts standalone custody customers. Please also address custody services for customers of Bakkt Marketplace. In addition, we note that you acquired Bumped Financial, LLC (renamed Bakkt Brokerage) in February 2023. Please clarify the activities engaged in, or expected to be engaged in, by Bakkt Brokerage.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comments to clarify that custody services for Customers of Bakkt Marketplace are provided by Bakkt Trust Company LLC. The proposed text is set forth below and included in Annex A under Institutional Client Business  Crypto Custody Services. </w:t>
      </w:r>
    </w:p>
    <w:p>
      <w:pPr>
        <w:pStyle w:val="TextBody"/>
        <w:bidi w:val="0"/>
        <w:spacing w:before="120" w:after="0"/>
        <w:jc w:val="left"/>
        <w:rPr>
          <w:rFonts w:ascii="Times New Roman" w:hAnsi="Times New Roman"/>
          <w:sz w:val="20"/>
        </w:rPr>
      </w:pPr>
      <w:r>
        <w:rPr>
          <w:rFonts w:ascii="Times New Roman" w:hAnsi="Times New Roman"/>
          <w:sz w:val="20"/>
        </w:rPr>
        <w:t xml:space="preserve">Bakkt Trust currently provides custody services to Customers of Bakkt Marketplace and to its own institutional customers with respect to bitcoin and ethereum and is in the process of expanding the list of crypto assets for which it provides custody services to include more of the crypto assets which we support for trading. Pursuant to its coin listing policy, Bakkt Trust recently self-certified the provision of custody services for all of the crypto assets traded on Bakkt Crypto and Bakkt Marketplace. For a list of these crypto assets, see the table for Bakkt Trust under Crypto Assets and Services Offered by Bakkt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Company respectfully advises the Staff that Bakkt Brokerage, LLC is not engaged in any business activities at this time, although the Company maintains its registration as a U.S. broker-dealer. The Company has no current plans for Bakkt Brokerage, LLC to engage in future business activities. Any change in the Companys plans will need to comply with applicable rules and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4.</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Please revise your disclosure to discuss the capital requirements applicable to Bakkt Brokerage, LLC.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Because Bakkt Brokerage is not engaged in any business activities and we have no current plans for it to engage in future business activities, we respectfully submit that it is not necessary to disclose the capital requirements applicable to Bakkt Brokerage. The Company proposes to revise its disclosure to clarify the inactive status of Bakkt Brokerage. The proposed text is set forth below and included in Annex A under Corporate Structure. </w:t>
      </w:r>
    </w:p>
    <w:p>
      <w:pPr>
        <w:pStyle w:val="TextBody"/>
        <w:bidi w:val="0"/>
        <w:spacing w:before="120" w:after="0"/>
        <w:jc w:val="left"/>
        <w:rPr>
          <w:rFonts w:ascii="Times New Roman" w:hAnsi="Times New Roman"/>
          <w:sz w:val="20"/>
        </w:rPr>
      </w:pPr>
      <w:r>
        <w:rPr>
          <w:rFonts w:ascii="Times New Roman" w:hAnsi="Times New Roman"/>
          <w:sz w:val="20"/>
        </w:rPr>
        <w:t xml:space="preserve">We acquired Bumped Financial, LLC (renamed Bakkt Brokerage), a registered broker-dealer, in February 2023. Bakkt Brokerage is not engaged in any business activities at this time, and we have no current plans for it to engage in future business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i/>
              </w:rPr>
            </w:pPr>
            <w:r>
              <w:rPr>
                <w:i/>
              </w:rPr>
              <w:t>5.</w:t>
            </w:r>
          </w:p>
        </w:tc>
        <w:tc>
          <w:tcPr>
            <w:tcW w:w="980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disclosure on page 42 of your Form 10-Q for the period ended June 30, 2023 that you receive client platform fees. Please revise your disclosure to clarify what these fees are for and who pays them.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Crypto Assets and Services Offered by BakktRetail Customers  Crypto Asset Trading. </w:t>
      </w:r>
    </w:p>
    <w:p>
      <w:pPr>
        <w:pStyle w:val="TextBody"/>
        <w:bidi w:val="0"/>
        <w:spacing w:before="120" w:after="0"/>
        <w:jc w:val="left"/>
        <w:rPr>
          <w:rFonts w:ascii="Times New Roman" w:hAnsi="Times New Roman"/>
          <w:sz w:val="20"/>
        </w:rPr>
      </w:pPr>
      <w:r>
        <w:rPr>
          <w:rFonts w:ascii="Times New Roman" w:hAnsi="Times New Roman"/>
          <w:sz w:val="20"/>
        </w:rPr>
        <w:t xml:space="preserve">We have agreements with Clients that entitle us to receive recurring subscription revenues in the form of platform fees for the use of our platforms by Clients and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6.</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Please revise to describe the terms and provisions of your insurance policies, including insurance policies covering the crypto assets that you hold on behalf of customers in wallets in your custody or with third-party custodians, including, the amount of coverage, term, termination provisions, renewal options and limitations on coverage. </w:t>
            </w:r>
          </w:p>
        </w:tc>
      </w:tr>
    </w:tbl>
    <w:p>
      <w:pPr>
        <w:pStyle w:val="TextBody"/>
        <w:bidi w:val="0"/>
        <w:spacing w:before="24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Insurance Matters. </w:t>
      </w:r>
    </w:p>
    <w:p>
      <w:pPr>
        <w:pStyle w:val="TextBody"/>
        <w:bidi w:val="0"/>
        <w:spacing w:before="120" w:after="0"/>
        <w:jc w:val="left"/>
        <w:rPr>
          <w:rFonts w:ascii="Times New Roman" w:hAnsi="Times New Roman"/>
          <w:sz w:val="20"/>
        </w:rPr>
      </w:pPr>
      <w:r>
        <w:rPr>
          <w:rFonts w:ascii="Times New Roman" w:hAnsi="Times New Roman"/>
          <w:sz w:val="20"/>
        </w:rPr>
        <w:t xml:space="preserve">We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employee and fiduciary liability and officers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also be covered for certain liabilities by insurance policies issued to third parties, including, but not limited to, our dealers and vendors.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crypto assets, we maintain crime insurance with $100.0 million of coverage for amounts held in cold wallets and $25.0 million of coverage for amounts held in hot wallets, in each case, with a $1.0 million deductible. The policy term is one year, from July 1, 2023 to June 30, 2024. The policy is non-cancellable, other than for (i) a change of control of the Company, (ii) bankruptcy or liquidation of the Company or (iii) non-payment of premium by the Company. There are no automatic or guaranteed renewal provisions, although we expect to renew such coverage prior to its expiration, if possible. The policy contains customary exclusions and limitations of coverage as per industry standards.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7.</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proposed disclosure that Bakkt Crypto account holders are able to purchase crypto assets, store crypto assets in Bakkt Crypto-controlled wallets, liquidate their holdings, and transfer select crypto assets between a Bakkt Crypto-controlled wallet and external wallets in certain jurisdictions. Please revise your disclosure to clarify whether there currently are, or in the future may be, any crypto assets that Bakkt account holders are able to purchase that cannot be transferred to an external wallet (i.e., off Bakkt Cryptos platform). If any such crypto assets are currently known or expected, please revise to affirmatively identify the same to the extent the information is material and reasonably available.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 Custody Services for the Crypto Assets Supported for Trading  External Transfers of Crypto Assets (through Bakkt Crypto).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State of New York, all crypto assets that we make available to Customers are transferable to external wallets, with the exception of Ethereum Classic (ETC) and Dogecoin (DOGE), which are under development and are expected to be supported for transfers in the first quarter of 2024. Because we have structured our platforms to be Client-configurable in several aspects, each Client has the discretion to enable this transfer feature for its Customers. Crypto assets made available to Customers residing in the State of New York are not transferable to external wallets.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8.</w:t>
            </w:r>
          </w:p>
        </w:tc>
        <w:tc>
          <w:tcPr>
            <w:tcW w:w="979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proposed disclosure under this heading that, Bakkt Crypto offers consumers the opportunity to purchase, store and sell virtual currencies through front-end trading platforms sponsored by Bakkt Cryptos third-party partners. Please revise to include diagrams, along with narrative descriptions of how Bakkt Cryptos business model works, including the different types of customer transactions and depicting the flow of funds between parties involved. Your discussion should clarify your role in the transaction (e.g., principal vs. agent) and at what point(s) in the process commissions and fees are recognized and earned on all customer transactions. In addition, similar information should be provided reflecting all of the companys rights or abilities to borrow, pledge, repledge, hypothecate, rehypothecate, loan or invest the customer assets as well as their own.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 addition, and for example purposes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Please revise to describe how transactions are executed and settled. Please also clarify if Bakkt Crypto routes orders to other trading venues and whether customers are required to pre-fund their transactions.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Please revise to clarify how the Bakkt Crypto trading platform differs from or interacts with the trading platform operated by Bakkt Marketplace, and clarify whether or not it is your intent to combine these platforms.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Please identify the third-party partners to which you refer and identify the role of each third-party partner.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You state that Bakkt Crypto is gauging demand for, among other things, internal and/or external wallet transfers of crypto assets, subject to risk assessment on incoming and outgoing transfers. Please clarify what this is intended to refer to and how it differs from Bakkt Cryptos existing operations.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You state that a majority of the fintech partners with which Bakkt Crypto had an agreement are also part of Apex Fintech Solutions client network. Please elaborate on this statement and how it relates to Bakkt Cryptos business.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You state that [i]n most cases, the agreements also contain provisions giving Bakkt Crypto discretion in the choice of crypto assets offered to each partner through its platform (emphasis added). Does this mean that, in some cases, Bakkt Crypto is contractually obligated to provide services relating to certain crypto assets that it might not otherwise support? If so, please discuss the regulatory risks associated with these contractual provisions.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Bakkt Crypto offers Customers the ability to purchase, sell, store, and, in approved jurisdictions, deposit and withdraw approved crypto assets, all from within the applications of its Clients with whom Customers already have a relationship. Using Bakkt Cryptos platform, Customers can: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
        <w:gridCol w:w="304"/>
        <w:gridCol w:w="201"/>
        <w:gridCol w:w="9397"/>
      </w:tblGrid>
      <w:tr>
        <w:trPr/>
        <w:tc>
          <w:tcPr>
            <w:tcW w:w="303"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approved crypto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
        <w:gridCol w:w="304"/>
        <w:gridCol w:w="201"/>
        <w:gridCol w:w="9397"/>
      </w:tblGrid>
      <w:tr>
        <w:trPr/>
        <w:tc>
          <w:tcPr>
            <w:tcW w:w="303"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store approved crypto assets in custodial wallets;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
        <w:gridCol w:w="304"/>
        <w:gridCol w:w="201"/>
        <w:gridCol w:w="9397"/>
      </w:tblGrid>
      <w:tr>
        <w:trPr/>
        <w:tc>
          <w:tcPr>
            <w:tcW w:w="303"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their approved crypto asset holdings.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discussed in Response 7 above, Bakkt Crypto permits Customers in approved jurisdictions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305"/>
        <w:gridCol w:w="202"/>
        <w:gridCol w:w="9394"/>
      </w:tblGrid>
      <w:tr>
        <w:trPr/>
        <w:tc>
          <w:tcPr>
            <w:tcW w:w="30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supported crypto assets from external wallets to custodial wallets maintained by Bakkt Crypto;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305"/>
        <w:gridCol w:w="202"/>
        <w:gridCol w:w="9394"/>
      </w:tblGrid>
      <w:tr>
        <w:trPr/>
        <w:tc>
          <w:tcPr>
            <w:tcW w:w="30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supported crypto assets from internal wallets maintained by Bakkt Crypto to external wallets.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Bakkt Crypto is in the process of developing functionalities enabling Customers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304"/>
        <w:gridCol w:w="202"/>
        <w:gridCol w:w="9395"/>
      </w:tblGrid>
      <w:tr>
        <w:trPr/>
        <w:tc>
          <w:tcPr>
            <w:tcW w:w="304"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applicable regulatory approvals, transfer supported crypto assets between registered Customers of the Company (</w:t>
            </w:r>
            <w:r>
              <w:rPr>
                <w:rFonts w:ascii="Times New Roman" w:hAnsi="Times New Roman"/>
                <w:sz w:val="20"/>
                <w:u w:val="single"/>
              </w:rPr>
              <w:t>P2P Transfers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306"/>
        <w:gridCol w:w="201"/>
        <w:gridCol w:w="9393"/>
      </w:tblGrid>
      <w:tr>
        <w:trPr/>
        <w:tc>
          <w:tcPr>
            <w:tcW w:w="30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certain loyalty and rewards points into supported crypto assets.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Annex A under Crypto Asset Trading, customers may purchase approved crypto assets through Bakkt Crypto utilizing one of four funding 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fiat wallet (see Fig. 1 below and in Annex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Customers Banking as a Service (</w:t>
            </w:r>
            <w:r>
              <w:rPr>
                <w:rFonts w:ascii="Times New Roman" w:hAnsi="Times New Roman"/>
                <w:sz w:val="20"/>
                <w:u w:val="single"/>
              </w:rPr>
              <w:t>BaaS</w:t>
            </w:r>
            <w:r>
              <w:rPr>
                <w:rFonts w:ascii="Times New Roman" w:hAnsi="Times New Roman"/>
                <w:sz w:val="20"/>
              </w:rPr>
              <w:t xml:space="preserve">) provider account (see Fig. 2 below and in Annex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brokerage account (see Fig. 3 below and in Annex 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points/rewards account with a participating loyalty partner (see Fig. 4 below and in Annex A; expected to become available in the first quarter of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Customers may sell crypto assets through Bakkt Crypto. The proceeds from a sale can be directed to one of three potential Customer accounts: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fiat wallet (see Fig. 5 below and in Annex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BaaS account (see Fig. 6 below and in Annex 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brokerage account (see Fig. 7 below and in Annex A).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w:t>
      </w:r>
    </w:p>
    <w:p>
      <w:pPr>
        <w:pStyle w:val="TextBody"/>
        <w:bidi w:val="0"/>
        <w:spacing w:before="240" w:after="0"/>
        <w:jc w:val="left"/>
        <w:rPr>
          <w:rFonts w:ascii="Times New Roman" w:hAnsi="Times New Roman"/>
          <w:sz w:val="20"/>
        </w:rPr>
      </w:pPr>
      <w:r>
        <w:rPr>
          <w:rFonts w:ascii="Times New Roman" w:hAnsi="Times New Roman"/>
          <w:sz w:val="20"/>
        </w:rPr>
        <w:t xml:space="preserve">Customers can submit an order request to purchase crypto assets by specifying the dollar value or coin quantity that they wish to purchase. The Clients user interface displays the estimated price or quantity, as applicable, as well as any transaction fees. 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Customers funding source is a fiat wallet, Bakkt Marketplace will debit the Customers fiat wallet on its internal ledger. During the daily net settlement period, fiat funds are transmitted from the FBO account to the Bakkt Crypto transaction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1    Crypto Assets Purchase Through A Fiat Wallet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81700" cy="2238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81700" cy="2238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2    Crypto Assets Purchase Through A Customers BaaS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91225" cy="2514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91225" cy="25146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Customers funding source is a brokerage account, Bakkt Crypto sends a message to ledger the funds from the Customers Brokerage Account at the brokerages clearing firm to the Bakkt Crypto Brokerage Account at the brokerages clearing firm. During the daily batch settlement period, fiat funds are transmitted from the Bakkt Crypto Brokerage account to the Bakkt Crypto Transaction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3    Crypto Assets Purchase Through A Customers Brokerage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48350" cy="2495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48350" cy="2495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points account at points/rewards Client, Bakkt Crypto will debit the Customers points account. During the daily batch settlement, funds are transferred from the rewards Client account to the Bakkt Crypto transaction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4     Crypto Assets Purchase Through A Customers Points/Rewards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7375" cy="2305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67375" cy="23050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fiat wallet, Bakkt Marketplace will credit the Customers fiat wallet on its internal ledger. During the daily batch settlement period, fiat funds are transmitted from the Bakkt Crypto transaction account to the FBO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5     Crypto Assets Sale with proceeds to the Customers Fiat Wallet Hosted by Bakkt Crypto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2152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62625" cy="21526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BaaS account, Bakkt Crypto sends a message to the Client that a trade has been executed. The Client then instructs the BaaS provider to transfer the funds from its BaaS FBO account to the Customers BaaS account. The BaaS provider will credit the Customers fiat wallet on its internal ledger. During the daily batch settlement period, fiat funds are transmitted from the Bakkt Crypto Transaction account to the BaaS FBO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6     Crypto Assets Sale with Proceeds to the Customers BaaS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72125" cy="2200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72125" cy="2200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Fig. 7     Crypto Assets Sale with Proceeds to the Customers Brokerage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29275" cy="2114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29275" cy="2114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Currently, all of the outstanding equity interests of Bakkt Crypto are held by Bakkt Marketplace. The Bakkt Crypto and Bakkt Marketplace platforms are operated separately, though Bakkt Marketplace provides fiat funding services to Bakkt Crypto in instances where a Client does not have that capability. The Bakkt Marketplace platform was originally conceived and built in connection with a consumer app that enabled crypto and other digital asset transactions, and, at the time represented the direct-to consumer business model which is no longer being pursued by the Company. In contrast, the Bakkt Crypto platform was originally conceived and built as an embedded crypto trading platform that would be integrated into Client environments to service Customers in those environments. Subject to applicable regulatory approvals, which it is presently pursuing, the Company intends to merge Bakkt Crypto with and into Bakkt Marketplace, with the surviving entity of the merger to be renamed Bakkt Crypto Solutions, LLC. The two platforms will then be combined into one business, which will be operated by the surviving entity. Similar to the Bakkt Crypto business model, the combined business will focus on a Client-led, or B2B2C, strategy, in which crypto assets solutions can be embedded into Client environments. </w:t>
      </w:r>
    </w:p>
    <w:p>
      <w:pPr>
        <w:pStyle w:val="TextBody"/>
        <w:bidi w:val="0"/>
        <w:spacing w:before="240" w:after="0"/>
        <w:jc w:val="left"/>
        <w:rPr>
          <w:rFonts w:ascii="Times New Roman" w:hAnsi="Times New Roman"/>
          <w:sz w:val="20"/>
        </w:rPr>
      </w:pPr>
      <w:r>
        <w:rPr>
          <w:rFonts w:ascii="Times New Roman" w:hAnsi="Times New Roman"/>
          <w:sz w:val="20"/>
        </w:rPr>
        <w:t xml:space="preserve">The third-party partners to which we refer in our disclosures are our Clients. Currently, a majority of the Clients with which Bakkt Crypto maintains agreements were initially referred through the client network of Apex Fintech Solutions, the former parent company of Bakkt Crypto (then known as Apex Crypto). We continue to have access to such Client network following the close of the Apex Crypto acquisition. </w:t>
      </w:r>
    </w:p>
    <w:p>
      <w:pPr>
        <w:pStyle w:val="TextBody"/>
        <w:bidi w:val="0"/>
        <w:spacing w:before="240" w:after="0"/>
        <w:jc w:val="left"/>
        <w:rPr>
          <w:rFonts w:ascii="Times New Roman" w:hAnsi="Times New Roman"/>
          <w:sz w:val="20"/>
        </w:rPr>
      </w:pPr>
      <w:r>
        <w:rPr>
          <w:rFonts w:ascii="Times New Roman" w:hAnsi="Times New Roman"/>
          <w:sz w:val="20"/>
        </w:rPr>
        <w:t xml:space="preserve">Bakkt Crypto only offers Customers crypto assets that it has approved for listing on the Bakkt Crypto platform.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and is not authorized to, borrow, pledge, repledge, hypothecate, rehypothecate, loan or invest Customer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9.</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references to virtual currencies and crypto assets. To the extent you are using these terms interchangeably, please revise your disclosure to use one term. If these terms are instead being used to mean different things, please revise to define each term on first use.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we use these terms interchangeably, for clarity, we will revise our disclosure to use only the term crypto assets. In certain limited cases, we plan to retain the use of terms other than crypto assets in order to align with corresponding legislation or regulations or for other similar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10.</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proposed disclosure under this heading that you are gauging demand for offering the following additional products or services in the near future to your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opportunity to purchase, store and sell non-fungible tokens or NFTs;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services for customers in jurisdictions outside of the United States;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internal and/or external wallet transfers of crypto assets, subject to risk assessment on incoming and outgoing transfers;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enhanced capabilities on your trading platform, including support for larger orders and recurring buys, and extending the platform to support institutional execution.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To the extent available, please revise to update the status of these potential products or services, including timelines and anticipated costs to making them available to your customers. </w:t>
      </w:r>
    </w:p>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disclosed in Annex A under Bakkt Crypto, the Company is actively pursuing opportunities to provide its crypto asset trading services in jurisdictions outside of the United States, including the United Kingdom, Hong Kong, Spain and throughout Latin America (including Mexico, Argentina and Brazil), subject to applicable local regulatory approvals. Bakkt Crypto is currently live with Customers in Spain, Mexico and Argentina through a partnership with a local Client. The platform is expected to be live in Brazil through the same Client in December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updates at this time on its plans to offer NFTs.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internal and external wallet transfers, please refer to our responses to Comments 7 and 8 above. </w:t>
      </w:r>
    </w:p>
    <w:p>
      <w:pPr>
        <w:pStyle w:val="TextBody"/>
        <w:bidi w:val="0"/>
        <w:spacing w:before="240" w:after="0"/>
        <w:jc w:val="left"/>
        <w:rPr>
          <w:rFonts w:ascii="Times New Roman" w:hAnsi="Times New Roman"/>
          <w:sz w:val="20"/>
        </w:rPr>
      </w:pPr>
      <w:r>
        <w:rPr>
          <w:rFonts w:ascii="Times New Roman" w:hAnsi="Times New Roman"/>
          <w:sz w:val="20"/>
        </w:rPr>
        <w:t xml:space="preserve">Bakkt Crypto executes a de minimis amount of trades for entity accounts in jurisdictions other than the State of New York. Subject to applicable regulatory approvals, Bakkt Crypto intends to expand the provision of trading services for institutional Clients.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Crypto Assets and Services Offered by Bakkt, 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11.</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table on page 3 identifying all of the crypto assets that you facilitate transactions in. Please revise to also identify all of the crypto asset services that you offer for each asset. Consider also using a table or chart to identify the corresponding services for each asset.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update the table in response to the Staffs comment. Please see below and included in Annex A under Crypto Assets and Services Offered by BakktRetail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Bakkt Crypto, Bakkt Marketplace and Bakkt Trust facilitate transactions in, and provide services for, the crypto assets listed in the tables below.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Bakkt Marketplace / Bakkt Crypto Solutions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0"/>
        <w:gridCol w:w="120"/>
        <w:gridCol w:w="1631"/>
        <w:gridCol w:w="120"/>
        <w:gridCol w:w="1605"/>
        <w:gridCol w:w="302"/>
        <w:gridCol w:w="1941"/>
        <w:gridCol w:w="120"/>
        <w:gridCol w:w="1946"/>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14"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Supported for</w:t>
            </w:r>
          </w:p>
        </w:tc>
      </w:tr>
      <w:tr>
        <w:trPr/>
        <w:tc>
          <w:tcPr>
            <w:tcW w:w="24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Crypto Asset</w:t>
            </w:r>
          </w:p>
        </w:tc>
        <w:tc>
          <w:tcPr>
            <w:tcW w:w="120" w:type="dxa"/>
            <w:tcBorders/>
            <w:vAlign w:val="bottom"/>
          </w:tcPr>
          <w:p>
            <w:pPr>
              <w:pStyle w:val="TableContents"/>
              <w:bidi w:val="0"/>
              <w:spacing w:before="0" w:after="283"/>
              <w:jc w:val="left"/>
              <w:rPr/>
            </w:pPr>
            <w:r>
              <w:rPr/>
              <w:t>  </w:t>
            </w:r>
          </w:p>
        </w:tc>
        <w:tc>
          <w:tcPr>
            <w:tcW w:w="16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0" w:type="dxa"/>
            <w:tcBorders/>
            <w:vAlign w:val="bottom"/>
          </w:tcPr>
          <w:p>
            <w:pPr>
              <w:pStyle w:val="TableContents"/>
              <w:bidi w:val="0"/>
              <w:spacing w:before="0" w:after="283"/>
              <w:jc w:val="left"/>
              <w:rPr/>
            </w:pPr>
            <w:r>
              <w:rPr/>
              <w:t>  </w:t>
            </w:r>
          </w:p>
        </w:tc>
        <w:tc>
          <w:tcPr>
            <w:tcW w:w="16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r>
          </w:p>
        </w:tc>
        <w:tc>
          <w:tcPr>
            <w:tcW w:w="302" w:type="dxa"/>
            <w:tcBorders/>
            <w:vAlign w:val="bottom"/>
          </w:tcPr>
          <w:p>
            <w:pPr>
              <w:pStyle w:val="TableContents"/>
              <w:bidi w:val="0"/>
              <w:spacing w:before="0" w:after="283"/>
              <w:jc w:val="left"/>
              <w:rPr/>
            </w:pPr>
            <w:r>
              <w:rPr/>
              <w:t>  </w:t>
            </w:r>
          </w:p>
        </w:tc>
        <w:tc>
          <w:tcPr>
            <w:tcW w:w="19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Transfers</w:t>
            </w:r>
          </w:p>
        </w:tc>
        <w:tc>
          <w:tcPr>
            <w:tcW w:w="120" w:type="dxa"/>
            <w:tcBorders/>
            <w:vAlign w:val="bottom"/>
          </w:tcPr>
          <w:p>
            <w:pPr>
              <w:pStyle w:val="TableContents"/>
              <w:bidi w:val="0"/>
              <w:spacing w:before="0" w:after="283"/>
              <w:jc w:val="left"/>
              <w:rPr/>
            </w:pPr>
            <w:r>
              <w:rPr/>
              <w:t>  </w:t>
            </w:r>
          </w:p>
        </w:tc>
        <w:tc>
          <w:tcPr>
            <w:tcW w:w="19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Rewards</w:t>
            </w:r>
          </w:p>
        </w:tc>
      </w:tr>
      <w:tr>
        <w:trPr/>
        <w:tc>
          <w:tcPr>
            <w:tcW w:w="2420" w:type="dxa"/>
            <w:tcBorders/>
          </w:tcPr>
          <w:p>
            <w:pPr>
              <w:pStyle w:val="TableContents"/>
              <w:bidi w:val="0"/>
              <w:spacing w:before="0" w:after="283"/>
              <w:jc w:val="left"/>
              <w:rPr/>
            </w:pPr>
            <w:r>
              <w:rPr/>
              <w:t>Bitcoin</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BTC</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br/>
              <w:t>(Planned Q1 2024)</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Bitcoin Cash</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BCH</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Dogecoin</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DOGE</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No (Planned Q1 2024*)</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Ethereum</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ETH</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0"/>
              <w:jc w:val="center"/>
              <w:rPr>
                <w:rFonts w:ascii="Times New Roman" w:hAnsi="Times New Roman"/>
                <w:sz w:val="20"/>
              </w:rPr>
            </w:pPr>
            <w:r>
              <w:rPr>
                <w:rFonts w:ascii="Times New Roman" w:hAnsi="Times New Roman"/>
                <w:sz w:val="20"/>
              </w:rPr>
              <w:t>No</w:t>
            </w:r>
          </w:p>
          <w:p>
            <w:pPr>
              <w:pStyle w:val="TableContents"/>
              <w:bidi w:val="0"/>
              <w:spacing w:before="0" w:after="20"/>
              <w:jc w:val="center"/>
              <w:rPr>
                <w:rFonts w:ascii="Times New Roman" w:hAnsi="Times New Roman"/>
                <w:sz w:val="20"/>
              </w:rPr>
            </w:pPr>
            <w:r>
              <w:rPr>
                <w:rFonts w:ascii="Times New Roman" w:hAnsi="Times New Roman"/>
                <w:sz w:val="20"/>
              </w:rPr>
              <w:t>(Planned 2024)</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Ethereum Classic</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ETC</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No Planned Q1 2024*</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Litecoin</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LTC</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Shiba Inu</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SHIB</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r>
          </w:p>
        </w:tc>
      </w:tr>
      <w:tr>
        <w:trPr>
          <w:trHeight w:val="120" w:hRule="atLeast"/>
        </w:trPr>
        <w:tc>
          <w:tcPr>
            <w:tcW w:w="2420" w:type="dxa"/>
            <w:tcBorders/>
            <w:vAlign w:val="center"/>
          </w:tcPr>
          <w:p>
            <w:pPr>
              <w:pStyle w:val="TableContents"/>
              <w:bidi w:val="0"/>
              <w:spacing w:before="0" w:after="283"/>
              <w:jc w:val="left"/>
              <w:rPr>
                <w:sz w:val="4"/>
                <w:szCs w:val="4"/>
              </w:rPr>
            </w:pPr>
            <w:r>
              <w:rPr>
                <w:sz w:val="4"/>
                <w:szCs w:val="4"/>
              </w:rPr>
            </w:r>
          </w:p>
        </w:tc>
        <w:tc>
          <w:tcPr>
            <w:tcW w:w="1751" w:type="dxa"/>
            <w:gridSpan w:val="2"/>
            <w:tcBorders/>
            <w:vAlign w:val="center"/>
          </w:tcPr>
          <w:p>
            <w:pPr>
              <w:pStyle w:val="TableContents"/>
              <w:bidi w:val="0"/>
              <w:spacing w:before="0" w:after="283"/>
              <w:jc w:val="left"/>
              <w:rPr>
                <w:sz w:val="4"/>
                <w:szCs w:val="4"/>
              </w:rPr>
            </w:pPr>
            <w:r>
              <w:rPr>
                <w:sz w:val="4"/>
                <w:szCs w:val="4"/>
              </w:rPr>
            </w:r>
          </w:p>
        </w:tc>
        <w:tc>
          <w:tcPr>
            <w:tcW w:w="1725" w:type="dxa"/>
            <w:gridSpan w:val="2"/>
            <w:tcBorders/>
            <w:vAlign w:val="center"/>
          </w:tcPr>
          <w:p>
            <w:pPr>
              <w:pStyle w:val="TableContents"/>
              <w:bidi w:val="0"/>
              <w:spacing w:before="0" w:after="283"/>
              <w:jc w:val="left"/>
              <w:rPr>
                <w:sz w:val="4"/>
                <w:szCs w:val="4"/>
              </w:rPr>
            </w:pPr>
            <w:r>
              <w:rPr>
                <w:sz w:val="4"/>
                <w:szCs w:val="4"/>
              </w:rPr>
            </w:r>
          </w:p>
        </w:tc>
        <w:tc>
          <w:tcPr>
            <w:tcW w:w="2243"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r>
      <w:tr>
        <w:trPr/>
        <w:tc>
          <w:tcPr>
            <w:tcW w:w="2420" w:type="dxa"/>
            <w:tcBorders/>
          </w:tcPr>
          <w:p>
            <w:pPr>
              <w:pStyle w:val="TableContents"/>
              <w:bidi w:val="0"/>
              <w:spacing w:before="0" w:after="283"/>
              <w:jc w:val="left"/>
              <w:rPr/>
            </w:pPr>
            <w:r>
              <w:rPr/>
              <w:t>USD Coin</w:t>
            </w:r>
          </w:p>
        </w:tc>
        <w:tc>
          <w:tcPr>
            <w:tcW w:w="120"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center"/>
              <w:rPr/>
            </w:pPr>
            <w:r>
              <w:rPr/>
              <w:t>USDC</w:t>
            </w:r>
          </w:p>
        </w:tc>
        <w:tc>
          <w:tcPr>
            <w:tcW w:w="120"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center"/>
              <w:rPr/>
            </w:pPr>
            <w:r>
              <w:rPr/>
              <w:t>Yes*</w:t>
            </w:r>
          </w:p>
        </w:tc>
        <w:tc>
          <w:tcPr>
            <w:tcW w:w="302"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946" w:type="dxa"/>
            <w:tcBorders/>
          </w:tcPr>
          <w:p>
            <w:pPr>
              <w:pStyle w:val="TableContents"/>
              <w:bidi w:val="0"/>
              <w:spacing w:before="0" w:after="283"/>
              <w:jc w:val="center"/>
              <w:rPr/>
            </w:pPr>
            <w:r>
              <w:rPr/>
              <w:t>No</w:t>
            </w:r>
          </w:p>
        </w:tc>
      </w:tr>
    </w:tbl>
    <w:p>
      <w:pPr>
        <w:pStyle w:val="TextBody"/>
        <w:bidi w:val="0"/>
        <w:spacing w:before="360" w:after="0"/>
        <w:jc w:val="left"/>
        <w:rPr>
          <w:rFonts w:ascii="Times New Roman" w:hAnsi="Times New Roman"/>
          <w:sz w:val="20"/>
        </w:rPr>
      </w:pPr>
      <w:r>
        <w:rPr>
          <w:rFonts w:ascii="Times New Roman" w:hAnsi="Times New Roman"/>
          <w:sz w:val="20"/>
        </w:rPr>
        <w:t xml:space="preserve">* Except for the State of New York.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Bakkt Trust</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6"/>
        <w:gridCol w:w="120"/>
        <w:gridCol w:w="2405"/>
        <w:gridCol w:w="120"/>
        <w:gridCol w:w="2440"/>
        <w:gridCol w:w="120"/>
        <w:gridCol w:w="2164"/>
      </w:tblGrid>
      <w:tr>
        <w:trPr/>
        <w:tc>
          <w:tcPr>
            <w:tcW w:w="2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2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Supported for</w:t>
            </w:r>
          </w:p>
        </w:tc>
      </w:tr>
      <w:tr>
        <w:trPr/>
        <w:tc>
          <w:tcPr>
            <w:tcW w:w="2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Crypto Asset</w:t>
            </w:r>
          </w:p>
        </w:tc>
        <w:tc>
          <w:tcPr>
            <w:tcW w:w="120" w:type="dxa"/>
            <w:tcBorders/>
            <w:vAlign w:val="bottom"/>
          </w:tcPr>
          <w:p>
            <w:pPr>
              <w:pStyle w:val="TableContents"/>
              <w:bidi w:val="0"/>
              <w:spacing w:before="0" w:after="283"/>
              <w:jc w:val="left"/>
              <w:rPr/>
            </w:pPr>
            <w:r>
              <w:rPr/>
              <w:t>  </w:t>
            </w:r>
          </w:p>
        </w:tc>
        <w:tc>
          <w:tcPr>
            <w:tcW w:w="24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0" w:type="dxa"/>
            <w:tcBorders/>
            <w:vAlign w:val="bottom"/>
          </w:tcPr>
          <w:p>
            <w:pPr>
              <w:pStyle w:val="TableContents"/>
              <w:bidi w:val="0"/>
              <w:spacing w:before="0" w:after="283"/>
              <w:jc w:val="left"/>
              <w:rPr/>
            </w:pPr>
            <w:r>
              <w:rPr/>
              <w:t>  </w:t>
            </w:r>
          </w:p>
        </w:tc>
        <w:tc>
          <w:tcPr>
            <w:tcW w:w="24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Custody</w:t>
            </w:r>
          </w:p>
        </w:tc>
        <w:tc>
          <w:tcPr>
            <w:tcW w:w="120" w:type="dxa"/>
            <w:tcBorders/>
            <w:vAlign w:val="bottom"/>
          </w:tcPr>
          <w:p>
            <w:pPr>
              <w:pStyle w:val="TableContents"/>
              <w:bidi w:val="0"/>
              <w:spacing w:before="0" w:after="283"/>
              <w:jc w:val="left"/>
              <w:rPr/>
            </w:pPr>
            <w:r>
              <w:rPr/>
              <w:t>  </w:t>
            </w:r>
          </w:p>
        </w:tc>
        <w:tc>
          <w:tcPr>
            <w:tcW w:w="21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Transfers</w:t>
            </w:r>
          </w:p>
        </w:tc>
      </w:tr>
      <w:tr>
        <w:trPr/>
        <w:tc>
          <w:tcPr>
            <w:tcW w:w="2836" w:type="dxa"/>
            <w:tcBorders/>
          </w:tcPr>
          <w:p>
            <w:pPr>
              <w:pStyle w:val="TableContents"/>
              <w:bidi w:val="0"/>
              <w:spacing w:before="0" w:after="283"/>
              <w:jc w:val="left"/>
              <w:rPr/>
            </w:pPr>
            <w:r>
              <w:rPr/>
              <w:t>Bitcoin</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BTC</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Yes*</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Bitcoin Cash</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BCH</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No</w:t>
              <w:br/>
              <w:t>(Planned Q4 2023)</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No</w:t>
              <w:br/>
              <w:t>(Planned Q4 2023)</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Dogecoin</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DOGE</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No</w:t>
              <w:br/>
              <w:t>(Planned Q4 2023)</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No</w:t>
              <w:br/>
              <w:t>(Planned Q4 2023)</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Ethereum</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ETH</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Yes*</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Ethereum Classic</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ETC</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No</w:t>
              <w:br/>
              <w:t>(Planned Q4 2023)</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No</w:t>
              <w:br/>
              <w:t>(Planned Q4 2023)</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Litecoin</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LTC</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No</w:t>
              <w:br/>
              <w:t>(Planned Q4 2023)</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No</w:t>
              <w:br/>
              <w:t>(Planned Q4 2023)</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Shiba Inu</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SHIB</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No</w:t>
              <w:br/>
              <w:t>(Planned Q4 2023)</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No</w:t>
              <w:br/>
              <w:t>(Planned Q4 2023)</w:t>
            </w:r>
          </w:p>
        </w:tc>
      </w:tr>
      <w:tr>
        <w:trPr>
          <w:trHeight w:val="120" w:hRule="atLeast"/>
        </w:trPr>
        <w:tc>
          <w:tcPr>
            <w:tcW w:w="2836" w:type="dxa"/>
            <w:tcBorders/>
            <w:vAlign w:val="center"/>
          </w:tcPr>
          <w:p>
            <w:pPr>
              <w:pStyle w:val="TableContents"/>
              <w:bidi w:val="0"/>
              <w:spacing w:before="0" w:after="283"/>
              <w:jc w:val="left"/>
              <w:rPr>
                <w:sz w:val="4"/>
                <w:szCs w:val="4"/>
              </w:rPr>
            </w:pPr>
            <w:r>
              <w:rPr>
                <w:sz w:val="4"/>
                <w:szCs w:val="4"/>
              </w:rPr>
            </w:r>
          </w:p>
        </w:tc>
        <w:tc>
          <w:tcPr>
            <w:tcW w:w="2525" w:type="dxa"/>
            <w:gridSpan w:val="2"/>
            <w:tcBorders/>
            <w:vAlign w:val="center"/>
          </w:tcPr>
          <w:p>
            <w:pPr>
              <w:pStyle w:val="TableContents"/>
              <w:bidi w:val="0"/>
              <w:spacing w:before="0" w:after="283"/>
              <w:jc w:val="left"/>
              <w:rPr>
                <w:sz w:val="4"/>
                <w:szCs w:val="4"/>
              </w:rPr>
            </w:pPr>
            <w:r>
              <w:rPr>
                <w:sz w:val="4"/>
                <w:szCs w:val="4"/>
              </w:rPr>
            </w:r>
          </w:p>
        </w:tc>
        <w:tc>
          <w:tcPr>
            <w:tcW w:w="2560" w:type="dxa"/>
            <w:gridSpan w:val="2"/>
            <w:tcBorders/>
            <w:vAlign w:val="center"/>
          </w:tcPr>
          <w:p>
            <w:pPr>
              <w:pStyle w:val="TableContents"/>
              <w:bidi w:val="0"/>
              <w:spacing w:before="0" w:after="283"/>
              <w:jc w:val="left"/>
              <w:rPr>
                <w:sz w:val="4"/>
                <w:szCs w:val="4"/>
              </w:rPr>
            </w:pPr>
            <w:r>
              <w:rPr>
                <w:sz w:val="4"/>
                <w:szCs w:val="4"/>
              </w:rPr>
            </w:r>
          </w:p>
        </w:tc>
        <w:tc>
          <w:tcPr>
            <w:tcW w:w="2284"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tcPr>
          <w:p>
            <w:pPr>
              <w:pStyle w:val="TableContents"/>
              <w:bidi w:val="0"/>
              <w:spacing w:before="0" w:after="283"/>
              <w:jc w:val="left"/>
              <w:rPr/>
            </w:pPr>
            <w:r>
              <w:rPr/>
              <w:t>USD Coin</w:t>
            </w:r>
          </w:p>
        </w:tc>
        <w:tc>
          <w:tcPr>
            <w:tcW w:w="120" w:type="dxa"/>
            <w:tcBorders/>
            <w:vAlign w:val="bottom"/>
          </w:tcPr>
          <w:p>
            <w:pPr>
              <w:pStyle w:val="TableContents"/>
              <w:bidi w:val="0"/>
              <w:spacing w:before="0" w:after="283"/>
              <w:jc w:val="left"/>
              <w:rPr/>
            </w:pPr>
            <w:r>
              <w:rPr/>
              <w:t>  </w:t>
            </w:r>
          </w:p>
        </w:tc>
        <w:tc>
          <w:tcPr>
            <w:tcW w:w="2405" w:type="dxa"/>
            <w:tcBorders/>
          </w:tcPr>
          <w:p>
            <w:pPr>
              <w:pStyle w:val="TableContents"/>
              <w:bidi w:val="0"/>
              <w:spacing w:before="0" w:after="283"/>
              <w:jc w:val="center"/>
              <w:rPr/>
            </w:pPr>
            <w:r>
              <w:rPr/>
              <w:t>USDC</w:t>
            </w:r>
          </w:p>
        </w:tc>
        <w:tc>
          <w:tcPr>
            <w:tcW w:w="120" w:type="dxa"/>
            <w:tcBorders/>
            <w:vAlign w:val="bottom"/>
          </w:tcPr>
          <w:p>
            <w:pPr>
              <w:pStyle w:val="TableContents"/>
              <w:bidi w:val="0"/>
              <w:spacing w:before="0" w:after="283"/>
              <w:jc w:val="left"/>
              <w:rPr/>
            </w:pPr>
            <w:r>
              <w:rPr/>
              <w:t>  </w:t>
            </w:r>
          </w:p>
        </w:tc>
        <w:tc>
          <w:tcPr>
            <w:tcW w:w="2440" w:type="dxa"/>
            <w:tcBorders/>
          </w:tcPr>
          <w:p>
            <w:pPr>
              <w:pStyle w:val="TableContents"/>
              <w:bidi w:val="0"/>
              <w:spacing w:before="0" w:after="283"/>
              <w:jc w:val="center"/>
              <w:rPr/>
            </w:pPr>
            <w:r>
              <w:rPr/>
              <w:t>No</w:t>
              <w:br/>
              <w:t>(Planned Q4 2023)</w:t>
            </w:r>
          </w:p>
        </w:tc>
        <w:tc>
          <w:tcPr>
            <w:tcW w:w="120" w:type="dxa"/>
            <w:tcBorders/>
            <w:vAlign w:val="bottom"/>
          </w:tcPr>
          <w:p>
            <w:pPr>
              <w:pStyle w:val="TableContents"/>
              <w:bidi w:val="0"/>
              <w:spacing w:before="0" w:after="283"/>
              <w:jc w:val="left"/>
              <w:rPr/>
            </w:pPr>
            <w:r>
              <w:rPr/>
              <w:t>  </w:t>
            </w:r>
          </w:p>
        </w:tc>
        <w:tc>
          <w:tcPr>
            <w:tcW w:w="2164" w:type="dxa"/>
            <w:tcBorders/>
          </w:tcPr>
          <w:p>
            <w:pPr>
              <w:pStyle w:val="TableContents"/>
              <w:bidi w:val="0"/>
              <w:spacing w:before="0" w:after="283"/>
              <w:jc w:val="center"/>
              <w:rPr/>
            </w:pPr>
            <w:r>
              <w:rPr/>
              <w:t>No</w:t>
              <w:br/>
              <w:t>(Planned Q4 2023)</w:t>
            </w:r>
          </w:p>
        </w:tc>
      </w:tr>
    </w:tbl>
    <w:p>
      <w:pPr>
        <w:pStyle w:val="TextBody"/>
        <w:bidi w:val="0"/>
        <w:spacing w:before="240" w:after="0"/>
        <w:jc w:val="left"/>
        <w:rPr>
          <w:rFonts w:ascii="Times New Roman" w:hAnsi="Times New Roman"/>
          <w:sz w:val="20"/>
        </w:rPr>
      </w:pPr>
      <w:r>
        <w:rPr>
          <w:rFonts w:ascii="Times New Roman" w:hAnsi="Times New Roman"/>
          <w:sz w:val="20"/>
        </w:rPr>
        <w:t xml:space="preserve">* Except for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12.</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We note your proposed disclosure that [a]s of August 2, 2023, [you] have delisted, or determined to delist, 37 of the 45 crypto assets that had historically been available for trading on the Bakkt Crypto platform. Please revise to clarify the specific date or dates on which the crypto assets were delisted. Please also discuss how you expect those delistings to impact your business and results of operations in future periods.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update the table in response to the Staffs comment. Please see below and in the section entitled Crypto Assets and Services Offered by Bakkt in Annex A. </w:t>
      </w:r>
    </w:p>
    <w:p>
      <w:pPr>
        <w:pStyle w:val="TextBody"/>
        <w:bidi w:val="0"/>
        <w:spacing w:before="240" w:after="0"/>
        <w:jc w:val="left"/>
        <w:rPr>
          <w:rFonts w:ascii="Times New Roman" w:hAnsi="Times New Roman"/>
          <w:sz w:val="20"/>
        </w:rPr>
      </w:pPr>
      <w:r>
        <w:rPr>
          <w:rFonts w:ascii="Times New Roman" w:hAnsi="Times New Roman"/>
          <w:sz w:val="20"/>
        </w:rPr>
        <w:t xml:space="preserve">Following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such meme coins have been subject to anecdotal spikes in trading activity which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1"/>
        <w:gridCol w:w="4870"/>
      </w:tblGrid>
      <w:tr>
        <w:trPr/>
        <w:tc>
          <w:tcPr>
            <w:tcW w:w="52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0" w:type="dxa"/>
            <w:tcBorders/>
            <w:vAlign w:val="center"/>
          </w:tcPr>
          <w:p>
            <w:pPr>
              <w:pStyle w:val="TableContents"/>
              <w:bidi w:val="0"/>
              <w:spacing w:before="0" w:after="283"/>
              <w:jc w:val="left"/>
              <w:rPr>
                <w:sz w:val="4"/>
                <w:szCs w:val="4"/>
              </w:rPr>
            </w:pPr>
            <w:r>
              <w:rPr>
                <w:sz w:val="4"/>
                <w:szCs w:val="4"/>
              </w:rPr>
            </w:r>
          </w:p>
        </w:tc>
      </w:tr>
      <w:tr>
        <w:trPr/>
        <w:tc>
          <w:tcPr>
            <w:tcW w:w="52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Crypto Asset (Symbol)</w:t>
            </w:r>
          </w:p>
        </w:tc>
        <w:tc>
          <w:tcPr>
            <w:tcW w:w="121" w:type="dxa"/>
            <w:tcBorders/>
            <w:vAlign w:val="bottom"/>
          </w:tcPr>
          <w:p>
            <w:pPr>
              <w:pStyle w:val="TableContents"/>
              <w:bidi w:val="0"/>
              <w:spacing w:before="0" w:after="283"/>
              <w:jc w:val="left"/>
              <w:rPr/>
            </w:pPr>
            <w:r>
              <w:rPr/>
              <w:t>  </w:t>
            </w:r>
          </w:p>
        </w:tc>
        <w:tc>
          <w:tcPr>
            <w:tcW w:w="48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Delisting</w:t>
            </w:r>
          </w:p>
        </w:tc>
      </w:tr>
      <w:tr>
        <w:trPr/>
        <w:tc>
          <w:tcPr>
            <w:tcW w:w="5214" w:type="dxa"/>
            <w:tcBorders/>
          </w:tcPr>
          <w:p>
            <w:pPr>
              <w:pStyle w:val="TableContents"/>
              <w:bidi w:val="0"/>
              <w:spacing w:before="0" w:after="283"/>
              <w:jc w:val="left"/>
              <w:rPr/>
            </w:pPr>
            <w:r>
              <w:rPr/>
              <w:t>AMP</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December 6, 2022</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CRO; DASH; ONE; LUNA; LUNC; ZEC</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February 15, 2023</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ALGO; MANA</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April 21, 2023</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COMP; GALA; YFI; LRC; ICP; BAT; LINK; APE; MKR; REN; BNT; SNX; ATOM; GRT; AAVE; FIL; XTZ; AVAX; UNI; XLM; CHZ; SUSHI; CRV; ENJ; FTM; SOL; ADA; MATIC</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September 19, 2023</w:t>
            </w:r>
          </w:p>
        </w:tc>
      </w:tr>
    </w:tbl>
    <w:p>
      <w:pPr>
        <w:pStyle w:val="TextBody"/>
        <w:bidi w:val="0"/>
        <w:spacing w:before="240" w:after="0"/>
        <w:jc w:val="left"/>
        <w:rPr>
          <w:rFonts w:ascii="Times New Roman" w:hAnsi="Times New Roman"/>
          <w:sz w:val="20"/>
        </w:rPr>
      </w:pPr>
      <w:r>
        <w:rPr>
          <w:rFonts w:ascii="Times New Roman" w:hAnsi="Times New Roman"/>
          <w:sz w:val="20"/>
          <w:u w:val="single"/>
        </w:rPr>
        <w:t>Crypto Services for Retail Customers, page 3</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in response to comment 4 that you intend to expand your services to include crypto payouts and crypto rewards. Please provide expanded disclosure regarding these proposed services and disclose the steps necessary to introduce each service. Also please disclose the expected timeline and associated costs and risks related to the development and operation of each service.</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Bakkt Rewards. </w:t>
      </w:r>
    </w:p>
    <w:p>
      <w:pPr>
        <w:pStyle w:val="TextBody"/>
        <w:bidi w:val="0"/>
        <w:spacing w:before="120" w:after="0"/>
        <w:jc w:val="left"/>
        <w:rPr>
          <w:rFonts w:ascii="Times New Roman" w:hAnsi="Times New Roman"/>
          <w:sz w:val="20"/>
        </w:rPr>
      </w:pPr>
      <w:r>
        <w:rPr>
          <w:rFonts w:ascii="Times New Roman" w:hAnsi="Times New Roman"/>
          <w:i/>
          <w:sz w:val="20"/>
        </w:rPr>
        <w:t>Bakkt Rewards.</w:t>
      </w:r>
      <w:r>
        <w:rPr>
          <w:rFonts w:ascii="Times New Roman" w:hAnsi="Times New Roman"/>
          <w:sz w:val="20"/>
        </w:rPr>
        <w:t xml:space="preserve"> 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quarter of 2024. </w:t>
      </w:r>
    </w:p>
    <w:p>
      <w:pPr>
        <w:pStyle w:val="TextBody"/>
        <w:bidi w:val="0"/>
        <w:spacing w:before="120" w:after="0"/>
        <w:jc w:val="left"/>
        <w:rPr>
          <w:rFonts w:ascii="Times New Roman" w:hAnsi="Times New Roman"/>
          <w:sz w:val="20"/>
        </w:rPr>
      </w:pPr>
      <w:r>
        <w:rPr>
          <w:rFonts w:ascii="Times New Roman" w:hAnsi="Times New Roman"/>
          <w:sz w:val="20"/>
        </w:rPr>
        <w:t xml:space="preserve">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(a) the redemption rate of Client loyalty points to USD, (which is set by the Client), and (b)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Bakkt Crypto-approved crypto assets. The Bakkt-managed interface will not allow Customers to open an account directly unless they are referred via a supported Client. </w:t>
      </w:r>
    </w:p>
    <w:p>
      <w:pPr>
        <w:pStyle w:val="TextBody"/>
        <w:bidi w:val="0"/>
        <w:spacing w:before="120" w:after="0"/>
        <w:jc w:val="left"/>
        <w:rPr>
          <w:rFonts w:ascii="Times New Roman" w:hAnsi="Times New Roman"/>
          <w:sz w:val="20"/>
        </w:rPr>
      </w:pPr>
      <w:r>
        <w:rPr>
          <w:rFonts w:ascii="Times New Roman" w:hAnsi="Times New Roman"/>
          <w:sz w:val="20"/>
        </w:rPr>
        <w:t xml:space="preserve">Bakkt Rewards will initially be supported by the Bakkt Marketplace platform and, once it combines with Bakkt Crypto, by the platform of the combined entity.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Other Potential Services in Annex A the Company will revise its disclosure to state that it has elected to suspend the development of the Bakkt Payouts product indefinitely.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that you are evaluating opportunities to offer staking (only to customers in jurisdictions outside of the United States). Please tell us whether or not you intend to have a staking program, and provide disclosure regarding any staking program to the extent available. Please also disclose the expected timeline and associated costs and risks related to the development and operation of a staking program. To the extent that you may offer staking to your customers but do not have a timeline related to the development of the staking program, in future filings, please disclose the factors you will consider when determining whether and when to offer a staking program to your customers.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Other Potential Services. </w:t>
      </w:r>
    </w:p>
    <w:p>
      <w:pPr>
        <w:pStyle w:val="TextBody"/>
        <w:bidi w:val="0"/>
        <w:spacing w:before="120" w:after="0"/>
        <w:jc w:val="left"/>
        <w:rPr>
          <w:rFonts w:ascii="Times New Roman" w:hAnsi="Times New Roman"/>
          <w:sz w:val="20"/>
        </w:rPr>
      </w:pPr>
      <w:r>
        <w:rPr>
          <w:rFonts w:ascii="Times New Roman" w:hAnsi="Times New Roman"/>
          <w:sz w:val="20"/>
        </w:rPr>
        <w:t xml:space="preserve">We evaluated opportunities to offer staking and have postponed further development and rollout indefinitely. Factors relevant to our determination are revenue expectations and compliance with applicable laws. </w:t>
      </w:r>
    </w:p>
    <w:p>
      <w:pPr>
        <w:pStyle w:val="TextBody"/>
        <w:bidi w:val="0"/>
        <w:spacing w:before="360" w:after="0"/>
        <w:jc w:val="left"/>
        <w:rPr>
          <w:rFonts w:ascii="Times New Roman" w:hAnsi="Times New Roman"/>
          <w:sz w:val="20"/>
        </w:rPr>
      </w:pPr>
      <w:r>
        <w:rPr>
          <w:rFonts w:ascii="Times New Roman" w:hAnsi="Times New Roman"/>
          <w:sz w:val="20"/>
          <w:u w:val="single"/>
        </w:rPr>
        <w:t>Bakkt Rewards, page 3</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Please revise to describe the material terms and conditions of the Bakkt Rewards program, to the extent such material terms are currently known although not finalized. Please address the following points, to the extent the information is material and reasonably available:</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Discuss how the platform users earn crypto asset rewards or reward currencies (e.g.,</w:t>
            </w:r>
            <w:r>
              <w:rPr>
                <w:rFonts w:ascii="Times New Roman" w:hAnsi="Times New Roman"/>
                <w:sz w:val="20"/>
              </w:rPr>
              <w:t xml:space="preserve"> points or miles);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Disclose how and when you issue the crypto rewards or reward currencies to a platform users account;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Clarify whether you are considering expanding the available rewards to crypto assets other than bitcoin;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Noting your proposed disclosure that existing reward currencies (e.g., points or miles) can be redeemed into crypto assets by platform users, please disclose the exchange rate for redemption of reward currencies into crypto assets, whether it is subject to change and, if so, how and when;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Clarify what rewards other than crypto assets, if any, users are able to receive by redeeming reward currencies;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Clarify whether the reward currencies can be spent outside of your platform or have monetary value outside of your platform;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Describe any other rights or benefits conferred by the reward currencies (e.g., expiration date, transferability, etc.).</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our response to Comment No. 13 (as well as Annex A under Bakkt Rewards) for a discussion of the material terms and conditions of the program as well as potential support for additional crypto assets. </w:t>
      </w:r>
    </w:p>
    <w:p>
      <w:pPr>
        <w:pStyle w:val="TextBody"/>
        <w:bidi w:val="0"/>
        <w:spacing w:before="360" w:after="0"/>
        <w:jc w:val="left"/>
        <w:rPr>
          <w:rFonts w:ascii="Times New Roman" w:hAnsi="Times New Roman"/>
          <w:sz w:val="20"/>
        </w:rPr>
      </w:pPr>
      <w:r>
        <w:rPr>
          <w:rFonts w:ascii="Times New Roman" w:hAnsi="Times New Roman"/>
          <w:sz w:val="20"/>
          <w:u w:val="single"/>
        </w:rPr>
        <w:t>Bakkt Payouts, page 3</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Please disclose in greater detail how the Bakkt Payouts program will operate, including how the crypto assets are acquired and whether this service will support all of the crypto assets listed in the table on page 3. In addition, noting your proposed disclosure that Bakkt intends to support scheduled automatic buys, which you refer to as Dollar Cost Averaging, please revise to provide examples illustrating how this program operates. Please also revise your risk factor disclosures regarding facilitating transactions in securities to cover these services.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our response to Comment No. 13 (as well as Annex A under Other Potential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As a related matter, we note your proposed disclosure that this product is currently pending the approval of the New York State Department of Financial Services. Please revise to discuss the current status of the approval process, including any contingencies needed to be resolved prior to obtaining approval, and the estimated timing of obtaining approval.</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our response to Comment No. 13 (as well as Annex A under Other Potential Services). </w:t>
      </w:r>
    </w:p>
    <w:p>
      <w:pPr>
        <w:pStyle w:val="TextBody"/>
        <w:bidi w:val="0"/>
        <w:spacing w:before="360" w:after="0"/>
        <w:jc w:val="left"/>
        <w:rPr>
          <w:rFonts w:ascii="Times New Roman" w:hAnsi="Times New Roman"/>
          <w:sz w:val="20"/>
        </w:rPr>
      </w:pPr>
      <w:r>
        <w:rPr>
          <w:rFonts w:ascii="Times New Roman" w:hAnsi="Times New Roman"/>
          <w:sz w:val="20"/>
          <w:u w:val="single"/>
        </w:rPr>
        <w:t>Institutional Client Business - Crypto Custody Services, page 4</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that Bakkt Trust intends to expand the list of crypto assets for which it provides custody services to include more of the crypto assets which you support for trading. Please revise your disclosure to specify which crypto assets Bakkt Trust intends to provide custody services for going forward.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Institutional Client Business  Crypto Custody Services. Please also refer to our response to Comment 11 above. </w:t>
      </w:r>
    </w:p>
    <w:p>
      <w:pPr>
        <w:pStyle w:val="TextBody"/>
        <w:bidi w:val="0"/>
        <w:spacing w:before="120" w:after="0"/>
        <w:jc w:val="left"/>
        <w:rPr>
          <w:rFonts w:ascii="Times New Roman" w:hAnsi="Times New Roman"/>
          <w:sz w:val="20"/>
        </w:rPr>
      </w:pPr>
      <w:r>
        <w:rPr>
          <w:rFonts w:ascii="Times New Roman" w:hAnsi="Times New Roman"/>
          <w:sz w:val="20"/>
        </w:rPr>
        <w:t xml:space="preserve">Bakkt Trust currently provides custody services to Customers of Bakkt Marketplace and to its own institutional customers with respect to bitcoin and ethereum and is in the process of expanding the list of crypto assets for which it provides custody services to include more of the crypto assets which we support for trading. Pursuant to its coin listing policy, Bakkt Trust recently self-certified the provision of custody services for all of the crypto assets traded on Bakkt Crypto and Bakkt Marketplace. For a list of these crypto assets, see the table for Bakkt Trust under Crypto Assets and Services Offered by Bakkt above. </w:t>
      </w:r>
    </w:p>
    <w:p>
      <w:pPr>
        <w:pStyle w:val="TextBody"/>
        <w:bidi w:val="0"/>
        <w:spacing w:before="360" w:after="0"/>
        <w:jc w:val="left"/>
        <w:rPr>
          <w:rFonts w:ascii="Times New Roman" w:hAnsi="Times New Roman"/>
          <w:sz w:val="20"/>
        </w:rPr>
      </w:pPr>
      <w:r>
        <w:rPr>
          <w:rFonts w:ascii="Times New Roman" w:hAnsi="Times New Roman"/>
          <w:sz w:val="20"/>
          <w:u w:val="single"/>
        </w:rPr>
        <w:t>Policies and Procedures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Custody-Related Policies, page 4</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19.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under this heading that Bakkt Crypto makes use of third-party providers of custodial services, including Coinbase Custody Trust Company, LLC and BitGo Trust Company, to hold customer crypto assets as custodian However, on page 39 of your most recent 10-Q you state that we do not presently utilize third-party custodians. Please reconcile these statements.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advises the Staff that prior to its acquisition of Bakkt Crypto, the Company did not use third party custodians, other than minimal amounts at liquidity providers that also provide custody for the purpose of facilitating trading and settlement. However, Bakkt Crypto does utilize third party custodians. Accordingly, we will remove the statement that we do not presently utilize third-party custodians from our future filings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Please file any agreement you have for the provision of custodial services as an exhibit to the registration statement pursuant to Item 601(b)(10) of Regulation S-K.</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respectfully advises the Staff that the Company does not believe that any of the agreements pursuant to which it provides custodial services (namely, the BitGo Custody Agreement, the Coinbase Custody Agreement or the Fireblocks License Agreement) is a material contract required to be filed pursuant to Item 601 of Regulation S-K. In reaching this conclusion, the Company determined that each agreement was made in the ordinary course of business and does not fall within any of the exceptions set forth in Item 601(b)(10)(ii)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respectfully advises the Staff that companies that provide crypto asset trading services, such as the Company, routinely enter into agreements with service providers in the ordinary course to provide complementary custody services for their trading solutions. These complementary custody solutions are offered by multiple companies, and the Company could either provide self-custody solutions using the Fireblocks software or another software, or employ the custody services of third-party custodians such as BitGo, Coinbase Custody or other providers. Moreover, the Company has disclosed its intent to consolidate its self-custody services while still offering diversification across custodians for clients that request it, indicating that the services provided pursuant to the third-party agreements will become even less relevant to the Companys business over time. Such ordinary course agreements need not be filed as exhibits unless they are contracts upon which the business is substantially dependent. </w:t>
      </w:r>
    </w:p>
    <w:p>
      <w:pPr>
        <w:pStyle w:val="TextBody"/>
        <w:bidi w:val="0"/>
        <w:spacing w:before="240" w:after="0"/>
        <w:jc w:val="left"/>
        <w:rPr>
          <w:rFonts w:ascii="Times New Roman" w:hAnsi="Times New Roman"/>
          <w:sz w:val="20"/>
        </w:rPr>
      </w:pPr>
      <w:r>
        <w:rPr>
          <w:rFonts w:ascii="Times New Roman" w:hAnsi="Times New Roman"/>
          <w:sz w:val="20"/>
        </w:rPr>
        <w:t xml:space="preserve">Because the Company can obtain these services or software from other providers and because losing the custody services provided by Coinbase Custody or BitGo or access to the software licensed from Fireblocks would not require the Company to cease providing trading and custody services, the Companys business is not substantially dependent on any of these contracts. In addition, the revenues derived from custody services are immaterial in amount . The amounts paid under the agreements also constitute an immaterial amount of the Companys total expenses (representing less than 0.05% of total expenses for the three month period ended September 30,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Please revise to disclose the proportion of customer crypto assets that Bakkt Crypto self- custodies using the Fireblocks Vault service, which you reference. Also please discuss the material risks attendant to self-custodying customer crypto assets.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Custody Services for the Crypto Assets Supported for Trading. </w:t>
      </w:r>
    </w:p>
    <w:p>
      <w:pPr>
        <w:pStyle w:val="TextBody"/>
        <w:bidi w:val="0"/>
        <w:spacing w:before="120" w:after="0"/>
        <w:jc w:val="left"/>
        <w:rPr>
          <w:rFonts w:ascii="Times New Roman" w:hAnsi="Times New Roman"/>
          <w:sz w:val="20"/>
        </w:rPr>
      </w:pPr>
      <w:r>
        <w:rPr>
          <w:rFonts w:ascii="Times New Roman" w:hAnsi="Times New Roman"/>
          <w:sz w:val="20"/>
        </w:rPr>
        <w:t xml:space="preserve">In addition, Bakkt Crypto also self-custodies select crypto assets (less than 8% of total Customer crypto assets were held in custody as of September 30, 2023) to facilitate consumer withdrawals utilizing the Fireblocks Vault service. Self-custodying Customer crypto assets through the use of Fireblocks third-party custody software involves risks related to our reliance on the third party for the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that you make use of third-party providers of custodial services and that you also self custody customer crypto assets. Please revise to further describe your custodial practices for crypto assets, including the items below:</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Discuss what portion of the crypto assets are held in hot wallets and cold wallets, respectively, and whether there are differential storage practices with regard to your own crypto asset holdings versus customers;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Disclose the geographic location where the crypto assets are held in cold wallets and how the private keys are located;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Disclose the material terms of your arrangements with each of Coinbase Custody Trust Company, LLC and BitGo Trust Company as custodian, including, without limitation: (i) in what manner the custodian is required to store your crypto assets; (ii) whether it is contractually required to hold your crypto assets in cold storage; (iii) what security precautions your custodian is required to undertake; and (iv) what inspection rights you have. Also please clarify whether Bakkt Crypto utilizes the custodial services of any third parties other than those you reference (i.e., Coinbase Custody Trust Company, LLC and BitGo Trust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Identify the person(s) that have access to the crypto assets and whether any persons (e.g., auditors, etc.) are responsible for verifying the existence thereof. Also clarify whether any insurance providers have inspection rights associated with the crypto assets held in storage;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Identify the person(s) that have the authority to release the proceeds from your wallets;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Discuss how the existence, exclusive ownership and software functionality of private digital keys and other ownership records are validated by the relevant parties.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Custody Services for the Crypto Assets Supported for Trading. </w:t>
      </w:r>
    </w:p>
    <w:p>
      <w:pPr>
        <w:pStyle w:val="TextBody"/>
        <w:bidi w:val="0"/>
        <w:spacing w:before="120" w:after="0"/>
        <w:jc w:val="left"/>
        <w:rPr>
          <w:rFonts w:ascii="Times New Roman" w:hAnsi="Times New Roman"/>
          <w:sz w:val="20"/>
        </w:rPr>
      </w:pPr>
      <w:r>
        <w:rPr>
          <w:rFonts w:ascii="Times New Roman" w:hAnsi="Times New Roman"/>
          <w:sz w:val="20"/>
        </w:rPr>
        <w:t xml:space="preserve">Bakkt Trust holds at least 90% of the crypto assets held in custody in cold storage and up to 10% of crypto assets (not to exceed $25.0 million in notional value at any one time) in warm or hot wallets. </w:t>
      </w:r>
    </w:p>
    <w:p>
      <w:pPr>
        <w:pStyle w:val="TextBody"/>
        <w:bidi w:val="0"/>
        <w:spacing w:before="120" w:after="0"/>
        <w:jc w:val="left"/>
        <w:rPr>
          <w:rFonts w:ascii="Times New Roman" w:hAnsi="Times New Roman"/>
          <w:sz w:val="20"/>
        </w:rPr>
      </w:pPr>
      <w:r>
        <w:rPr>
          <w:rFonts w:ascii="Times New Roman" w:hAnsi="Times New Roman"/>
          <w:sz w:val="20"/>
        </w:rPr>
        <w:t xml:space="preserve">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 </w:t>
      </w:r>
    </w:p>
    <w:p>
      <w:pPr>
        <w:pStyle w:val="TextBody"/>
        <w:bidi w:val="0"/>
        <w:spacing w:before="120" w:after="0"/>
        <w:jc w:val="left"/>
        <w:rPr>
          <w:rFonts w:ascii="Times New Roman" w:hAnsi="Times New Roman"/>
          <w:sz w:val="20"/>
        </w:rPr>
      </w:pPr>
      <w:r>
        <w:rPr>
          <w:rFonts w:ascii="Times New Roman" w:hAnsi="Times New Roman"/>
          <w:sz w:val="20"/>
        </w:rPr>
        <w:t xml:space="preserve">Assets stored by Coinbase Custody and BitGo are held 100% in segregated cold storage. Both entities are SOC 1 certified. At this time, Bakkt Crypto does not utilize third parties other than Coinbase Custody and BitGo to hold Customer crypto assets as custodian. </w:t>
      </w:r>
    </w:p>
    <w:p>
      <w:pPr>
        <w:pStyle w:val="TextBody"/>
        <w:bidi w:val="0"/>
        <w:spacing w:before="120" w:after="0"/>
        <w:jc w:val="left"/>
        <w:rPr>
          <w:rFonts w:ascii="Times New Roman" w:hAnsi="Times New Roman"/>
          <w:sz w:val="20"/>
        </w:rPr>
      </w:pPr>
      <w:r>
        <w:rPr>
          <w:rFonts w:ascii="Times New Roman" w:hAnsi="Times New Roman"/>
          <w:sz w:val="20"/>
        </w:rPr>
        <w:t xml:space="preserve">To ensure the security of crypto assets, we do not disclose the geographic location where such assets are held or the identity of the persons who have access to them and the authority to release those assets from wallets. Private keys are held in controlled locations dispersed throughout the United States according to SOC 1 audit procedures to ensure appropriate security. There are dedicated members of our custody operations team responsible for daily reconciliation of wallet holdings. New members of our custody operations team are required to complete trainings and test simulations and are provided with a runbook on our custody procedures. New members of the custody operations team, like all our employees, are also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insurance provider has inspection rights in respect of the crypto assets held in storage.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requested by the Staff, the material terms of the third-party custody arrangements are described below. As discussed in the Companys response to Comment 20, we do not believe these are material contracts required to be filed pursuant to Item 601(b)(10)(ii)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Under the BitGo Custody Agreement, BitGo, at Bakkt Cryptos direction, establishes and maintains wallets for the storage of crypto assets, including cold wallets where BitGo holds a majority of the keys and a majority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Fireblocks License Agreement, Fireblocks has granted Bakkt Crypto a non-exclusive, non-sublicensable, non-transferable license to generate wallets through the Fireblocks Vault service. The service allows Bakkt Crypto to access and use crypto asset wallets that store private and public keys, interact with various blockchains and monitor its balances of crypto assets. </w:t>
      </w:r>
    </w:p>
    <w:p>
      <w:pPr>
        <w:pStyle w:val="TextBody"/>
        <w:bidi w:val="0"/>
        <w:spacing w:before="360" w:after="0"/>
        <w:jc w:val="left"/>
        <w:rPr>
          <w:rFonts w:ascii="Times New Roman" w:hAnsi="Times New Roman"/>
          <w:sz w:val="20"/>
        </w:rPr>
      </w:pPr>
      <w:r>
        <w:rPr>
          <w:rFonts w:ascii="Times New Roman" w:hAnsi="Times New Roman"/>
          <w:sz w:val="20"/>
          <w:u w:val="single"/>
        </w:rPr>
        <w:t>Listing-Related Policies, page 5</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23.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Please revise to discuss in greater detail the material terms of Bakkt Marketplaces crypto asset listing policy, as well as the weight ascribed to the various factors considered, such as the Crypto Rating Council scoring system.</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proposes to revise its disclosure in response to the Staffs comment. The proposed text is set forth below and included in Annex A under Policies and Procedures  Listing-Related Policies. </w:t>
      </w:r>
    </w:p>
    <w:p>
      <w:pPr>
        <w:pStyle w:val="TextBody"/>
        <w:bidi w:val="0"/>
        <w:spacing w:before="120" w:after="0"/>
        <w:jc w:val="left"/>
        <w:rPr>
          <w:rFonts w:ascii="Times New Roman" w:hAnsi="Times New Roman"/>
          <w:sz w:val="20"/>
        </w:rPr>
      </w:pPr>
      <w:r>
        <w:rPr>
          <w:rFonts w:ascii="Times New Roman" w:hAnsi="Times New Roman"/>
          <w:sz w:val="20"/>
        </w:rPr>
        <w:t>We maintain crypto asset listing policies for each of Bakkt Marketplace (which policy also covers Bakkt Crypto, as its wholly owned subsidiary) and Bakkt Trust (the </w:t>
      </w:r>
      <w:r>
        <w:rPr>
          <w:rFonts w:ascii="Times New Roman" w:hAnsi="Times New Roman"/>
          <w:sz w:val="20"/>
          <w:u w:val="single"/>
        </w:rPr>
        <w:t>Listing Policies</w:t>
      </w:r>
      <w:r>
        <w:rPr>
          <w:rFonts w:ascii="Times New Roman" w:hAnsi="Times New Roman"/>
          <w:sz w:val="20"/>
        </w:rPr>
        <w:t xml:space="preserve">), the purpose of which is to provide a framework for the review and approval of new crypto assets for consumer transactions and custody services, respectively. The Listing Policies are based on guidance from the NYDFS and were approved by the NYDFS. Material revisions to the Listing Policies require prior written approval from the NYDFS.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and cyber security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 </w:t>
      </w:r>
    </w:p>
    <w:p>
      <w:pPr>
        <w:pStyle w:val="TextBody"/>
        <w:bidi w:val="0"/>
        <w:spacing w:before="120" w:after="0"/>
        <w:jc w:val="left"/>
        <w:rPr>
          <w:rFonts w:ascii="Times New Roman" w:hAnsi="Times New Roman"/>
          <w:sz w:val="20"/>
        </w:rPr>
      </w:pPr>
      <w:r>
        <w:rPr>
          <w:rFonts w:ascii="Times New Roman" w:hAnsi="Times New Roman"/>
          <w:sz w:val="20"/>
        </w:rPr>
        <w:t xml:space="preserve">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application of the Howey test, and other factors relevant to the determination of the security status of a crypto asset, and the positions of the SEC as expressed in various crypto-related enforcement actions and lawsuits. We may also solicit the opinion of outside counsel. </w:t>
      </w:r>
    </w:p>
    <w:p>
      <w:pPr>
        <w:pStyle w:val="TextBody"/>
        <w:bidi w:val="0"/>
        <w:spacing w:before="120" w:after="0"/>
        <w:jc w:val="left"/>
        <w:rPr>
          <w:rFonts w:ascii="Times New Roman" w:hAnsi="Times New Roman"/>
          <w:sz w:val="20"/>
        </w:rPr>
      </w:pPr>
      <w:r>
        <w:rPr>
          <w:rFonts w:ascii="Times New Roman" w:hAnsi="Times New Roman"/>
          <w:sz w:val="20"/>
        </w:rPr>
        <w:t xml:space="preserve">The Listing Policies do not ascribe specific weighting to particular factors or inputs to be considered in connection with the potential listing or delisting of crypto assets. </w:t>
      </w:r>
    </w:p>
    <w:p>
      <w:pPr>
        <w:pStyle w:val="TextBody"/>
        <w:bidi w:val="0"/>
        <w:spacing w:before="360" w:after="0"/>
        <w:jc w:val="left"/>
        <w:rPr>
          <w:rFonts w:ascii="Times New Roman" w:hAnsi="Times New Roman"/>
          <w:sz w:val="20"/>
        </w:rPr>
      </w:pPr>
      <w:r>
        <w:rPr>
          <w:rFonts w:ascii="Times New Roman" w:hAnsi="Times New Roman"/>
          <w:sz w:val="20"/>
          <w:u w:val="single"/>
        </w:rPr>
        <w:t>Risk Factor Updates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u w:val="single"/>
        </w:rPr>
        <w:t>Regulatory regimes governing blockchain technologies and crypto..., page 12</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i/>
              </w:rPr>
            </w:pPr>
            <w:r>
              <w:rPr>
                <w:i/>
              </w:rPr>
              <w:t>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under this risk factor. Please further revise to discuss the IRSs recent proposed regulations relating to the reporting of crypto asset transactions by brokers.</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respectfully acknowledges the Staffs comment and advises that it intends to supplement its disclosure in this risk factor in future filings with the following language: </w:t>
      </w:r>
    </w:p>
    <w:p>
      <w:pPr>
        <w:pStyle w:val="TextBody"/>
        <w:bidi w:val="0"/>
        <w:spacing w:before="120" w:after="0"/>
        <w:jc w:val="left"/>
        <w:rPr>
          <w:rFonts w:ascii="Times New Roman" w:hAnsi="Times New Roman"/>
          <w:sz w:val="20"/>
        </w:rPr>
      </w:pPr>
      <w:r>
        <w:rPr>
          <w:rFonts w:ascii="Times New Roman" w:hAnsi="Times New Roman"/>
          <w:sz w:val="20"/>
        </w:rPr>
        <w:t xml:space="preserve">In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 </w:t>
      </w:r>
    </w:p>
    <w:p>
      <w:pPr>
        <w:pStyle w:val="TextBody"/>
        <w:bidi w:val="0"/>
        <w:spacing w:before="240" w:after="0"/>
        <w:jc w:val="left"/>
        <w:rPr>
          <w:rFonts w:ascii="Times New Roman" w:hAnsi="Times New Roman"/>
          <w:sz w:val="20"/>
        </w:rPr>
      </w:pPr>
      <w:r>
        <w:rPr>
          <w:rFonts w:ascii="Times New Roman" w:hAnsi="Times New Roman"/>
          <w:sz w:val="20"/>
        </w:rPr>
        <w:t xml:space="preserve">The amended risk factor will be included in the amendment to the Companys Form 10-Q for the quarter ended September 30, 2023 that includes the Business Update.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regarding the Southern District of New Yorks decision in Ripple Labs, Inc. Please balance your disclosure by addressing the Southern District of New Yorks decision in Terraform Labs.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respectfully acknowledges the Staffs comment and advises that it intends to supplement its proposed disclosure in future filings with the following language: </w:t>
      </w:r>
    </w:p>
    <w:p>
      <w:pPr>
        <w:pStyle w:val="TextBody"/>
        <w:bidi w:val="0"/>
        <w:spacing w:before="120" w:after="0"/>
        <w:jc w:val="left"/>
        <w:rPr>
          <w:rFonts w:ascii="Times New Roman" w:hAnsi="Times New Roman"/>
          <w:sz w:val="20"/>
        </w:rPr>
      </w:pPr>
      <w:r>
        <w:rPr>
          <w:rFonts w:ascii="Times New Roman" w:hAnsi="Times New Roman"/>
          <w:sz w:val="20"/>
        </w:rPr>
        <w:t xml:space="preserve">On July 31, 2023, a different court in the Southern District of New York held that the SEC had asserted a plausible claim that certain inter-related crypto-assets offered by Terraform Labs qualified as investment contracts.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A crypto assets status as a security in any relevant jurisdiction..., page 14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We note your proposed disclosure on page 17 that you could be subject to judicial or administrative sanctionsfor acting as a broker, dealer, or national securities exchange without appropriate registration. Please revise to also address acting as a clearing agency without appropriate registration.</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Response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respectfully acknowledges the Staffs comment. As a consequence of the manner in which Section 3(a)(23)(A) of the Exchange Act defines clearing agency, and the manner in which the Companys platforms operate, the Company does not believe that any of its subsidiaries, including Bakkt Crypto, could qualify as a clearing agency requiring registration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In this regard, and in connection with the disclosure the Company has proposed to include in response to the Staffs comments, the Company notes that Section 3(a)(23)(B) (iii) of the Exchange Act expressly excludes from the definition of clearing agency a broker or dealer to the extent deemed to be a clearing agency solely by reason of functions performed by such institution as part of customary . . . . brokerage [or] dealing . . . . activities. </w:t>
      </w:r>
    </w:p>
    <w:p>
      <w:pPr>
        <w:pStyle w:val="TextBody"/>
        <w:bidi w:val="0"/>
        <w:spacing w:before="240" w:after="0"/>
        <w:jc w:val="left"/>
        <w:rPr>
          <w:rFonts w:ascii="Times New Roman" w:hAnsi="Times New Roman"/>
          <w:sz w:val="20"/>
        </w:rPr>
      </w:pPr>
      <w:r>
        <w:rPr>
          <w:rFonts w:ascii="Times New Roman" w:hAnsi="Times New Roman"/>
          <w:sz w:val="20"/>
        </w:rPr>
        <w:t xml:space="preserve">We trust that you find these responses helpful in your evaluation of the Registration Statements. Please do not hesitate to contact us should you require further information.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Professional Corporation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WILSON SONSINI GOODRICH &amp; ROSATI, PROFESSIONAL CORPORATION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Gavin Michael, Bakkt Holdings,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Marc DAnnunzio, 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Paul Simmons, Bakkt Holdings,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240" w:after="0"/>
        <w:jc w:val="left"/>
        <w:rPr>
          <w:rFonts w:ascii="Times New Roman" w:hAnsi="Times New Roman"/>
          <w:b/>
          <w:sz w:val="20"/>
        </w:rPr>
      </w:pPr>
      <w:r>
        <w:rPr>
          <w:rFonts w:ascii="Times New Roman" w:hAnsi="Times New Roman"/>
          <w:b/>
          <w:sz w:val="20"/>
        </w:rPr>
        <w:t xml:space="preserve">Item 5. Other Information </w:t>
      </w:r>
    </w:p>
    <w:p>
      <w:pPr>
        <w:pStyle w:val="TextBody"/>
        <w:bidi w:val="0"/>
        <w:spacing w:before="120" w:after="0"/>
        <w:jc w:val="left"/>
        <w:rPr>
          <w:rFonts w:ascii="Times New Roman" w:hAnsi="Times New Roman"/>
          <w:sz w:val="20"/>
        </w:rPr>
      </w:pPr>
      <w:r>
        <w:rPr>
          <w:rFonts w:ascii="Times New Roman" w:hAnsi="Times New Roman"/>
          <w:sz w:val="20"/>
        </w:rPr>
        <w:t>We are providing an update to our business activities following our acquisition of Apex Crypto LLC on April 1, 2023. Effective June 12, 2023, Apex Crypto changed its name to Bakkt Crypto Solutions, LLC (</w:t>
      </w:r>
      <w:r>
        <w:rPr>
          <w:rFonts w:ascii="Times New Roman" w:hAnsi="Times New Roman"/>
          <w:sz w:val="20"/>
          <w:u w:val="single"/>
        </w:rPr>
        <w:t>Bakkt Crypto</w:t>
      </w:r>
      <w:r>
        <w:rPr>
          <w:rFonts w:ascii="Times New Roman" w:hAnsi="Times New Roman"/>
          <w:sz w:val="20"/>
        </w:rPr>
        <w:t>). This business update should be read together with Item 1. Business and Item 1A. Risk Factors in the Companys Annual Report on Form 10-K for the fiscal year ended December 31, 2023 and Item 2. Managements Discussion and Analysis of Financial Condition and Results of Operations  Recent Developments and Item 1A. Risk Factors in the Companys Quarterly Report on Form 10-Q for the quarter ended September 30, 2023 (</w:t>
      </w:r>
      <w:r>
        <w:rPr>
          <w:rFonts w:ascii="Times New Roman" w:hAnsi="Times New Roman"/>
          <w:sz w:val="20"/>
          <w:u w:val="single"/>
        </w:rPr>
        <w:t>Q3 Form 10-Q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section to we, us, our, Bakkt or the Company and like terms refer to Bakkt Holdings, Inc. and its subsidiaries, unless the context otherwise requires. Some of the information contained in this discussion,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in Cautionary Statement Regarding Forward-Looking Statements and Item 1A. Risk Factors appearing in our Q3 Form 10-Q. </w:t>
      </w:r>
    </w:p>
    <w:p>
      <w:pPr>
        <w:pStyle w:val="TextBody"/>
        <w:bidi w:val="0"/>
        <w:spacing w:before="240" w:after="0"/>
        <w:jc w:val="left"/>
        <w:rPr>
          <w:rFonts w:ascii="Times New Roman" w:hAnsi="Times New Roman"/>
          <w:sz w:val="20"/>
        </w:rPr>
      </w:pPr>
      <w:r>
        <w:rPr>
          <w:rFonts w:ascii="Times New Roman" w:hAnsi="Times New Roman"/>
          <w:sz w:val="20"/>
        </w:rPr>
        <w:t xml:space="preserve">In this discussion, we use the following terms, which are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Client means businesses with whom we contract to provide services to Customers on our platforms, and includes financial institutions, hedge funds, merchants, retailers, and other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asset means an asset that is issued and transferred using distributed ledger or blockchain technology, including, but not limited to, so-called virtual currencies, coins, and tokens. Our platforms enable transactions in certain supported crypto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means an individual user of our platforms. Customers include customers of our loyalty clients who use our platforms to transact in loyalty points, as well as customers of our clients who transact in crypto through, and have accounts on, our platforms (except as defined for ASC 606 purposes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Loyalty points means loyalty and/or reward points that are issued by Clients to their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Structure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through the following entities: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Bakkt Marketplace, LLC (</w:t>
            </w:r>
            <w:r>
              <w:rPr>
                <w:rFonts w:ascii="Times New Roman" w:hAnsi="Times New Roman"/>
                <w:sz w:val="20"/>
                <w:u w:val="single"/>
              </w:rPr>
              <w:t>Bakkt Marketplace</w:t>
            </w:r>
            <w:r>
              <w:rPr>
                <w:rFonts w:ascii="Times New Roman" w:hAnsi="Times New Roman"/>
                <w:sz w:val="20"/>
              </w:rPr>
              <w:t>) and Bakkt Crypto  Through these entities we operate integrated platforms that provide Customers with the ability to buy, sell and store crypto in a simple, intuitive digital experience accessed via application programming interfaces (</w:t>
            </w:r>
            <w:r>
              <w:rPr>
                <w:rFonts w:ascii="Times New Roman" w:hAnsi="Times New Roman"/>
                <w:sz w:val="20"/>
                <w:u w:val="single"/>
              </w:rPr>
              <w:t>APIs</w:t>
            </w:r>
            <w:r>
              <w:rPr>
                <w:rFonts w:ascii="Times New Roman" w:hAnsi="Times New Roman"/>
                <w:sz w:val="20"/>
              </w:rPr>
              <w:t>) or embedded web experience. Bakkt Marketplace holds a New York State virtual currency license (commonly referred to as a </w:t>
            </w:r>
            <w:r>
              <w:rPr>
                <w:rFonts w:ascii="Times New Roman" w:hAnsi="Times New Roman"/>
                <w:sz w:val="20"/>
                <w:u w:val="single"/>
              </w:rPr>
              <w:t>BitLicense</w:t>
            </w:r>
            <w:r>
              <w:rPr>
                <w:rFonts w:ascii="Times New Roman" w:hAnsi="Times New Roman"/>
                <w:sz w:val="20"/>
              </w:rPr>
              <w:t xml:space="preserve">), and money transmitter licenses from all states throughout the U.S. where such licenses are required for the operation of its business, and is registered as a money services business with the Financial Crimes Enforcement Network of the United States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 was originally conceived and built in connection with a consumer app that enabled crypto asset transactions, and, at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represented a direct-to consumer business model, which is no longer being pursued by the Company. In contrast, the Bakkt Crypto platform was originally conceived and built as an embedded crypto trading platform that would be integrated into Client environments to service Customers in those environments. Subject to applicable regulatory approvals, which we are presently pursuing, we intend to merge Bakkt Crypto with and into Bakkt Marketplace, with the surviving entity of the merger to be renamed Bakkt Crypto Solutions, LLC. The two platforms will then be combined into one business, which will be operated by the surviving entity. Similarly to the Bakkt Crypto business model, the combined business will focus on a Client-led, or B2B2C, strategy in which crypto asset solutions can be embedded into Client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Bakkt Trust LLC (</w:t>
            </w:r>
            <w:r>
              <w:rPr>
                <w:rFonts w:ascii="Times New Roman" w:hAnsi="Times New Roman"/>
                <w:sz w:val="20"/>
                <w:u w:val="single"/>
              </w:rPr>
              <w:t>Bakkt Trust</w:t>
            </w:r>
            <w:r>
              <w:rPr>
                <w:rFonts w:ascii="Times New Roman" w:hAnsi="Times New Roman"/>
                <w:sz w:val="20"/>
              </w:rPr>
              <w:t xml:space="preserve">) is a New York limited-purpose trust company that is chartered by and subject to the supervision and oversight of New York Department of Financial Services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bitcoin and ether functionality and, commencing in the third quarter of 2023, other crypto assets supported by the Company. See Crypto Assets and Services Offered by Bakkt.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acquired Bumped Financial, LLC (renamed Bakkt Brokerage), a registered broker-dealer, in February 2023. Bakkt Brokerage is not engaged in any business activities at this time and we have no current plans for it to engage in future business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Bakkt Crypto </w:t>
      </w:r>
    </w:p>
    <w:p>
      <w:pPr>
        <w:pStyle w:val="TextBody"/>
        <w:bidi w:val="0"/>
        <w:spacing w:before="120" w:after="0"/>
        <w:jc w:val="left"/>
        <w:rPr>
          <w:rFonts w:ascii="Times New Roman" w:hAnsi="Times New Roman"/>
          <w:sz w:val="20"/>
        </w:rPr>
      </w:pPr>
      <w:r>
        <w:rPr>
          <w:rFonts w:ascii="Times New Roman" w:hAnsi="Times New Roman"/>
          <w:sz w:val="20"/>
        </w:rPr>
        <w:t xml:space="preserve">In April 2023, we acquired Apex Crypto, a platform for integrated crypto trading. Operating as Bakkt Crypto, the platform supports Clients with a range of crypto solutions.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 </w:t>
      </w:r>
    </w:p>
    <w:p>
      <w:pPr>
        <w:pStyle w:val="TextBody"/>
        <w:bidi w:val="0"/>
        <w:spacing w:before="240" w:after="0"/>
        <w:jc w:val="left"/>
        <w:rPr>
          <w:rFonts w:ascii="Times New Roman" w:hAnsi="Times New Roman"/>
          <w:sz w:val="20"/>
        </w:rPr>
      </w:pPr>
      <w:r>
        <w:rPr>
          <w:rFonts w:ascii="Times New Roman" w:hAnsi="Times New Roman"/>
          <w:sz w:val="20"/>
        </w:rPr>
        <w:t xml:space="preserve">When the acquisition closed, Bakkt Crypto had agreements with more than 30 third-party partners pursuant to which the partners made Bakkt Cryptos crypto asset trading service available to their customer base. Our acquisition of Bakkt Crypto resulted in us obtaining access to such partners.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 </w:t>
      </w:r>
    </w:p>
    <w:p>
      <w:pPr>
        <w:pStyle w:val="TextBody"/>
        <w:bidi w:val="0"/>
        <w:spacing w:before="240" w:after="0"/>
        <w:jc w:val="left"/>
        <w:rPr>
          <w:rFonts w:ascii="Times New Roman" w:hAnsi="Times New Roman"/>
          <w:sz w:val="20"/>
        </w:rPr>
      </w:pPr>
      <w:r>
        <w:rPr>
          <w:rFonts w:ascii="Times New Roman" w:hAnsi="Times New Roman"/>
          <w:sz w:val="20"/>
        </w:rPr>
        <w:t xml:space="preserve">Bakkt Crypto is regularly exploring additional ways to innovate and provide additional products and services to its Clients. Bakkt Crypto is in the process of developing, subject to applicable regulatory approvals, functionalities enabling transfers of supported crypto assets between registered Customers,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(including Mexico, Argentina and Brazil), subject to applicable local regulatory approvals. Bakkt Crypto is currently live with Customers in Spain, Mexico and Argentina through a partnership with a local Client. The platform is expected to be live in Brazil through the same Client in December 2023. In addition, we are evaluating the opportunity to purchase and sell non-fungible tokens or NFTs. Bakkt Crypto executes a de minimis amount of trades for entity accounts in jurisdictions other than the State of New York. Subject to applicable regulatory approvals, Bakkt Crypto intends to expand the provision of trading services for institutional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Crypto Assets and Services Offered by Bakkt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Retail Customers </w:t>
      </w:r>
    </w:p>
    <w:p>
      <w:pPr>
        <w:pStyle w:val="TextBody"/>
        <w:bidi w:val="0"/>
        <w:spacing w:before="120" w:after="0"/>
        <w:jc w:val="left"/>
        <w:rPr>
          <w:rFonts w:ascii="Times New Roman" w:hAnsi="Times New Roman"/>
          <w:sz w:val="20"/>
        </w:rPr>
      </w:pPr>
      <w:r>
        <w:rPr>
          <w:rFonts w:ascii="Times New Roman" w:hAnsi="Times New Roman"/>
          <w:sz w:val="20"/>
        </w:rPr>
        <w:t xml:space="preserve">We currently provide the following crypto-related services for retail Customers. These services are provided through our Clients which have a direct relationship with such Customers and utilize our trading platform and custody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asset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custody services for the crypto assets supported for trading;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transfers of crypto assets (through Bakkt Crypto);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rewards (expected to become available in the first quarter of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management regularly considers whether to make any potential additional crypto assets available on our platform, consistent with our policies and procedures. See Policies and ProceduresListing-Related Policies. </w:t>
      </w:r>
    </w:p>
    <w:p>
      <w:pPr>
        <w:pStyle w:val="TextBody"/>
        <w:bidi w:val="0"/>
        <w:spacing w:before="240" w:after="0"/>
        <w:jc w:val="left"/>
        <w:rPr>
          <w:rFonts w:ascii="Times New Roman" w:hAnsi="Times New Roman"/>
          <w:sz w:val="20"/>
        </w:rPr>
      </w:pPr>
      <w:r>
        <w:rPr>
          <w:rFonts w:ascii="Times New Roman" w:hAnsi="Times New Roman"/>
          <w:sz w:val="20"/>
        </w:rPr>
        <w:t xml:space="preserve">Bakkt Crypto, Bakkt Marketplace and Bakkt Trust facilitate transactions in, and provide services for, the crypto assets listed in the tables below. </w:t>
      </w:r>
    </w:p>
    <w:p>
      <w:pPr>
        <w:pStyle w:val="TextBody"/>
        <w:bidi w:val="0"/>
        <w:spacing w:before="120" w:after="0"/>
        <w:jc w:val="left"/>
        <w:rPr>
          <w:rFonts w:ascii="Times New Roman" w:hAnsi="Times New Roman"/>
          <w:sz w:val="20"/>
        </w:rPr>
      </w:pPr>
      <w:r>
        <w:rPr>
          <w:rFonts w:ascii="Times New Roman" w:hAnsi="Times New Roman"/>
          <w:sz w:val="20"/>
          <w:u w:val="single"/>
        </w:rPr>
        <w:t>Bakkt Marketplace / Bakkt Crypto Solutions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5"/>
        <w:gridCol w:w="120"/>
        <w:gridCol w:w="1538"/>
        <w:gridCol w:w="120"/>
        <w:gridCol w:w="2076"/>
        <w:gridCol w:w="283"/>
        <w:gridCol w:w="1794"/>
        <w:gridCol w:w="120"/>
        <w:gridCol w:w="1799"/>
      </w:tblGrid>
      <w:tr>
        <w:trPr/>
        <w:tc>
          <w:tcPr>
            <w:tcW w:w="23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72"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Supported for</w:t>
            </w:r>
          </w:p>
        </w:tc>
      </w:tr>
      <w:tr>
        <w:trPr/>
        <w:tc>
          <w:tcPr>
            <w:tcW w:w="23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Crypto Asset</w:t>
            </w:r>
          </w:p>
        </w:tc>
        <w:tc>
          <w:tcPr>
            <w:tcW w:w="120" w:type="dxa"/>
            <w:tcBorders/>
            <w:vAlign w:val="bottom"/>
          </w:tcPr>
          <w:p>
            <w:pPr>
              <w:pStyle w:val="TableContents"/>
              <w:bidi w:val="0"/>
              <w:spacing w:before="0" w:after="283"/>
              <w:jc w:val="left"/>
              <w:rPr/>
            </w:pPr>
            <w:r>
              <w:rPr/>
              <w:t>  </w:t>
            </w:r>
          </w:p>
        </w:tc>
        <w:tc>
          <w:tcPr>
            <w:tcW w:w="15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0" w:type="dxa"/>
            <w:tcBorders/>
            <w:vAlign w:val="bottom"/>
          </w:tcPr>
          <w:p>
            <w:pPr>
              <w:pStyle w:val="TableContents"/>
              <w:bidi w:val="0"/>
              <w:spacing w:before="0" w:after="283"/>
              <w:jc w:val="left"/>
              <w:rPr/>
            </w:pPr>
            <w:r>
              <w:rPr/>
              <w:t>  </w:t>
            </w:r>
          </w:p>
        </w:tc>
        <w:tc>
          <w:tcPr>
            <w:tcW w:w="20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r>
          </w:p>
        </w:tc>
        <w:tc>
          <w:tcPr>
            <w:tcW w:w="283" w:type="dxa"/>
            <w:tcBorders/>
            <w:vAlign w:val="bottom"/>
          </w:tcPr>
          <w:p>
            <w:pPr>
              <w:pStyle w:val="TableContents"/>
              <w:bidi w:val="0"/>
              <w:spacing w:before="0" w:after="283"/>
              <w:jc w:val="left"/>
              <w:rPr/>
            </w:pPr>
            <w:r>
              <w:rPr/>
              <w:t>  </w:t>
            </w:r>
          </w:p>
        </w:tc>
        <w:tc>
          <w:tcPr>
            <w:tcW w:w="17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Transfers</w:t>
            </w:r>
          </w:p>
        </w:tc>
        <w:tc>
          <w:tcPr>
            <w:tcW w:w="120" w:type="dxa"/>
            <w:tcBorders/>
            <w:vAlign w:val="bottom"/>
          </w:tcPr>
          <w:p>
            <w:pPr>
              <w:pStyle w:val="TableContents"/>
              <w:bidi w:val="0"/>
              <w:spacing w:before="0" w:after="283"/>
              <w:jc w:val="left"/>
              <w:rPr/>
            </w:pPr>
            <w:r>
              <w:rPr/>
              <w:t>  </w:t>
            </w:r>
          </w:p>
        </w:tc>
        <w:tc>
          <w:tcPr>
            <w:tcW w:w="17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Rewards</w:t>
            </w:r>
          </w:p>
        </w:tc>
      </w:tr>
      <w:tr>
        <w:trPr/>
        <w:tc>
          <w:tcPr>
            <w:tcW w:w="2355" w:type="dxa"/>
            <w:tcBorders/>
          </w:tcPr>
          <w:p>
            <w:pPr>
              <w:pStyle w:val="TableContents"/>
              <w:bidi w:val="0"/>
              <w:spacing w:before="0" w:after="283"/>
              <w:jc w:val="left"/>
              <w:rPr/>
            </w:pPr>
            <w:r>
              <w:rPr/>
              <w:t>Bitcoin</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BTC</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br/>
              <w:t>(Planned Q1 2024)</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Bitcoin Cash</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BCH</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Dogecoin</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DOGE</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No</w:t>
              <w:br/>
              <w:t>(Planned Q1 2024*)</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Ethereum</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ETH</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br/>
              <w:t>(Planned 2024)</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Ethereum Classic</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ETC</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No</w:t>
              <w:br/>
              <w:t>Planned Q1 2024*</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Litecoin</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LTC</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Shiba Inu</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SHIB</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r>
          </w:p>
        </w:tc>
      </w:tr>
      <w:tr>
        <w:trPr>
          <w:trHeight w:val="120" w:hRule="atLeast"/>
        </w:trPr>
        <w:tc>
          <w:tcPr>
            <w:tcW w:w="2355" w:type="dxa"/>
            <w:tcBorders/>
            <w:vAlign w:val="center"/>
          </w:tcPr>
          <w:p>
            <w:pPr>
              <w:pStyle w:val="TableContents"/>
              <w:bidi w:val="0"/>
              <w:spacing w:before="0" w:after="283"/>
              <w:jc w:val="left"/>
              <w:rPr>
                <w:sz w:val="4"/>
                <w:szCs w:val="4"/>
              </w:rPr>
            </w:pPr>
            <w:r>
              <w:rPr>
                <w:sz w:val="4"/>
                <w:szCs w:val="4"/>
              </w:rPr>
            </w:r>
          </w:p>
        </w:tc>
        <w:tc>
          <w:tcPr>
            <w:tcW w:w="1658" w:type="dxa"/>
            <w:gridSpan w:val="2"/>
            <w:tcBorders/>
            <w:vAlign w:val="center"/>
          </w:tcPr>
          <w:p>
            <w:pPr>
              <w:pStyle w:val="TableContents"/>
              <w:bidi w:val="0"/>
              <w:spacing w:before="0" w:after="283"/>
              <w:jc w:val="left"/>
              <w:rPr>
                <w:sz w:val="4"/>
                <w:szCs w:val="4"/>
              </w:rPr>
            </w:pPr>
            <w:r>
              <w:rPr>
                <w:sz w:val="4"/>
                <w:szCs w:val="4"/>
              </w:rPr>
            </w:r>
          </w:p>
        </w:tc>
        <w:tc>
          <w:tcPr>
            <w:tcW w:w="2196" w:type="dxa"/>
            <w:gridSpan w:val="2"/>
            <w:tcBorders/>
            <w:vAlign w:val="center"/>
          </w:tcPr>
          <w:p>
            <w:pPr>
              <w:pStyle w:val="TableContents"/>
              <w:bidi w:val="0"/>
              <w:spacing w:before="0" w:after="283"/>
              <w:jc w:val="left"/>
              <w:rPr>
                <w:sz w:val="4"/>
                <w:szCs w:val="4"/>
              </w:rPr>
            </w:pPr>
            <w:r>
              <w:rPr>
                <w:sz w:val="4"/>
                <w:szCs w:val="4"/>
              </w:rPr>
            </w:r>
          </w:p>
        </w:tc>
        <w:tc>
          <w:tcPr>
            <w:tcW w:w="2077"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2355" w:type="dxa"/>
            <w:tcBorders/>
          </w:tcPr>
          <w:p>
            <w:pPr>
              <w:pStyle w:val="TableContents"/>
              <w:bidi w:val="0"/>
              <w:spacing w:before="0" w:after="283"/>
              <w:jc w:val="left"/>
              <w:rPr/>
            </w:pPr>
            <w:r>
              <w:rPr/>
              <w:t>USD Coin</w:t>
            </w:r>
          </w:p>
        </w:tc>
        <w:tc>
          <w:tcPr>
            <w:tcW w:w="120" w:type="dxa"/>
            <w:tcBorders/>
            <w:vAlign w:val="bottom"/>
          </w:tcPr>
          <w:p>
            <w:pPr>
              <w:pStyle w:val="TableContents"/>
              <w:bidi w:val="0"/>
              <w:spacing w:before="0" w:after="283"/>
              <w:jc w:val="left"/>
              <w:rPr/>
            </w:pPr>
            <w:r>
              <w:rPr/>
              <w:t>  </w:t>
            </w:r>
          </w:p>
        </w:tc>
        <w:tc>
          <w:tcPr>
            <w:tcW w:w="1538" w:type="dxa"/>
            <w:tcBorders/>
          </w:tcPr>
          <w:p>
            <w:pPr>
              <w:pStyle w:val="TableContents"/>
              <w:bidi w:val="0"/>
              <w:spacing w:before="0" w:after="283"/>
              <w:jc w:val="center"/>
              <w:rPr/>
            </w:pPr>
            <w:r>
              <w:rPr/>
              <w:t>USDC</w:t>
            </w:r>
          </w:p>
        </w:tc>
        <w:tc>
          <w:tcPr>
            <w:tcW w:w="120" w:type="dxa"/>
            <w:tcBorders/>
            <w:vAlign w:val="bottom"/>
          </w:tcPr>
          <w:p>
            <w:pPr>
              <w:pStyle w:val="TableContents"/>
              <w:bidi w:val="0"/>
              <w:spacing w:before="0" w:after="283"/>
              <w:jc w:val="left"/>
              <w:rPr/>
            </w:pPr>
            <w:r>
              <w:rPr/>
              <w:t>  </w:t>
            </w:r>
          </w:p>
        </w:tc>
        <w:tc>
          <w:tcPr>
            <w:tcW w:w="2076" w:type="dxa"/>
            <w:tcBorders/>
          </w:tcPr>
          <w:p>
            <w:pPr>
              <w:pStyle w:val="TableContents"/>
              <w:bidi w:val="0"/>
              <w:spacing w:before="0" w:after="283"/>
              <w:jc w:val="center"/>
              <w:rPr/>
            </w:pPr>
            <w:r>
              <w:rPr/>
              <w:t>Yes*</w:t>
            </w:r>
          </w:p>
        </w:tc>
        <w:tc>
          <w:tcPr>
            <w:tcW w:w="283"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center"/>
              <w:rPr/>
            </w:pPr>
            <w:r>
              <w:rPr/>
              <w:t>Yes*</w:t>
            </w:r>
          </w:p>
        </w:tc>
        <w:tc>
          <w:tcPr>
            <w:tcW w:w="120" w:type="dxa"/>
            <w:tcBorders/>
            <w:vAlign w:val="bottom"/>
          </w:tcPr>
          <w:p>
            <w:pPr>
              <w:pStyle w:val="TableContents"/>
              <w:bidi w:val="0"/>
              <w:spacing w:before="0" w:after="283"/>
              <w:jc w:val="left"/>
              <w:rPr/>
            </w:pPr>
            <w:r>
              <w:rPr/>
              <w:t>  </w:t>
            </w:r>
          </w:p>
        </w:tc>
        <w:tc>
          <w:tcPr>
            <w:tcW w:w="1799" w:type="dxa"/>
            <w:tcBorders/>
          </w:tcPr>
          <w:p>
            <w:pPr>
              <w:pStyle w:val="TableContents"/>
              <w:bidi w:val="0"/>
              <w:spacing w:before="0" w:after="283"/>
              <w:jc w:val="center"/>
              <w:rPr/>
            </w:pPr>
            <w:r>
              <w:rPr/>
              <w:t>No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the State of New York.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Bakkt Trust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2"/>
        <w:gridCol w:w="121"/>
        <w:gridCol w:w="1623"/>
        <w:gridCol w:w="121"/>
        <w:gridCol w:w="3007"/>
        <w:gridCol w:w="121"/>
        <w:gridCol w:w="1820"/>
      </w:tblGrid>
      <w:tr>
        <w:trPr/>
        <w:tc>
          <w:tcPr>
            <w:tcW w:w="339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392"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948"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Supported for</w:t>
            </w:r>
          </w:p>
        </w:tc>
      </w:tr>
      <w:tr>
        <w:trPr/>
        <w:tc>
          <w:tcPr>
            <w:tcW w:w="33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Crypto Asset</w:t>
            </w:r>
          </w:p>
        </w:tc>
        <w:tc>
          <w:tcPr>
            <w:tcW w:w="121" w:type="dxa"/>
            <w:tcBorders/>
            <w:vAlign w:val="bottom"/>
          </w:tcPr>
          <w:p>
            <w:pPr>
              <w:pStyle w:val="TableContents"/>
              <w:bidi w:val="0"/>
              <w:spacing w:before="0" w:after="283"/>
              <w:jc w:val="left"/>
              <w:rPr/>
            </w:pPr>
            <w:r>
              <w:rPr/>
              <w:t>  </w:t>
            </w:r>
          </w:p>
        </w:tc>
        <w:tc>
          <w:tcPr>
            <w:tcW w:w="16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121" w:type="dxa"/>
            <w:tcBorders/>
            <w:vAlign w:val="bottom"/>
          </w:tcPr>
          <w:p>
            <w:pPr>
              <w:pStyle w:val="TableContents"/>
              <w:bidi w:val="0"/>
              <w:spacing w:before="0" w:after="283"/>
              <w:jc w:val="left"/>
              <w:rPr/>
            </w:pPr>
            <w:r>
              <w:rPr/>
              <w:t>  </w:t>
            </w:r>
          </w:p>
        </w:tc>
        <w:tc>
          <w:tcPr>
            <w:tcW w:w="30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Custody</w:t>
            </w:r>
          </w:p>
        </w:tc>
        <w:tc>
          <w:tcPr>
            <w:tcW w:w="121"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Transfers</w:t>
            </w:r>
          </w:p>
        </w:tc>
      </w:tr>
      <w:tr>
        <w:trPr/>
        <w:tc>
          <w:tcPr>
            <w:tcW w:w="3392" w:type="dxa"/>
            <w:tcBorders/>
          </w:tcPr>
          <w:p>
            <w:pPr>
              <w:pStyle w:val="TableContents"/>
              <w:bidi w:val="0"/>
              <w:spacing w:before="0" w:after="283"/>
              <w:jc w:val="left"/>
              <w:rPr/>
            </w:pPr>
            <w:r>
              <w:rPr/>
              <w:t>Bitcoin</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BTC</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Yes</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Yes*</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Bitcoin Cash</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BCH</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No</w:t>
              <w:br/>
              <w:t>(Planned Q4 2023)</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No</w:t>
              <w:br/>
              <w:t>(Planned Q4 2023)</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Dogecoin</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DOGE</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No</w:t>
              <w:br/>
              <w:t>(Planned Q4 2023)</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No</w:t>
              <w:br/>
              <w:t>(Planned Q4 2023)</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Ethereum</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ETH</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Yes</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Yes*</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Ethereum Classic</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ETC</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No</w:t>
              <w:br/>
              <w:t>(Planned Q4 2023)</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No</w:t>
              <w:br/>
              <w:t>(Planned Q4 2023)</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Litecoin</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LTC</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No</w:t>
              <w:br/>
              <w:t>(Planned Q4 2023)</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No</w:t>
              <w:br/>
              <w:t>(Planned Q4 2023)</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Shiba Inu</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SHIB</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No</w:t>
              <w:br/>
              <w:t>(Planned Q4 2023)</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No</w:t>
              <w:br/>
              <w:t>(Planned Q4 2023)</w:t>
            </w:r>
          </w:p>
        </w:tc>
      </w:tr>
      <w:tr>
        <w:trPr>
          <w:trHeight w:val="120" w:hRule="atLeast"/>
        </w:trPr>
        <w:tc>
          <w:tcPr>
            <w:tcW w:w="3392" w:type="dxa"/>
            <w:tcBorders/>
            <w:vAlign w:val="center"/>
          </w:tcPr>
          <w:p>
            <w:pPr>
              <w:pStyle w:val="TableContents"/>
              <w:bidi w:val="0"/>
              <w:spacing w:before="0" w:after="283"/>
              <w:jc w:val="left"/>
              <w:rPr>
                <w:sz w:val="4"/>
                <w:szCs w:val="4"/>
              </w:rPr>
            </w:pPr>
            <w:r>
              <w:rPr>
                <w:sz w:val="4"/>
                <w:szCs w:val="4"/>
              </w:rPr>
            </w:r>
          </w:p>
        </w:tc>
        <w:tc>
          <w:tcPr>
            <w:tcW w:w="1744" w:type="dxa"/>
            <w:gridSpan w:val="2"/>
            <w:tcBorders/>
            <w:vAlign w:val="center"/>
          </w:tcPr>
          <w:p>
            <w:pPr>
              <w:pStyle w:val="TableContents"/>
              <w:bidi w:val="0"/>
              <w:spacing w:before="0" w:after="283"/>
              <w:jc w:val="left"/>
              <w:rPr>
                <w:sz w:val="4"/>
                <w:szCs w:val="4"/>
              </w:rPr>
            </w:pPr>
            <w:r>
              <w:rPr>
                <w:sz w:val="4"/>
                <w:szCs w:val="4"/>
              </w:rPr>
            </w:r>
          </w:p>
        </w:tc>
        <w:tc>
          <w:tcPr>
            <w:tcW w:w="3128" w:type="dxa"/>
            <w:gridSpan w:val="2"/>
            <w:tcBorders/>
            <w:vAlign w:val="center"/>
          </w:tcPr>
          <w:p>
            <w:pPr>
              <w:pStyle w:val="TableContents"/>
              <w:bidi w:val="0"/>
              <w:spacing w:before="0" w:after="283"/>
              <w:jc w:val="left"/>
              <w:rPr>
                <w:sz w:val="4"/>
                <w:szCs w:val="4"/>
              </w:rPr>
            </w:pPr>
            <w:r>
              <w:rPr>
                <w:sz w:val="4"/>
                <w:szCs w:val="4"/>
              </w:rPr>
            </w:r>
          </w:p>
        </w:tc>
        <w:tc>
          <w:tcPr>
            <w:tcW w:w="1941" w:type="dxa"/>
            <w:gridSpan w:val="2"/>
            <w:tcBorders/>
            <w:vAlign w:val="center"/>
          </w:tcPr>
          <w:p>
            <w:pPr>
              <w:pStyle w:val="TableContents"/>
              <w:bidi w:val="0"/>
              <w:spacing w:before="0" w:after="283"/>
              <w:jc w:val="left"/>
              <w:rPr>
                <w:sz w:val="4"/>
                <w:szCs w:val="4"/>
              </w:rPr>
            </w:pPr>
            <w:r>
              <w:rPr>
                <w:sz w:val="4"/>
                <w:szCs w:val="4"/>
              </w:rPr>
            </w:r>
          </w:p>
        </w:tc>
      </w:tr>
      <w:tr>
        <w:trPr/>
        <w:tc>
          <w:tcPr>
            <w:tcW w:w="3392" w:type="dxa"/>
            <w:tcBorders/>
          </w:tcPr>
          <w:p>
            <w:pPr>
              <w:pStyle w:val="TableContents"/>
              <w:bidi w:val="0"/>
              <w:spacing w:before="0" w:after="283"/>
              <w:jc w:val="left"/>
              <w:rPr/>
            </w:pPr>
            <w:r>
              <w:rPr/>
              <w:t>USD Coin</w:t>
            </w:r>
          </w:p>
        </w:tc>
        <w:tc>
          <w:tcPr>
            <w:tcW w:w="121" w:type="dxa"/>
            <w:tcBorders/>
            <w:vAlign w:val="bottom"/>
          </w:tcPr>
          <w:p>
            <w:pPr>
              <w:pStyle w:val="TableContents"/>
              <w:bidi w:val="0"/>
              <w:spacing w:before="0" w:after="283"/>
              <w:jc w:val="left"/>
              <w:rPr/>
            </w:pPr>
            <w:r>
              <w:rPr/>
              <w:t>  </w:t>
            </w:r>
          </w:p>
        </w:tc>
        <w:tc>
          <w:tcPr>
            <w:tcW w:w="1623" w:type="dxa"/>
            <w:tcBorders/>
          </w:tcPr>
          <w:p>
            <w:pPr>
              <w:pStyle w:val="TableContents"/>
              <w:bidi w:val="0"/>
              <w:spacing w:before="0" w:after="283"/>
              <w:jc w:val="center"/>
              <w:rPr/>
            </w:pPr>
            <w:r>
              <w:rPr/>
              <w:t>USDC</w:t>
            </w:r>
          </w:p>
        </w:tc>
        <w:tc>
          <w:tcPr>
            <w:tcW w:w="121" w:type="dxa"/>
            <w:tcBorders/>
            <w:vAlign w:val="bottom"/>
          </w:tcPr>
          <w:p>
            <w:pPr>
              <w:pStyle w:val="TableContents"/>
              <w:bidi w:val="0"/>
              <w:spacing w:before="0" w:after="283"/>
              <w:jc w:val="left"/>
              <w:rPr/>
            </w:pPr>
            <w:r>
              <w:rPr/>
              <w:t>  </w:t>
            </w:r>
          </w:p>
        </w:tc>
        <w:tc>
          <w:tcPr>
            <w:tcW w:w="3007" w:type="dxa"/>
            <w:tcBorders/>
          </w:tcPr>
          <w:p>
            <w:pPr>
              <w:pStyle w:val="TableContents"/>
              <w:bidi w:val="0"/>
              <w:spacing w:before="0" w:after="283"/>
              <w:jc w:val="center"/>
              <w:rPr/>
            </w:pPr>
            <w:r>
              <w:rPr/>
              <w:t>No</w:t>
              <w:br/>
              <w:t>(Planned Q4 2023)</w:t>
            </w:r>
          </w:p>
        </w:tc>
        <w:tc>
          <w:tcPr>
            <w:tcW w:w="121"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No</w:t>
              <w:br/>
              <w:t>(Planned Q4 2023)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the State of New York.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which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1"/>
        <w:gridCol w:w="4870"/>
      </w:tblGrid>
      <w:tr>
        <w:trPr/>
        <w:tc>
          <w:tcPr>
            <w:tcW w:w="52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0"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Crypto Asset (Symbol)</w:t>
            </w:r>
          </w:p>
        </w:tc>
        <w:tc>
          <w:tcPr>
            <w:tcW w:w="121" w:type="dxa"/>
            <w:tcBorders/>
            <w:vAlign w:val="bottom"/>
          </w:tcPr>
          <w:p>
            <w:pPr>
              <w:pStyle w:val="TableContents"/>
              <w:bidi w:val="0"/>
              <w:spacing w:before="0" w:after="283"/>
              <w:jc w:val="left"/>
              <w:rPr/>
            </w:pPr>
            <w:r>
              <w:rPr/>
              <w:t>  </w:t>
            </w:r>
          </w:p>
        </w:tc>
        <w:tc>
          <w:tcPr>
            <w:tcW w:w="48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Delisting</w:t>
            </w:r>
          </w:p>
        </w:tc>
      </w:tr>
      <w:tr>
        <w:trPr/>
        <w:tc>
          <w:tcPr>
            <w:tcW w:w="5214" w:type="dxa"/>
            <w:tcBorders/>
          </w:tcPr>
          <w:p>
            <w:pPr>
              <w:pStyle w:val="TableContents"/>
              <w:bidi w:val="0"/>
              <w:spacing w:before="0" w:after="283"/>
              <w:jc w:val="left"/>
              <w:rPr/>
            </w:pPr>
            <w:r>
              <w:rPr/>
              <w:t>AMP</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December 6, 2022</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CRO; DASH; ONE; LUNA; LUNC; ZEC</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February 15, 2023</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ALGO; MANA</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April 21, 2023</w:t>
            </w:r>
          </w:p>
        </w:tc>
      </w:tr>
      <w:tr>
        <w:trPr>
          <w:trHeight w:val="120" w:hRule="atLeast"/>
        </w:trPr>
        <w:tc>
          <w:tcPr>
            <w:tcW w:w="5214" w:type="dxa"/>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5214" w:type="dxa"/>
            <w:tcBorders/>
          </w:tcPr>
          <w:p>
            <w:pPr>
              <w:pStyle w:val="TableContents"/>
              <w:bidi w:val="0"/>
              <w:spacing w:before="0" w:after="283"/>
              <w:jc w:val="left"/>
              <w:rPr/>
            </w:pPr>
            <w:r>
              <w:rPr/>
              <w:t>COMP; GALA; YFI; LRC; ICP; BAT; LINK; APE; MKR; REN; BNT; SNX; ATOM; GRT; AAVE; FIL; XTZ; AVAX; UNI; XLM; CHZ; SUSHI; CRV; ENJ; FTM; SOL; ADA; MATIC</w:t>
            </w:r>
          </w:p>
        </w:tc>
        <w:tc>
          <w:tcPr>
            <w:tcW w:w="121" w:type="dxa"/>
            <w:tcBorders/>
            <w:vAlign w:val="bottom"/>
          </w:tcPr>
          <w:p>
            <w:pPr>
              <w:pStyle w:val="TableContents"/>
              <w:bidi w:val="0"/>
              <w:spacing w:before="0" w:after="283"/>
              <w:jc w:val="left"/>
              <w:rPr/>
            </w:pPr>
            <w:r>
              <w:rPr/>
              <w:t>  </w:t>
            </w:r>
          </w:p>
        </w:tc>
        <w:tc>
          <w:tcPr>
            <w:tcW w:w="4870" w:type="dxa"/>
            <w:tcBorders/>
          </w:tcPr>
          <w:p>
            <w:pPr>
              <w:pStyle w:val="TableContents"/>
              <w:bidi w:val="0"/>
              <w:spacing w:before="0" w:after="283"/>
              <w:jc w:val="center"/>
              <w:rPr/>
            </w:pPr>
            <w:r>
              <w:rPr/>
              <w:t>September 19,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Crypto Asset Trading </w:t>
      </w:r>
    </w:p>
    <w:p>
      <w:pPr>
        <w:pStyle w:val="TextBody"/>
        <w:bidi w:val="0"/>
        <w:spacing w:before="120" w:after="0"/>
        <w:jc w:val="left"/>
        <w:rPr>
          <w:rFonts w:ascii="Times New Roman" w:hAnsi="Times New Roman"/>
          <w:sz w:val="20"/>
        </w:rPr>
      </w:pPr>
      <w:r>
        <w:rPr>
          <w:rFonts w:ascii="Times New Roman" w:hAnsi="Times New Roman"/>
          <w:sz w:val="20"/>
        </w:rPr>
        <w:t xml:space="preserve">We have agreements with Clients that entitle us to receive recurring subscription revenues in the form of platform fees from Clients for the use of our platforms by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Customers may purchase approved crypto assets directly through Bakkt Crypto utilizing one of four funding 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fiat wallet (see Fig. 1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Customers Banking as a Service (</w:t>
            </w:r>
            <w:r>
              <w:rPr>
                <w:rFonts w:ascii="Times New Roman" w:hAnsi="Times New Roman"/>
                <w:sz w:val="20"/>
                <w:u w:val="single"/>
              </w:rPr>
              <w:t>BaaS</w:t>
            </w:r>
            <w:r>
              <w:rPr>
                <w:rFonts w:ascii="Times New Roman" w:hAnsi="Times New Roman"/>
                <w:sz w:val="20"/>
              </w:rPr>
              <w:t xml:space="preserve">) provider account (see Fig. 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brokerage account (see Fig. 3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points/rewards account with a participating loyalty Client (see Fig. 4 below; expected to become available in the first quarter of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Customers may sell crypto assets through Bakkt Crypto. The sale proceeds from a sale can be directed to one of three potential Customer accounts: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fiat wallet (see Fig. 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BaaS account (see Fig. 6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Customers brokerage account (see Fig. 7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w:t>
      </w:r>
    </w:p>
    <w:p>
      <w:pPr>
        <w:pStyle w:val="TextBody"/>
        <w:bidi w:val="0"/>
        <w:spacing w:before="240" w:after="0"/>
        <w:jc w:val="left"/>
        <w:rPr>
          <w:rFonts w:ascii="Times New Roman" w:hAnsi="Times New Roman"/>
          <w:sz w:val="20"/>
        </w:rPr>
      </w:pPr>
      <w:r>
        <w:rPr>
          <w:rFonts w:ascii="Times New Roman" w:hAnsi="Times New Roman"/>
          <w:sz w:val="20"/>
        </w:rPr>
        <w:t xml:space="preserve">Customers can submit an order request to purchase crypto assets by specifying the dollar value or coin quantity that they wish to purchase. The Clients user interface displays the estimated price or quantity, as applicable, as well as any transaction fees. 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Customers funding source is a fiat wallet, Bakkt Marketplace will debit the Customers fiat wallet on its internal ledger. During the daily net settlement period fiat funds are transmitted from the FBO account to the Bakkt Crypto transaction account.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Fig. 1 Crypto Assets Purchase Through A Fiat Wallet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81700" cy="2238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81700" cy="22383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Fig. 2 Crypto Assets Purchase Through A Customers BaaS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91225" cy="2486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91225" cy="2486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brokerage account, Bakkt Crypto sends a message to ledger the funds from the Customers brokerage account at the brokerages clearing firm to Bakkt Crypto brokerage account at the brokerages clearing firm. During the daily batch settlement period, fiat funds are transmitted from the Bakkt Crypto brokerage account to the Bakkt Crypto transaction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Fig. 3 Crypto Assets Purchase Through A Customers Brokerage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48350" cy="2495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48350" cy="2495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points account at points/rewards Client, Bakkt Crypto will debit the Customers points account. During the daily batch settlement, funds are transferred from the rewards Client account to the Bakkt Crypto transaction account.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Fig. 4 Crypto Assets Purchase Through A Customers Points/Rewards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7375" cy="2305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67375" cy="2305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fiat wallet, Bakkt Marketplace will credit the Customers fiat wallet on its internal ledger. During the daily batch settlement period, fiat funds are transmitted from the Bakkt Crypto transaction account to the FBO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Fig. 5 Crypto Assets Sale with proceeds to the Customers Fiat Wallet Hosted by Bakkt Crypto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2152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62625" cy="21526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Fig. 6 Crypto Assets Sale with Proceeds to the Customers BaaS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72125" cy="2200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72125" cy="22002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Fig. 7 Crypto Assets Sale with Proceeds to the Customers Brokerage Account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29275" cy="2114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29275" cy="2114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Custody Services for the Crypto Assets Supported for Trading </w:t>
      </w:r>
    </w:p>
    <w:p>
      <w:pPr>
        <w:pStyle w:val="TextBody"/>
        <w:bidi w:val="0"/>
        <w:spacing w:before="120" w:after="0"/>
        <w:jc w:val="left"/>
        <w:rPr>
          <w:rFonts w:ascii="Times New Roman" w:hAnsi="Times New Roman"/>
          <w:sz w:val="20"/>
        </w:rPr>
      </w:pPr>
      <w:r>
        <w:rPr>
          <w:rFonts w:ascii="Times New Roman" w:hAnsi="Times New Roman"/>
          <w:sz w:val="20"/>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w:t>
      </w:r>
      <w:r>
        <w:rPr>
          <w:rFonts w:ascii="Times New Roman" w:hAnsi="Times New Roman"/>
          <w:sz w:val="20"/>
          <w:u w:val="single"/>
        </w:rPr>
        <w:t>Coinbase Custody</w:t>
      </w:r>
      <w:r>
        <w:rPr>
          <w:rFonts w:ascii="Times New Roman" w:hAnsi="Times New Roman"/>
          <w:sz w:val="20"/>
        </w:rPr>
        <w:t>) and BitGo Trust Company (</w:t>
      </w:r>
      <w:r>
        <w:rPr>
          <w:rFonts w:ascii="Times New Roman" w:hAnsi="Times New Roman"/>
          <w:sz w:val="20"/>
          <w:u w:val="single"/>
        </w:rPr>
        <w:t>BitGo</w:t>
      </w:r>
      <w:r>
        <w:rPr>
          <w:rFonts w:ascii="Times New Roman" w:hAnsi="Times New Roman"/>
          <w:sz w:val="20"/>
        </w:rPr>
        <w:t xml:space="preserve">), which are currently used by Bakkt Crypto for custody and crypto asset transfers, where applicable. In addition, Bakkt Crypto also self-custodies select crypto assets (less than 8% of total Customer crypto assets were self-custodied as of September 30, 2023) to facilitate Customer withdrawals utilizing the Fireblocks Vault service. Self-custodying Customer crypto assets through the use of Fireblocks third-party custody software involves risks related to our reliance on the third party for the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 </w:t>
      </w:r>
    </w:p>
    <w:p>
      <w:pPr>
        <w:pStyle w:val="TextBody"/>
        <w:bidi w:val="0"/>
        <w:spacing w:before="240" w:after="0"/>
        <w:jc w:val="left"/>
        <w:rPr>
          <w:rFonts w:ascii="Times New Roman" w:hAnsi="Times New Roman"/>
          <w:sz w:val="20"/>
        </w:rPr>
      </w:pPr>
      <w:r>
        <w:rPr>
          <w:rFonts w:ascii="Times New Roman" w:hAnsi="Times New Roman"/>
          <w:sz w:val="20"/>
        </w:rPr>
        <w:t xml:space="preserve">Our intention is to consolidate our self-custodial services while still offering diversification across custodians for Clients that request it. </w:t>
      </w:r>
    </w:p>
    <w:p>
      <w:pPr>
        <w:pStyle w:val="TextBody"/>
        <w:bidi w:val="0"/>
        <w:spacing w:before="240" w:after="0"/>
        <w:jc w:val="left"/>
        <w:rPr>
          <w:rFonts w:ascii="Times New Roman" w:hAnsi="Times New Roman"/>
          <w:sz w:val="20"/>
        </w:rPr>
      </w:pPr>
      <w:r>
        <w:rPr>
          <w:rFonts w:ascii="Times New Roman" w:hAnsi="Times New Roman"/>
          <w:sz w:val="20"/>
        </w:rPr>
        <w:t xml:space="preserve">Bakkt Trust holds at least 90% of the crypto assets held in custody in cold storage and up to 10% of crypto assets (not to exceed $25.0 million in notional value at any one time) in warm or hot wallets. </w:t>
      </w:r>
    </w:p>
    <w:p>
      <w:pPr>
        <w:pStyle w:val="TextBody"/>
        <w:bidi w:val="0"/>
        <w:spacing w:before="240" w:after="0"/>
        <w:jc w:val="left"/>
        <w:rPr>
          <w:rFonts w:ascii="Times New Roman" w:hAnsi="Times New Roman"/>
          <w:sz w:val="20"/>
        </w:rPr>
      </w:pPr>
      <w:r>
        <w:rPr>
          <w:rFonts w:ascii="Times New Roman" w:hAnsi="Times New Roman"/>
          <w:sz w:val="20"/>
        </w:rPr>
        <w:t xml:space="preserve">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Assets stored by Coinbase Custody and BitGo are held 100% in segregated cold storage. Both entities are SOC 1 certified. At this time, Bakkt Crypto does not utilize third parties other than Coinbase Custody and BitGo to hold Customer crypto assets as custodian. </w:t>
      </w:r>
    </w:p>
    <w:p>
      <w:pPr>
        <w:pStyle w:val="TextBody"/>
        <w:bidi w:val="0"/>
        <w:spacing w:before="240" w:after="0"/>
        <w:jc w:val="left"/>
        <w:rPr>
          <w:rFonts w:ascii="Times New Roman" w:hAnsi="Times New Roman"/>
          <w:sz w:val="20"/>
        </w:rPr>
      </w:pPr>
      <w:r>
        <w:rPr>
          <w:rFonts w:ascii="Times New Roman" w:hAnsi="Times New Roman"/>
          <w:sz w:val="20"/>
        </w:rPr>
        <w:t xml:space="preserve">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wallet holdings. New members of our custody operations team are required to complete trainings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w:t>
      </w:r>
    </w:p>
    <w:p>
      <w:pPr>
        <w:pStyle w:val="TextBody"/>
        <w:bidi w:val="0"/>
        <w:spacing w:before="240" w:after="0"/>
        <w:jc w:val="left"/>
        <w:rPr>
          <w:rFonts w:ascii="Times New Roman" w:hAnsi="Times New Roman"/>
          <w:sz w:val="20"/>
        </w:rPr>
      </w:pPr>
      <w:r>
        <w:rPr>
          <w:rFonts w:ascii="Times New Roman" w:hAnsi="Times New Roman"/>
          <w:sz w:val="20"/>
        </w:rPr>
        <w:t xml:space="preserve">The existence, exclusive ownership and software functionality of private digital keys and other ownership records are subject to annual audits conducted by external auditors. No insurance provider has inspection rights in respect of the crypto assets held in storage.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External Transfers of Crypto Assets (through Bakkt Crypto)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State of New York, all crypto assets that we make available to Customers are transferable to external wallets, with the exception of Ethereum Classic (ETC) and Dogecoin (DOGE), which are under development and expected to be supported for transfers in the first quarter of 2024. Because we have structured our platforms to be Client-configurable in several aspects, each Client has the discretion to enable this transfer feature for its Customers. Crypto assets made available to Customers residing in the State of New York are not transferable to external wallets.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Institutional Client Business  Crypto Custody Services </w:t>
      </w:r>
    </w:p>
    <w:p>
      <w:pPr>
        <w:pStyle w:val="TextBody"/>
        <w:bidi w:val="0"/>
        <w:spacing w:before="120" w:after="0"/>
        <w:jc w:val="left"/>
        <w:rPr>
          <w:rFonts w:ascii="Times New Roman" w:hAnsi="Times New Roman"/>
          <w:sz w:val="20"/>
        </w:rPr>
      </w:pPr>
      <w:r>
        <w:rPr>
          <w:rFonts w:ascii="Times New Roman" w:hAnsi="Times New Roman"/>
          <w:sz w:val="20"/>
        </w:rPr>
        <w:t xml:space="preserve">Bakkt Trust currently provides custody services to Customers of Bakkt Marketplace and to its own institutional customers with respect to bitcoin and ethereum and is in the process of expanding the list of crypto assets for which it provides custody services to include more of the crypto assets which we support for trading. Pursuant to its coin listing policy, Bakkt Trust recently self-certified the provision of custody services for all of the crypto assets traded on Bakkt Crypto and Bakkt Marketplace. For a list of these crypto assets, see the table for Bakkt Trust under Crypto Assets and Services Offered by Bakkt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Bakkt Rewards </w:t>
      </w:r>
    </w:p>
    <w:p>
      <w:pPr>
        <w:pStyle w:val="TextBody"/>
        <w:bidi w:val="0"/>
        <w:spacing w:before="120" w:after="0"/>
        <w:jc w:val="left"/>
        <w:rPr>
          <w:rFonts w:ascii="Times New Roman" w:hAnsi="Times New Roman"/>
          <w:sz w:val="20"/>
        </w:rPr>
      </w:pPr>
      <w:r>
        <w:rPr>
          <w:rFonts w:ascii="Times New Roman" w:hAnsi="Times New Roman"/>
          <w:sz w:val="20"/>
        </w:rPr>
        <w:t xml:space="preserve">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 </w:t>
      </w:r>
    </w:p>
    <w:p>
      <w:pPr>
        <w:pStyle w:val="TextBody"/>
        <w:bidi w:val="0"/>
        <w:spacing w:before="240" w:after="0"/>
        <w:jc w:val="left"/>
        <w:rPr>
          <w:rFonts w:ascii="Times New Roman" w:hAnsi="Times New Roman"/>
          <w:sz w:val="20"/>
        </w:rPr>
      </w:pPr>
      <w:r>
        <w:rPr>
          <w:rFonts w:ascii="Times New Roman" w:hAnsi="Times New Roman"/>
          <w:sz w:val="20"/>
        </w:rPr>
        <w:t xml:space="preserve">Bakkt Rewards will initially be supported by the Bakkt Marketplace platform and, once it combines with Bakkt Crypto, by the platform of the combined entity.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Potential Services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ongoing review of potential services we have de-prioritized investment in Bakkt Payouts as a service offering as we work with our clients to understand the desired feature set and their timelines to implementation. We have elected to suspend the development of the Bakkt Payouts product indefinitely. In addition, we evaluated opportunities to offer staking and have postponed further development and rollout indefinitely. Factors relevant to our determination are revenue expectations and compliance with applicable laws. Any new services that we may offer will be subject to governance and regulatory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Marketing </w:t>
      </w:r>
    </w:p>
    <w:p>
      <w:pPr>
        <w:pStyle w:val="TextBody"/>
        <w:bidi w:val="0"/>
        <w:spacing w:before="120" w:after="0"/>
        <w:jc w:val="left"/>
        <w:rPr>
          <w:rFonts w:ascii="Times New Roman" w:hAnsi="Times New Roman"/>
          <w:sz w:val="20"/>
        </w:rPr>
      </w:pPr>
      <w:r>
        <w:rPr>
          <w:rFonts w:ascii="Times New Roman" w:hAnsi="Times New Roman"/>
          <w:sz w:val="20"/>
        </w:rPr>
        <w:t xml:space="preserve">We market our platform to our Clients. We generally do not engage in any direct-to-consumer marketing for the acquisition or engagement of end consumers, or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 </w:t>
      </w:r>
    </w:p>
    <w:p>
      <w:pPr>
        <w:pStyle w:val="TextBody"/>
        <w:bidi w:val="0"/>
        <w:spacing w:before="240" w:after="0"/>
        <w:jc w:val="left"/>
        <w:rPr>
          <w:rFonts w:ascii="Times New Roman" w:hAnsi="Times New Roman"/>
          <w:sz w:val="20"/>
        </w:rPr>
      </w:pPr>
      <w:r>
        <w:rPr>
          <w:rFonts w:ascii="Times New Roman" w:hAnsi="Times New Roman"/>
          <w:sz w:val="20"/>
        </w:rPr>
        <w:t xml:space="preserve">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 </w:t>
      </w:r>
    </w:p>
    <w:p>
      <w:pPr>
        <w:pStyle w:val="TextBody"/>
        <w:bidi w:val="0"/>
        <w:spacing w:before="240" w:after="0"/>
        <w:jc w:val="left"/>
        <w:rPr>
          <w:rFonts w:ascii="Times New Roman" w:hAnsi="Times New Roman"/>
          <w:sz w:val="20"/>
        </w:rPr>
      </w:pPr>
      <w:r>
        <w:rPr>
          <w:rFonts w:ascii="Times New Roman" w:hAnsi="Times New Roman"/>
          <w:sz w:val="20"/>
        </w:rPr>
        <w:t>We market our products and services to potential Clients using multiple business-to-business channels, such as (i) Company-owned domains (</w:t>
      </w:r>
      <w:r>
        <w:rPr>
          <w:rFonts w:ascii="Times New Roman" w:hAnsi="Times New Roman"/>
          <w:i/>
          <w:sz w:val="20"/>
        </w:rPr>
        <w:t>e.g</w:t>
      </w:r>
      <w:r>
        <w:rPr>
          <w:rFonts w:ascii="Times New Roman" w:hAnsi="Times New Roman"/>
          <w:sz w:val="20"/>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 </w:t>
      </w:r>
    </w:p>
    <w:p>
      <w:pPr>
        <w:pStyle w:val="TextBody"/>
        <w:bidi w:val="0"/>
        <w:spacing w:before="240" w:after="0"/>
        <w:jc w:val="left"/>
        <w:rPr>
          <w:rFonts w:ascii="Times New Roman" w:hAnsi="Times New Roman"/>
          <w:sz w:val="20"/>
        </w:rPr>
      </w:pPr>
      <w:r>
        <w:rPr>
          <w:rFonts w:ascii="Times New Roman" w:hAnsi="Times New Roman"/>
          <w:sz w:val="20"/>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hAnsi="Times New Roman"/>
          <w:i/>
          <w:sz w:val="20"/>
        </w:rPr>
        <w:t>e.g</w:t>
      </w:r>
      <w:r>
        <w:rPr>
          <w:rFonts w:ascii="Times New Roman" w:hAnsi="Times New Roman"/>
          <w:sz w:val="20"/>
        </w:rPr>
        <w:t xml:space="preserve">., Customer Identification Program and Know Your Customer verification) and to service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Matters </w:t>
      </w:r>
    </w:p>
    <w:p>
      <w:pPr>
        <w:pStyle w:val="TextBody"/>
        <w:bidi w:val="0"/>
        <w:spacing w:before="120" w:after="0"/>
        <w:jc w:val="left"/>
        <w:rPr>
          <w:rFonts w:ascii="Times New Roman" w:hAnsi="Times New Roman"/>
          <w:sz w:val="20"/>
        </w:rPr>
      </w:pPr>
      <w:r>
        <w:rPr>
          <w:rFonts w:ascii="Times New Roman" w:hAnsi="Times New Roman"/>
          <w:sz w:val="20"/>
        </w:rPr>
        <w:t xml:space="preserve">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employee and fiduciary liability and officers liability.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covered for certain liabilities by insurance policies issued to third parties, including, but not limited to, our dealers and vendors.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crypto assets, we maintain crime insurance with $100.0 million of coverage for amounts held in cold wallets and $25.0 million of coverage for amounts held in hot wallets, in each case, with a $1.0 million deductible. The policy term is one year, from July 1, 2023 to June 30, 2024. The policy is non-cancellable, other than for a change of control of the Company, bankruptcy or liquidation of the Company or non-payment of premium by the Company. There are no automatic or guaranteed renewal provisions, although we expect to renew such coverage prior to its expiration, if possible. The policy contains customary exclusions and limitations of coverage as per industry standards.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have a comprehensive set of policies and procedures relating to crypto assets and crypto asset-related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Custody-Related Policies </w:t>
      </w:r>
    </w:p>
    <w:p>
      <w:pPr>
        <w:pStyle w:val="TextBody"/>
        <w:bidi w:val="0"/>
        <w:spacing w:before="120" w:after="0"/>
        <w:jc w:val="left"/>
        <w:rPr>
          <w:rFonts w:ascii="Times New Roman" w:hAnsi="Times New Roman"/>
          <w:sz w:val="20"/>
        </w:rPr>
      </w:pPr>
      <w:r>
        <w:rPr>
          <w:rFonts w:ascii="Times New Roman" w:hAnsi="Times New Roman"/>
          <w:sz w:val="20"/>
        </w:rPr>
        <w:t>Bakkt Trust stores client and internal assets omnibus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industry-leading know-your-customer (</w:t>
      </w:r>
      <w:r>
        <w:rPr>
          <w:rFonts w:ascii="Times New Roman" w:hAnsi="Times New Roman"/>
          <w:sz w:val="20"/>
          <w:u w:val="single"/>
        </w:rPr>
        <w:t>KYC</w:t>
      </w:r>
      <w:r>
        <w:rPr>
          <w:rFonts w:ascii="Times New Roman" w:hAnsi="Times New Roman"/>
          <w:sz w:val="20"/>
        </w:rPr>
        <w:t xml:space="preserve">) providers to check the provenance of the assets deposited before moving the funds out of the deposit wallet. Deposited funds may be moved into a segregated quarantine wallet if they do not pass the KYC screening and require further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Listing-Related Policies </w:t>
      </w:r>
    </w:p>
    <w:p>
      <w:pPr>
        <w:pStyle w:val="TextBody"/>
        <w:bidi w:val="0"/>
        <w:spacing w:before="120" w:after="0"/>
        <w:jc w:val="left"/>
        <w:rPr>
          <w:rFonts w:ascii="Times New Roman" w:hAnsi="Times New Roman"/>
          <w:sz w:val="20"/>
        </w:rPr>
      </w:pPr>
      <w:r>
        <w:rPr>
          <w:rFonts w:ascii="Times New Roman" w:hAnsi="Times New Roman"/>
          <w:sz w:val="20"/>
        </w:rPr>
        <w:t>We maintain crypto asset listing policies for each of Bakkt Marketplace (which policy also covers Bakkt Crypto, as its wholly owned subsidiary) and Bakkt Trust (the </w:t>
      </w:r>
      <w:r>
        <w:rPr>
          <w:rFonts w:ascii="Times New Roman" w:hAnsi="Times New Roman"/>
          <w:sz w:val="20"/>
          <w:u w:val="single"/>
        </w:rPr>
        <w:t>Listing Policies</w:t>
      </w:r>
      <w:r>
        <w:rPr>
          <w:rFonts w:ascii="Times New Roman" w:hAnsi="Times New Roman"/>
          <w:sz w:val="20"/>
        </w:rPr>
        <w:t xml:space="preserve">), the purpose of which is to provide a framework for the review and approval of new crypto assets for Customer transactions and custody services, respectively. The Listing Policies are based on guidance from NYDFS and were approved by the NYDFS. Material revisions to the Listing Policies require prior written approval from the NYDFS. </w:t>
      </w:r>
    </w:p>
    <w:p>
      <w:pPr>
        <w:pStyle w:val="TextBody"/>
        <w:bidi w:val="0"/>
        <w:spacing w:before="240" w:after="0"/>
        <w:jc w:val="left"/>
        <w:rPr>
          <w:rFonts w:ascii="Times New Roman" w:hAnsi="Times New Roman"/>
          <w:sz w:val="20"/>
        </w:rPr>
      </w:pPr>
      <w:r>
        <w:rPr>
          <w:rFonts w:ascii="Times New Roman" w:hAnsi="Times New Roman"/>
          <w:sz w:val="20"/>
        </w:rPr>
        <w:t xml:space="preserve">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and cyber security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 </w:t>
      </w:r>
    </w:p>
    <w:p>
      <w:pPr>
        <w:pStyle w:val="TextBody"/>
        <w:bidi w:val="0"/>
        <w:spacing w:before="240" w:after="0"/>
        <w:jc w:val="left"/>
        <w:rPr>
          <w:rFonts w:ascii="Times New Roman" w:hAnsi="Times New Roman"/>
          <w:sz w:val="20"/>
        </w:rPr>
      </w:pPr>
      <w:r>
        <w:rPr>
          <w:rFonts w:ascii="Times New Roman" w:hAnsi="Times New Roman"/>
          <w:sz w:val="20"/>
        </w:rPr>
        <w:t xml:space="preserve">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application of the Howey test, and other factors relevant to the determination of the security status of a crypto asset, and the positions of the SEC as expressed in various crypto-related enforcement actions and lawsuits. We may also solicit the opinion of outside counsel. </w:t>
      </w:r>
    </w:p>
    <w:p>
      <w:pPr>
        <w:pStyle w:val="TextBody"/>
        <w:bidi w:val="0"/>
        <w:spacing w:before="240" w:after="0"/>
        <w:jc w:val="left"/>
        <w:rPr>
          <w:rFonts w:ascii="Times New Roman" w:hAnsi="Times New Roman"/>
          <w:sz w:val="20"/>
        </w:rPr>
      </w:pPr>
      <w:r>
        <w:rPr>
          <w:rFonts w:ascii="Times New Roman" w:hAnsi="Times New Roman"/>
          <w:sz w:val="20"/>
        </w:rPr>
        <w:t xml:space="preserve">The Listing Policies do not ascribe specific weighting to particular factors or inputs to be considered in connection with the potential listing or delisting of crypto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1.jpeg"/><Relationship Id="rId10" Type="http://schemas.openxmlformats.org/officeDocument/2006/relationships/image" Target="media/image8.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15178</Words>
  <Characters>79169</Characters>
  <CharactersWithSpaces>94080</CharactersWithSpaces>
  <Paragraphs>1068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