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September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tbl>
      <w:tblPr>
        <w:tblLayout w:type="fixed"/>
        <w:tblInd w:w="900" w:type="dxa"/>
        <w:tblCellMar>
          <w:top w:w="0" w:type="dxa"/>
          <w:left w:w="0" w:type="dxa"/>
          <w:bottom w:w="0" w:type="dxa"/>
          <w:right w:w="0" w:type="dxa"/>
        </w:tblCellMar>
      </w:tblPr>
      <w:tr>
        <w:trPr>
          <w:trHeight w:val="214"/>
        </w:trPr>
        <w:tc>
          <w:tcPr>
            <w:tcW w:w="3120" w:type="dxa"/>
            <w:vAlign w:val="bottom"/>
          </w:tcPr>
          <w:p>
            <w:pPr>
              <w:jc w:val="center"/>
              <w:ind w:right="1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680" w:type="dxa"/>
            <w:vAlign w:val="bottom"/>
          </w:tcPr>
          <w:p>
            <w:pPr>
              <w:jc w:val="center"/>
              <w:ind w:left="1182"/>
              <w:spacing w:after="0"/>
              <w:rPr>
                <w:sz w:val="20"/>
                <w:szCs w:val="20"/>
                <w:color w:val="auto"/>
              </w:rPr>
            </w:pPr>
            <w:r>
              <w:rPr>
                <w:rFonts w:ascii="Times New Roman" w:cs="Times New Roman" w:eastAsia="Times New Roman" w:hAnsi="Times New Roman"/>
                <w:sz w:val="18"/>
                <w:szCs w:val="18"/>
                <w:b w:val="1"/>
                <w:bCs w:val="1"/>
                <w:color w:val="auto"/>
                <w:w w:val="98"/>
              </w:rPr>
              <w:t>98-1550750</w:t>
            </w:r>
          </w:p>
        </w:tc>
      </w:tr>
      <w:tr>
        <w:trPr>
          <w:trHeight w:val="148"/>
        </w:trPr>
        <w:tc>
          <w:tcPr>
            <w:tcW w:w="3120" w:type="dxa"/>
            <w:vAlign w:val="bottom"/>
          </w:tcPr>
          <w:p>
            <w:pPr>
              <w:jc w:val="center"/>
              <w:ind w:right="11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6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680" w:type="dxa"/>
            <w:vAlign w:val="bottom"/>
          </w:tcPr>
          <w:p>
            <w:pPr>
              <w:jc w:val="center"/>
              <w:ind w:left="11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120" w:type="dxa"/>
            <w:vAlign w:val="bottom"/>
          </w:tcPr>
          <w:p>
            <w:pPr>
              <w:jc w:val="center"/>
              <w:ind w:right="110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6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680" w:type="dxa"/>
            <w:vAlign w:val="bottom"/>
          </w:tcPr>
          <w:p>
            <w:pPr>
              <w:jc w:val="center"/>
              <w:ind w:left="118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142240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Warrants to purchase Class A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September 15, 2025 (the “Redemption Date”), Bakkt Holdings, Inc. (the “Company”) redeemed in full the Outstanding Principal Amount (as defined below) of the Company’s 0.00% convertible debenture due June 18, 2026 (the “Convertible Debenture”) for $7,875,000, which consisted of the Outstanding Principal Amount and a 5% payment premium, in accordance with the terms of the Convertible Debenture.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previously reported, the Company entered into a Securities Purchase Agreement with YA II PN, LTD., a Cayman Islands exempt limited company (the “Investor”), on June 17, 2025, pursuant to which the Investor purchased the Convertible Debenture with a principal balance of $25 million from the Company in a private placement. As of the Redemption Date, the Investor had converted $17,500,000 of the Convertible Debenture into the Company’s Class A common stock, par value $0.0001 per share, leaving $7,500,000 (the “Outstanding Principal Amount”) outstanding, which Outstanding Principal Amount the Company redeemed in full.</w:t>
      </w:r>
    </w:p>
    <w:p>
      <w:pPr>
        <w:sectPr>
          <w:pgSz w:w="11900" w:h="16838" w:orient="portrait"/>
          <w:cols w:equalWidth="0" w:num="1">
            <w:col w:w="10960"/>
          </w:cols>
          <w:pgMar w:left="440" w:top="293" w:right="499" w:bottom="1440" w:gutter="0" w:footer="0" w:header="0"/>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15, 2025</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General Counsel and Secretary</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2025-09-15T15:24:47Z</dcterms:created>
  <dcterms:modified xsi:type="dcterms:W3CDTF">2025-09-15T15:24:47Z</dcterms:modified>
</cp:coreProperties>
</file>