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Spatz Meredith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00"/>
        <w:spacing w:after="0" w:line="311" w:lineRule="auto"/>
        <w:rPr>
          <w:sz w:val="20"/>
          <w:szCs w:val="20"/>
          <w:color w:val="auto"/>
        </w:rPr>
      </w:pPr>
      <w:r>
        <w:rPr>
          <w:rFonts w:ascii="Times New Roman" w:cs="Times New Roman" w:eastAsia="Times New Roman" w:hAnsi="Times New Roman"/>
          <w:sz w:val="17"/>
          <w:szCs w:val="17"/>
          <w:color w:val="0000FF"/>
        </w:rPr>
        <w:t>C/O BAKKT HOLDINGS INC. 10000 AVALON BLVD., SUITE 1000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Bakkt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BKKT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08/26/2022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Customer Officer</w:t>
      </w:r>
    </w:p>
    <w:p>
      <w:pPr>
        <w:spacing w:after="0" w:line="44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3800" w:type="dxa"/>
            <w:vAlign w:val="bottom"/>
            <w:gridSpan w:val="6"/>
          </w:tcPr>
          <w:p>
            <w:pPr>
              <w:ind w:left="140"/>
              <w:spacing w:after="0" w:line="114" w:lineRule="exact"/>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tcPr>
          <w:p>
            <w:pPr>
              <w:ind w:left="160"/>
              <w:spacing w:after="0" w:line="11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20" w:type="dxa"/>
            <w:vAlign w:val="bottom"/>
            <w:gridSpan w:val="7"/>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ALPHARETTA GA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30009</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2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3"/>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08/26/2022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3"/>
              </w:rPr>
              <w:t>100,000</w:t>
            </w:r>
            <w:r>
              <w:rPr>
                <w:rFonts w:ascii="Times New Roman" w:cs="Times New Roman" w:eastAsia="Times New Roman" w:hAnsi="Times New Roman"/>
                <w:sz w:val="22"/>
                <w:szCs w:val="22"/>
                <w:color w:val="008000"/>
                <w:w w:val="93"/>
                <w:vertAlign w:val="superscript"/>
              </w:rPr>
              <w:t>(1)</w:t>
            </w:r>
          </w:p>
        </w:tc>
        <w:tc>
          <w:tcPr>
            <w:tcW w:w="6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right"/>
              <w:ind w:right="5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100,000</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Restricted Stock Units ("RSUs"). Each RSU represents a contingent right to receive one share of the Issuer's Class A Common Stock. The RSUs will vest in equal annual installments on the first three anniversaries of the grant date, provided that the Reporting Person's continues employment with the Issuer as of each vest date.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100,000 shares of Class A Common Stock subject to RSUs that remain subject to vesting.</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Marc D'Annunzio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239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2392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Attorney-in-Fact for Meredith  10/04/2022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Spatz</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444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4447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42855" TargetMode="External"/><Relationship Id="rId13"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2022-10-04T16:28:13Z</dcterms:created>
  <dcterms:modified xsi:type="dcterms:W3CDTF">2022-10-04T16:28:13Z</dcterms:modified>
</cp:coreProperties>
</file>