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1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VPC IMPACT ACQUISITION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ordinary shares,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G9441E100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January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3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[_] Rule 13d-1(b)</w:t>
      </w:r>
    </w:p>
    <w:p>
      <w:pPr>
        <w:spacing w:after="0" w:line="233" w:lineRule="exact"/>
        <w:rPr>
          <w:sz w:val="24"/>
          <w:szCs w:val="24"/>
          <w:color w:val="auto"/>
        </w:rPr>
      </w:pPr>
    </w:p>
    <w:p>
      <w:pPr>
        <w:jc w:val="both"/>
        <w:ind w:left="660" w:right="8980" w:hanging="4"/>
        <w:spacing w:after="0" w:line="483" w:lineRule="auto"/>
        <w:tabs>
          <w:tab w:leader="none" w:pos="1068"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13d-1(c) [_] Rule 13d-1(d)</w:t>
      </w:r>
    </w:p>
    <w:p>
      <w:pPr>
        <w:jc w:val="both"/>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7"/>
        </w:trPr>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340" w:type="dxa"/>
            <w:vAlign w:val="bottom"/>
          </w:tcPr>
          <w:p>
            <w:pPr>
              <w:ind w:left="920"/>
              <w:spacing w:after="0"/>
              <w:rPr>
                <w:sz w:val="20"/>
                <w:szCs w:val="20"/>
                <w:color w:val="auto"/>
              </w:rPr>
            </w:pPr>
            <w:r>
              <w:rPr>
                <w:rFonts w:ascii="Times New Roman" w:cs="Times New Roman" w:eastAsia="Times New Roman" w:hAnsi="Times New Roman"/>
                <w:sz w:val="22"/>
                <w:szCs w:val="22"/>
                <w:b w:val="1"/>
                <w:bCs w:val="1"/>
                <w:color w:val="auto"/>
              </w:rPr>
              <w:t>SCHEDULE 13G</w:t>
            </w:r>
          </w:p>
        </w:tc>
        <w:tc>
          <w:tcPr>
            <w:tcW w:w="0" w:type="dxa"/>
            <w:vAlign w:val="bottom"/>
          </w:tcPr>
          <w:p>
            <w:pPr>
              <w:spacing w:after="0"/>
              <w:rPr>
                <w:sz w:val="1"/>
                <w:szCs w:val="1"/>
                <w:color w:val="auto"/>
              </w:rPr>
            </w:pPr>
          </w:p>
        </w:tc>
      </w:tr>
      <w:tr>
        <w:trPr>
          <w:trHeight w:val="103"/>
        </w:trPr>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760" w:type="dxa"/>
            <w:vAlign w:val="bottom"/>
            <w:gridSpan w:val="2"/>
          </w:tcPr>
          <w:p>
            <w:pPr>
              <w:spacing w:after="0"/>
              <w:rPr>
                <w:sz w:val="8"/>
                <w:szCs w:val="8"/>
                <w:color w:val="auto"/>
              </w:rPr>
            </w:pPr>
          </w:p>
        </w:tc>
        <w:tc>
          <w:tcPr>
            <w:tcW w:w="540" w:type="dxa"/>
            <w:vAlign w:val="bottom"/>
          </w:tcPr>
          <w:p>
            <w:pPr>
              <w:spacing w:after="0"/>
              <w:rPr>
                <w:sz w:val="8"/>
                <w:szCs w:val="8"/>
                <w:color w:val="auto"/>
              </w:rPr>
            </w:pPr>
          </w:p>
        </w:tc>
        <w:tc>
          <w:tcPr>
            <w:tcW w:w="7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100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600" w:type="dxa"/>
            <w:vAlign w:val="bottom"/>
            <w:tcBorders>
              <w:top w:val="single" w:sz="8" w:color="auto"/>
            </w:tcBorders>
          </w:tcPr>
          <w:p>
            <w:pPr>
              <w:spacing w:after="0"/>
              <w:rPr>
                <w:sz w:val="22"/>
                <w:szCs w:val="22"/>
                <w:color w:val="auto"/>
              </w:rPr>
            </w:pPr>
          </w:p>
        </w:tc>
        <w:tc>
          <w:tcPr>
            <w:tcW w:w="1760" w:type="dxa"/>
            <w:vAlign w:val="bottom"/>
            <w:tcBorders>
              <w:top w:val="single" w:sz="8" w:color="auto"/>
              <w:right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G9441E100</w:t>
            </w:r>
          </w:p>
        </w:tc>
        <w:tc>
          <w:tcPr>
            <w:tcW w:w="540" w:type="dxa"/>
            <w:vAlign w:val="bottom"/>
          </w:tcPr>
          <w:p>
            <w:pPr>
              <w:spacing w:after="0"/>
              <w:rPr>
                <w:sz w:val="22"/>
                <w:szCs w:val="22"/>
                <w:color w:val="auto"/>
              </w:rPr>
            </w:pPr>
          </w:p>
        </w:tc>
        <w:tc>
          <w:tcPr>
            <w:tcW w:w="7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000" w:type="dxa"/>
            <w:vAlign w:val="bottom"/>
            <w:tcBorders>
              <w:left w:val="single" w:sz="8" w:color="auto"/>
              <w:bottom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7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7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1</w:t>
            </w:r>
          </w:p>
        </w:tc>
        <w:tc>
          <w:tcPr>
            <w:tcW w:w="29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7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1000" w:type="dxa"/>
            <w:vAlign w:val="bottom"/>
            <w:tcBorders>
              <w:right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00" w:type="dxa"/>
            <w:vAlign w:val="bottom"/>
            <w:tcBorders>
              <w:bottom w:val="single" w:sz="8" w:color="auto"/>
              <w:right w:val="single" w:sz="8" w:color="auto"/>
            </w:tcBorders>
          </w:tcPr>
          <w:p>
            <w:pPr>
              <w:spacing w:after="0"/>
              <w:rPr>
                <w:sz w:val="24"/>
                <w:szCs w:val="24"/>
                <w:color w:val="auto"/>
              </w:rPr>
            </w:pPr>
          </w:p>
        </w:tc>
        <w:tc>
          <w:tcPr>
            <w:tcW w:w="2900" w:type="dxa"/>
            <w:vAlign w:val="bottom"/>
            <w:tcBorders>
              <w:bottom w:val="single" w:sz="8" w:color="auto"/>
            </w:tcBorders>
            <w:gridSpan w:val="4"/>
          </w:tcPr>
          <w:p>
            <w:pPr>
              <w:ind w:left="40"/>
              <w:spacing w:after="0" w:line="296" w:lineRule="exact"/>
              <w:rPr>
                <w:sz w:val="20"/>
                <w:szCs w:val="20"/>
                <w:color w:val="auto"/>
              </w:rPr>
            </w:pPr>
            <w:r>
              <w:rPr>
                <w:rFonts w:ascii="Times New Roman" w:cs="Times New Roman" w:eastAsia="Times New Roman" w:hAnsi="Times New Roman"/>
                <w:sz w:val="18"/>
                <w:szCs w:val="18"/>
                <w:color w:val="auto"/>
              </w:rPr>
              <w:t>Alpine Global Management, LLC</w:t>
            </w:r>
            <w:r>
              <w:rPr>
                <w:rFonts w:ascii="Times New Roman" w:cs="Times New Roman" w:eastAsia="Times New Roman" w:hAnsi="Times New Roman"/>
                <w:sz w:val="29"/>
                <w:szCs w:val="29"/>
                <w:color w:val="auto"/>
                <w:vertAlign w:val="superscript"/>
              </w:rPr>
              <w:t>1</w:t>
            </w:r>
          </w:p>
        </w:tc>
        <w:tc>
          <w:tcPr>
            <w:tcW w:w="7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w:t>
            </w:r>
          </w:p>
        </w:tc>
        <w:tc>
          <w:tcPr>
            <w:tcW w:w="102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48"/>
        </w:trPr>
        <w:tc>
          <w:tcPr>
            <w:tcW w:w="1000" w:type="dxa"/>
            <w:vAlign w:val="bottom"/>
            <w:tcBorders>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000" w:type="dxa"/>
            <w:vAlign w:val="bottom"/>
            <w:tcBorders>
              <w:right w:val="single" w:sz="8" w:color="auto"/>
            </w:tcBorders>
          </w:tcPr>
          <w:p>
            <w:pPr>
              <w:spacing w:after="0"/>
              <w:rPr>
                <w:sz w:val="20"/>
                <w:szCs w:val="20"/>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000" w:type="dxa"/>
            <w:vAlign w:val="bottom"/>
            <w:tcBorders>
              <w:right w:val="single" w:sz="8" w:color="auto"/>
            </w:tcBorders>
          </w:tcPr>
          <w:p>
            <w:pPr>
              <w:spacing w:after="0"/>
              <w:rPr>
                <w:sz w:val="20"/>
                <w:szCs w:val="20"/>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w:t>
            </w: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00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3</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000" w:type="dxa"/>
            <w:vAlign w:val="bottom"/>
            <w:tcBorders>
              <w:right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0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tcBorders>
            <w:gridSpan w:val="2"/>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0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4</w:t>
            </w:r>
          </w:p>
        </w:tc>
        <w:tc>
          <w:tcPr>
            <w:tcW w:w="29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7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000" w:type="dxa"/>
            <w:vAlign w:val="bottom"/>
            <w:tcBorders>
              <w:right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000" w:type="dxa"/>
            <w:vAlign w:val="bottom"/>
            <w:tcBorders>
              <w:right w:val="single" w:sz="8" w:color="auto"/>
            </w:tcBorders>
          </w:tcPr>
          <w:p>
            <w:pPr>
              <w:spacing w:after="0"/>
              <w:rPr>
                <w:sz w:val="22"/>
                <w:szCs w:val="22"/>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 USA</w:t>
            </w: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00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5</w:t>
            </w:r>
          </w:p>
        </w:tc>
        <w:tc>
          <w:tcPr>
            <w:tcW w:w="540" w:type="dxa"/>
            <w:vAlign w:val="bottom"/>
            <w:tcBorders>
              <w:right w:val="single" w:sz="8" w:color="auto"/>
            </w:tcBorders>
          </w:tcPr>
          <w:p>
            <w:pPr>
              <w:spacing w:after="0"/>
              <w:rPr>
                <w:sz w:val="22"/>
                <w:szCs w:val="22"/>
                <w:color w:val="auto"/>
              </w:rPr>
            </w:pP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2,813,820</w:t>
            </w: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4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6</w:t>
            </w:r>
          </w:p>
        </w:tc>
        <w:tc>
          <w:tcPr>
            <w:tcW w:w="540" w:type="dxa"/>
            <w:vAlign w:val="bottom"/>
            <w:tcBorders>
              <w:right w:val="single" w:sz="8" w:color="auto"/>
            </w:tcBorders>
          </w:tcPr>
          <w:p>
            <w:pPr>
              <w:spacing w:after="0"/>
              <w:rPr>
                <w:sz w:val="22"/>
                <w:szCs w:val="22"/>
                <w:color w:val="auto"/>
              </w:rPr>
            </w:pP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47"/>
        </w:trPr>
        <w:tc>
          <w:tcPr>
            <w:tcW w:w="2440" w:type="dxa"/>
            <w:vAlign w:val="bottom"/>
            <w:tcBorders>
              <w:right w:val="single" w:sz="8" w:color="auto"/>
            </w:tcBorders>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440" w:type="dxa"/>
            <w:vAlign w:val="bottom"/>
            <w:tcBorders>
              <w:right w:val="single" w:sz="8" w:color="auto"/>
            </w:tcBorders>
            <w:gridSpan w:val="3"/>
            <w:vMerge w:val="continue"/>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73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24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 Owned by Each</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73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4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 With:</w:t>
            </w: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7</w:t>
            </w:r>
          </w:p>
        </w:tc>
        <w:tc>
          <w:tcPr>
            <w:tcW w:w="540" w:type="dxa"/>
            <w:vAlign w:val="bottom"/>
            <w:tcBorders>
              <w:right w:val="single" w:sz="8" w:color="auto"/>
            </w:tcBorders>
          </w:tcPr>
          <w:p>
            <w:pPr>
              <w:spacing w:after="0"/>
              <w:rPr>
                <w:sz w:val="22"/>
                <w:szCs w:val="22"/>
                <w:color w:val="auto"/>
              </w:rPr>
            </w:pP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2,813,820</w:t>
            </w: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8</w:t>
            </w:r>
          </w:p>
        </w:tc>
        <w:tc>
          <w:tcPr>
            <w:tcW w:w="540" w:type="dxa"/>
            <w:vAlign w:val="bottom"/>
            <w:tcBorders>
              <w:right w:val="single" w:sz="8" w:color="auto"/>
            </w:tcBorders>
          </w:tcPr>
          <w:p>
            <w:pPr>
              <w:spacing w:after="0"/>
              <w:rPr>
                <w:sz w:val="22"/>
                <w:szCs w:val="22"/>
                <w:color w:val="auto"/>
              </w:rPr>
            </w:pP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48"/>
        </w:trPr>
        <w:tc>
          <w:tcPr>
            <w:tcW w:w="100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9</w:t>
            </w:r>
          </w:p>
        </w:tc>
        <w:tc>
          <w:tcPr>
            <w:tcW w:w="102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2"/>
                <w:szCs w:val="22"/>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2,813,820</w:t>
            </w: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100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gridSpan w:val="3"/>
          </w:tcPr>
          <w:p>
            <w:pPr>
              <w:spacing w:after="0"/>
              <w:rPr>
                <w:sz w:val="4"/>
                <w:szCs w:val="4"/>
                <w:color w:val="auto"/>
              </w:rPr>
            </w:pPr>
          </w:p>
        </w:tc>
        <w:tc>
          <w:tcPr>
            <w:tcW w:w="78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10</w:t>
            </w:r>
          </w:p>
        </w:tc>
        <w:tc>
          <w:tcPr>
            <w:tcW w:w="102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0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00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gridSpan w:val="3"/>
          </w:tcPr>
          <w:p>
            <w:pPr>
              <w:spacing w:after="0"/>
              <w:rPr>
                <w:sz w:val="4"/>
                <w:szCs w:val="4"/>
                <w:color w:val="auto"/>
              </w:rPr>
            </w:pPr>
          </w:p>
        </w:tc>
        <w:tc>
          <w:tcPr>
            <w:tcW w:w="78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0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11</w:t>
            </w:r>
          </w:p>
        </w:tc>
        <w:tc>
          <w:tcPr>
            <w:tcW w:w="102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47"/>
        </w:trPr>
        <w:tc>
          <w:tcPr>
            <w:tcW w:w="100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100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13.6%</w:t>
            </w:r>
            <w:r>
              <w:rPr>
                <w:rFonts w:ascii="Times New Roman" w:cs="Times New Roman" w:eastAsia="Times New Roman" w:hAnsi="Times New Roman"/>
                <w:sz w:val="29"/>
                <w:szCs w:val="29"/>
                <w:color w:val="auto"/>
                <w:w w:val="96"/>
                <w:vertAlign w:val="superscript"/>
              </w:rPr>
              <w:t>2</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-4706620</wp:posOffset>
            </wp:positionV>
            <wp:extent cx="7132320" cy="50920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092065"/>
                    </a:xfrm>
                    <a:prstGeom prst="rect">
                      <a:avLst/>
                    </a:prstGeom>
                    <a:noFill/>
                  </pic:spPr>
                </pic:pic>
              </a:graphicData>
            </a:graphic>
          </wp:anchor>
        </w:drawing>
      </w:r>
    </w:p>
    <w:p>
      <w:pPr>
        <w:ind w:left="1040" w:right="6840" w:hanging="965"/>
        <w:spacing w:after="0" w:line="420" w:lineRule="auto"/>
        <w:tabs>
          <w:tab w:leader="none" w:pos="104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Type of Reporting Person (See Instructions) </w:t>
      </w:r>
      <w:r>
        <w:rPr>
          <w:rFonts w:ascii="Times New Roman" w:cs="Times New Roman" w:eastAsia="Times New Roman" w:hAnsi="Times New Roman"/>
          <w:sz w:val="17"/>
          <w:szCs w:val="17"/>
          <w:color w:val="auto"/>
        </w:rPr>
        <w:t>OO, Other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370205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06" w:lineRule="exact"/>
        <w:rPr>
          <w:sz w:val="20"/>
          <w:szCs w:val="20"/>
          <w:color w:val="auto"/>
        </w:rPr>
      </w:pPr>
    </w:p>
    <w:p>
      <w:pPr>
        <w:ind w:left="900" w:hanging="892"/>
        <w:spacing w:after="0"/>
        <w:tabs>
          <w:tab w:leader="none" w:pos="90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VPC Impact Acquisition Holdings</w:t>
      </w:r>
    </w:p>
    <w:p>
      <w:pPr>
        <w:spacing w:after="0" w:line="202"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 North Riverside Plaza, Suite 5200</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Chicago, IL 60606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00" w:lineRule="exact"/>
        <w:rPr>
          <w:sz w:val="20"/>
          <w:szCs w:val="20"/>
          <w:color w:val="auto"/>
        </w:rPr>
      </w:pPr>
    </w:p>
    <w:p>
      <w:pPr>
        <w:spacing w:after="0" w:line="23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 Filing:</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Alpine Global Management, LLC</w:t>
      </w:r>
    </w:p>
    <w:p>
      <w:pPr>
        <w:spacing w:after="0" w:line="200" w:lineRule="exact"/>
        <w:rPr>
          <w:sz w:val="20"/>
          <w:szCs w:val="20"/>
          <w:color w:val="auto"/>
        </w:rPr>
      </w:pPr>
    </w:p>
    <w:p>
      <w:pPr>
        <w:spacing w:after="0" w:line="227"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 or, if None, Residence: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 Broadway, 38</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Floor</w:t>
      </w:r>
    </w:p>
    <w:p>
      <w:pPr>
        <w:spacing w:after="0"/>
        <w:rPr>
          <w:sz w:val="20"/>
          <w:szCs w:val="20"/>
          <w:color w:val="auto"/>
        </w:rPr>
      </w:pPr>
      <w:r>
        <w:rPr>
          <w:rFonts w:ascii="Times New Roman" w:cs="Times New Roman" w:eastAsia="Times New Roman" w:hAnsi="Times New Roman"/>
          <w:sz w:val="22"/>
          <w:szCs w:val="22"/>
          <w:color w:val="auto"/>
        </w:rPr>
        <w:t>New York, NY 10005</w:t>
      </w:r>
    </w:p>
    <w:p>
      <w:pPr>
        <w:spacing w:after="0" w:line="200" w:lineRule="exact"/>
        <w:rPr>
          <w:sz w:val="20"/>
          <w:szCs w:val="20"/>
          <w:color w:val="auto"/>
        </w:rPr>
      </w:pPr>
    </w:p>
    <w:p>
      <w:pPr>
        <w:spacing w:after="0" w:line="203"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 USA</w:t>
      </w:r>
    </w:p>
    <w:p>
      <w:pPr>
        <w:spacing w:after="0" w:line="200" w:lineRule="exact"/>
        <w:rPr>
          <w:sz w:val="20"/>
          <w:szCs w:val="20"/>
          <w:color w:val="auto"/>
        </w:rPr>
      </w:pPr>
    </w:p>
    <w:p>
      <w:pPr>
        <w:spacing w:after="0" w:line="227"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and Class of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$0.0001 par value per share</w:t>
      </w:r>
    </w:p>
    <w:p>
      <w:pPr>
        <w:spacing w:after="0" w:line="200" w:lineRule="exact"/>
        <w:rPr>
          <w:sz w:val="20"/>
          <w:szCs w:val="20"/>
          <w:color w:val="auto"/>
        </w:rPr>
      </w:pPr>
    </w:p>
    <w:p>
      <w:pPr>
        <w:spacing w:after="0" w:line="227" w:lineRule="exact"/>
        <w:rPr>
          <w:sz w:val="20"/>
          <w:szCs w:val="20"/>
          <w:color w:val="auto"/>
        </w:rPr>
      </w:pPr>
    </w:p>
    <w:p>
      <w:pPr>
        <w:spacing w:after="0"/>
        <w:tabs>
          <w:tab w:leader="none" w:pos="640" w:val="left"/>
          <w:tab w:leader="none" w:pos="2840" w:val="left"/>
        </w:tabs>
        <w:rPr>
          <w:sz w:val="20"/>
          <w:szCs w:val="20"/>
          <w:color w:val="auto"/>
        </w:rPr>
      </w:pPr>
      <w:r>
        <w:rPr>
          <w:rFonts w:ascii="Times New Roman" w:cs="Times New Roman" w:eastAsia="Times New Roman" w:hAnsi="Times New Roman"/>
          <w:sz w:val="18"/>
          <w:szCs w:val="18"/>
          <w:b w:val="1"/>
          <w:bCs w:val="1"/>
          <w:color w:val="auto"/>
        </w:rPr>
        <w:t>(e)</w:t>
      </w:r>
      <w:r>
        <w:rPr>
          <w:sz w:val="20"/>
          <w:szCs w:val="20"/>
          <w:color w:val="auto"/>
        </w:rPr>
        <w:tab/>
      </w:r>
      <w:r>
        <w:rPr>
          <w:rFonts w:ascii="Times New Roman" w:cs="Times New Roman" w:eastAsia="Times New Roman" w:hAnsi="Times New Roman"/>
          <w:sz w:val="18"/>
          <w:szCs w:val="18"/>
          <w:b w:val="1"/>
          <w:bCs w:val="1"/>
          <w:color w:val="auto"/>
        </w:rPr>
        <w:t>CUSIP No.:</w:t>
      </w:r>
      <w:r>
        <w:rPr>
          <w:sz w:val="20"/>
          <w:szCs w:val="20"/>
          <w:color w:val="auto"/>
        </w:rPr>
        <w:tab/>
      </w:r>
      <w:r>
        <w:rPr>
          <w:rFonts w:ascii="Times New Roman" w:cs="Times New Roman" w:eastAsia="Times New Roman" w:hAnsi="Times New Roman"/>
          <w:sz w:val="18"/>
          <w:szCs w:val="18"/>
          <w:color w:val="auto"/>
        </w:rPr>
        <w:t>G9441E100</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p>
      <w:pPr>
        <w:spacing w:after="0" w:line="229"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Broker or dealer registered under Section 15 of the Act;</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Bank as defined in Section 3(a)(6) of the Act;</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Insurance company as defined in Section 3(a)(19) of the Act;</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Investment company registered under Section 8 of the Investment Company Act of 1940;</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An investment adviser in accordance with Rule 13d-1(b)(1)(ii)(E);</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An employee benefit plan or endowment fund in accordance with Rule 13d-1(b)(1)(ii)(F);</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 parent holding company or control person in accordance with Rule 13d-1(b)(1)(ii)(G);</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 savings associations as defined in Section 3(b) of the Federal Deposit Insurance Act (12 U.S.C. 1813);</w:t>
      </w:r>
    </w:p>
    <w:p>
      <w:pPr>
        <w:spacing w:after="0" w:line="238"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 church plan that is excluded from the definition of an investment company under section 3(c)(14) of the Investment Company Act of 1940;</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A non-U.S. institution in accordance with Rule 240.13d-1(b)(1)(ii)(J);</w:t>
      </w:r>
    </w:p>
    <w:p>
      <w:pPr>
        <w:spacing w:after="0" w:line="23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7"/>
          <w:szCs w:val="17"/>
          <w:color w:val="auto"/>
        </w:rPr>
        <w:t>Group, in accordance with Rule 240.13d-1(b)(1)(ii)(K). If filing as a non-U.S. institution in accordance with Rule 240.13d-1(b)</w:t>
      </w:r>
    </w:p>
    <w:p>
      <w:pPr>
        <w:spacing w:after="0" w:line="2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(1)(ii)(J), please specify the type of institution: ____</w:t>
      </w:r>
    </w:p>
    <w:p>
      <w:pPr>
        <w:spacing w:after="0" w:line="194"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0" w:lineRule="exact"/>
        <w:rPr>
          <w:sz w:val="20"/>
          <w:szCs w:val="20"/>
          <w:color w:val="auto"/>
        </w:rPr>
      </w:pPr>
    </w:p>
    <w:p>
      <w:pPr>
        <w:spacing w:after="0" w:line="231" w:lineRule="exact"/>
        <w:rPr>
          <w:sz w:val="20"/>
          <w:szCs w:val="20"/>
          <w:color w:val="auto"/>
        </w:rPr>
      </w:pPr>
    </w:p>
    <w:p>
      <w:pPr>
        <w:ind w:left="600" w:hanging="592"/>
        <w:spacing w:after="0"/>
        <w:tabs>
          <w:tab w:leader="none" w:pos="6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Beneficially Owned: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2,813,820</w:t>
      </w:r>
    </w:p>
    <w:p>
      <w:pPr>
        <w:spacing w:after="0" w:line="202" w:lineRule="exact"/>
        <w:rPr>
          <w:sz w:val="20"/>
          <w:szCs w:val="20"/>
          <w:color w:val="auto"/>
        </w:rPr>
      </w:pPr>
    </w:p>
    <w:p>
      <w:pPr>
        <w:ind w:left="980" w:hanging="918"/>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Percent of Class:</w:t>
      </w:r>
    </w:p>
    <w:p>
      <w:pPr>
        <w:sectPr>
          <w:pgSz w:w="11900" w:h="16838" w:orient="portrait"/>
          <w:cols w:equalWidth="0" w:num="1">
            <w:col w:w="11200"/>
          </w:cols>
          <w:pgMar w:left="320" w:top="324" w:right="379" w:bottom="0" w:gutter="0" w:footer="0" w:header="0"/>
        </w:sectPr>
      </w:pPr>
    </w:p>
    <w:bookmarkStart w:id="3" w:name="page4"/>
    <w:bookmarkEnd w:id="3"/>
    <w:p>
      <w:pPr>
        <w:ind w:left="660"/>
        <w:spacing w:after="0" w:line="259" w:lineRule="auto"/>
        <w:rPr>
          <w:sz w:val="20"/>
          <w:szCs w:val="20"/>
          <w:color w:val="auto"/>
        </w:rPr>
      </w:pPr>
      <w:r>
        <w:rPr>
          <w:rFonts w:ascii="Times New Roman" w:cs="Times New Roman" w:eastAsia="Times New Roman" w:hAnsi="Times New Roman"/>
          <w:sz w:val="22"/>
          <w:szCs w:val="22"/>
          <w:color w:val="auto"/>
        </w:rPr>
        <w:t>13.6% Based upon 20,737,202 shares of the registrant’s Class A ordinary shares, par value $0.0001 per share, as reported by VPC Impact Acquisition Holdings. in its Form 10-Q filed on November 16, 2020.</w:t>
      </w:r>
    </w:p>
    <w:p>
      <w:pPr>
        <w:spacing w:after="0" w:line="153" w:lineRule="exact"/>
        <w:rPr>
          <w:sz w:val="20"/>
          <w:szCs w:val="20"/>
          <w:color w:val="auto"/>
        </w:rPr>
      </w:pPr>
    </w:p>
    <w:p>
      <w:pPr>
        <w:ind w:left="940" w:hanging="878"/>
        <w:spacing w:after="0"/>
        <w:tabs>
          <w:tab w:leader="none" w:pos="94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Number of shares as to which such person has:</w:t>
      </w:r>
    </w:p>
    <w:p>
      <w:pPr>
        <w:spacing w:after="0" w:line="200" w:lineRule="exact"/>
        <w:rPr>
          <w:sz w:val="20"/>
          <w:szCs w:val="20"/>
          <w:color w:val="auto"/>
        </w:rPr>
      </w:pPr>
    </w:p>
    <w:p>
      <w:pPr>
        <w:spacing w:after="0" w:line="249" w:lineRule="exact"/>
        <w:rPr>
          <w:sz w:val="20"/>
          <w:szCs w:val="20"/>
          <w:color w:val="auto"/>
        </w:rPr>
      </w:pPr>
    </w:p>
    <w:p>
      <w:pPr>
        <w:ind w:left="1860" w:hanging="1204"/>
        <w:spacing w:after="0"/>
        <w:tabs>
          <w:tab w:leader="none" w:pos="186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Sole power to vote or to direct the vote:</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2,813,820</w:t>
      </w:r>
    </w:p>
    <w:p>
      <w:pPr>
        <w:spacing w:after="0" w:line="229" w:lineRule="exact"/>
        <w:rPr>
          <w:sz w:val="20"/>
          <w:szCs w:val="20"/>
          <w:color w:val="auto"/>
        </w:rPr>
      </w:pPr>
    </w:p>
    <w:p>
      <w:pPr>
        <w:ind w:left="1920" w:hanging="1264"/>
        <w:spacing w:after="0"/>
        <w:tabs>
          <w:tab w:leader="none" w:pos="192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Shared power to vote or to direct the vote:</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0</w:t>
      </w:r>
    </w:p>
    <w:p>
      <w:pPr>
        <w:spacing w:after="0" w:line="238" w:lineRule="exact"/>
        <w:rPr>
          <w:sz w:val="20"/>
          <w:szCs w:val="20"/>
          <w:color w:val="auto"/>
        </w:rPr>
      </w:pPr>
    </w:p>
    <w:p>
      <w:pPr>
        <w:ind w:left="1660" w:hanging="1004"/>
        <w:spacing w:after="0"/>
        <w:tabs>
          <w:tab w:leader="none" w:pos="1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Sole power to dispose or to direct the disposition of:</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2,813,820</w:t>
      </w:r>
    </w:p>
    <w:p>
      <w:pPr>
        <w:spacing w:after="0" w:line="200" w:lineRule="exact"/>
        <w:rPr>
          <w:sz w:val="20"/>
          <w:szCs w:val="20"/>
          <w:color w:val="auto"/>
        </w:rPr>
      </w:pPr>
    </w:p>
    <w:p>
      <w:pPr>
        <w:spacing w:after="0" w:line="281"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Shared power to dispose or to direct the disposition of:</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0</w:t>
      </w:r>
    </w:p>
    <w:p>
      <w:pPr>
        <w:sectPr>
          <w:pgSz w:w="11900" w:h="16838" w:orient="portrait"/>
          <w:cols w:equalWidth="0" w:num="1">
            <w:col w:w="11240"/>
          </w:cols>
          <w:pgMar w:left="320" w:top="112" w:right="339" w:bottom="1440" w:gutter="0" w:footer="0" w:header="0"/>
        </w:sect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5.</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Ownership of Five Percent or Less of a Class.</w:t>
      </w:r>
    </w:p>
    <w:p>
      <w:pPr>
        <w:spacing w:after="0" w:line="200" w:lineRule="exact"/>
        <w:rPr>
          <w:sz w:val="20"/>
          <w:szCs w:val="20"/>
          <w:color w:val="auto"/>
        </w:rPr>
      </w:pPr>
    </w:p>
    <w:p>
      <w:pPr>
        <w:sectPr>
          <w:pgSz w:w="11900" w:h="16838" w:orient="portrait"/>
          <w:cols w:equalWidth="0" w:num="2">
            <w:col w:w="900" w:space="720"/>
            <w:col w:w="9620"/>
          </w:cols>
          <w:pgMar w:left="320" w:top="112" w:right="339" w:bottom="1440" w:gutter="0" w:footer="0" w:header="0"/>
          <w:type w:val="continuous"/>
        </w:sectPr>
      </w:pPr>
    </w:p>
    <w:p>
      <w:pPr>
        <w:spacing w:after="0" w:line="22"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40"/>
          </w:cols>
          <w:pgMar w:left="320" w:top="112" w:right="339" w:bottom="1440" w:gutter="0" w:footer="0" w:header="0"/>
          <w:type w:val="continuous"/>
        </w:sectPr>
      </w:pP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200" w:lineRule="exact"/>
        <w:rPr>
          <w:sz w:val="20"/>
          <w:szCs w:val="20"/>
          <w:color w:val="auto"/>
        </w:rPr>
      </w:pPr>
    </w:p>
    <w:p>
      <w:pPr>
        <w:sectPr>
          <w:pgSz w:w="11900" w:h="16838" w:orient="portrait"/>
          <w:cols w:equalWidth="0" w:num="2">
            <w:col w:w="540" w:space="440"/>
            <w:col w:w="10260"/>
          </w:cols>
          <w:pgMar w:left="320" w:top="112" w:right="339" w:bottom="1440" w:gutter="0" w:footer="0" w:header="0"/>
          <w:type w:val="continuous"/>
        </w:sectPr>
      </w:pP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See Exhibit A.</w:t>
      </w:r>
    </w:p>
    <w:p>
      <w:pPr>
        <w:sectPr>
          <w:pgSz w:w="11900" w:h="16838" w:orient="portrait"/>
          <w:cols w:equalWidth="0" w:num="1">
            <w:col w:w="11240"/>
          </w:cols>
          <w:pgMar w:left="320" w:top="112" w:right="339"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50" w:lineRule="exact"/>
        <w:rPr>
          <w:sz w:val="20"/>
          <w:szCs w:val="20"/>
          <w:color w:val="auto"/>
        </w:rPr>
      </w:pPr>
    </w:p>
    <w:p>
      <w:pPr>
        <w:sectPr>
          <w:pgSz w:w="11900" w:h="16838" w:orient="portrait"/>
          <w:cols w:equalWidth="0" w:num="2">
            <w:col w:w="540" w:space="440"/>
            <w:col w:w="10260"/>
          </w:cols>
          <w:pgMar w:left="320" w:top="112"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9"/>
          <w:szCs w:val="19"/>
          <w:color w:val="auto"/>
        </w:rPr>
        <w:t>N/A</w:t>
      </w:r>
    </w:p>
    <w:p>
      <w:pPr>
        <w:sectPr>
          <w:pgSz w:w="11900" w:h="16838" w:orient="portrait"/>
          <w:cols w:equalWidth="0" w:num="1">
            <w:col w:w="11240"/>
          </w:cols>
          <w:pgMar w:left="320" w:top="112" w:right="33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540" w:space="440"/>
            <w:col w:w="10260"/>
          </w:cols>
          <w:pgMar w:left="320" w:top="112" w:right="339" w:bottom="1440" w:gutter="0" w:footer="0" w:header="0"/>
          <w:type w:val="continuous"/>
        </w:sectPr>
      </w:pP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N/A</w:t>
      </w:r>
    </w:p>
    <w:p>
      <w:pPr>
        <w:sectPr>
          <w:pgSz w:w="11900" w:h="16838" w:orient="portrait"/>
          <w:cols w:equalWidth="0" w:num="1">
            <w:col w:w="11240"/>
          </w:cols>
          <w:pgMar w:left="320" w:top="112" w:right="3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9.</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Notice of Dissolution of Group.</w:t>
      </w:r>
    </w:p>
    <w:p>
      <w:pPr>
        <w:spacing w:after="0" w:line="200" w:lineRule="exact"/>
        <w:rPr>
          <w:sz w:val="20"/>
          <w:szCs w:val="20"/>
          <w:color w:val="auto"/>
        </w:rPr>
      </w:pPr>
    </w:p>
    <w:p>
      <w:pPr>
        <w:sectPr>
          <w:pgSz w:w="11900" w:h="16838" w:orient="portrait"/>
          <w:cols w:equalWidth="0" w:num="2">
            <w:col w:w="900" w:space="720"/>
            <w:col w:w="9620"/>
          </w:cols>
          <w:pgMar w:left="320" w:top="112" w:right="339" w:bottom="1440" w:gutter="0" w:footer="0" w:header="0"/>
          <w:type w:val="continuous"/>
        </w:sectPr>
      </w:pP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N/A</w:t>
      </w:r>
    </w:p>
    <w:p>
      <w:pPr>
        <w:sectPr>
          <w:pgSz w:w="11900" w:h="16838" w:orient="portrait"/>
          <w:cols w:equalWidth="0" w:num="1">
            <w:col w:w="11240"/>
          </w:cols>
          <w:pgMar w:left="320" w:top="112" w:right="33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ectPr>
          <w:pgSz w:w="11900" w:h="16838" w:orient="portrait"/>
          <w:cols w:equalWidth="0" w:num="2">
            <w:col w:w="640" w:space="340"/>
            <w:col w:w="10260"/>
          </w:cols>
          <w:pgMar w:left="320" w:top="112" w:right="339" w:bottom="1440" w:gutter="0" w:footer="0" w:header="0"/>
          <w:type w:val="continuous"/>
        </w:sectPr>
      </w:pPr>
    </w:p>
    <w:p>
      <w:pPr>
        <w:spacing w:after="0" w:line="20" w:lineRule="exact"/>
        <w:rPr>
          <w:sz w:val="20"/>
          <w:szCs w:val="20"/>
          <w:color w:val="auto"/>
        </w:rPr>
      </w:pPr>
    </w:p>
    <w:p>
      <w:pPr>
        <w:ind w:left="20" w:right="20" w:hanging="2"/>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16459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40" w:firstLine="8"/>
        <w:spacing w:after="0" w:line="183" w:lineRule="auto"/>
        <w:tabs>
          <w:tab w:leader="none" w:pos="144" w:val="left"/>
        </w:tabs>
        <w:numPr>
          <w:ilvl w:val="0"/>
          <w:numId w:val="1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In addition to Alpine Global Management, LLC, Alpine Partners (BVI), L.P. also owns the shares indirectly and is a beneficial owner.</w:t>
      </w:r>
    </w:p>
    <w:p>
      <w:pPr>
        <w:spacing w:after="0" w:line="1" w:lineRule="exact"/>
        <w:rPr>
          <w:rFonts w:ascii="Times New Roman" w:cs="Times New Roman" w:eastAsia="Times New Roman" w:hAnsi="Times New Roman"/>
          <w:sz w:val="36"/>
          <w:szCs w:val="36"/>
          <w:color w:val="auto"/>
          <w:vertAlign w:val="superscript"/>
        </w:rPr>
      </w:pPr>
    </w:p>
    <w:p>
      <w:pPr>
        <w:jc w:val="both"/>
        <w:ind w:right="40"/>
        <w:spacing w:after="0" w:line="196"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As of January 21, 2021, Alpine Global Management, LLC held directly and Alpine Partners (BVI), L.P. held indirectly 6.8% of Class A ordinary shares. As of January 25, 2021, Alpine Global Management, LLC held directly and Alpine Partners (BVI), L.P. held indirectly 10.7% of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00" w:lineRule="exact"/>
        <w:rPr>
          <w:sz w:val="20"/>
          <w:szCs w:val="20"/>
          <w:color w:val="auto"/>
        </w:rPr>
      </w:pPr>
    </w:p>
    <w:p>
      <w:pPr>
        <w:spacing w:after="0" w:line="25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24,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Amy Tarlowe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Amy Tarlowe</w:t>
      </w:r>
    </w:p>
    <w:p>
      <w:pPr>
        <w:spacing w:after="0"/>
        <w:rPr>
          <w:sz w:val="20"/>
          <w:szCs w:val="20"/>
          <w:color w:val="auto"/>
        </w:rPr>
      </w:pPr>
      <w:r>
        <w:rPr>
          <w:rFonts w:ascii="Times New Roman" w:cs="Times New Roman" w:eastAsia="Times New Roman" w:hAnsi="Times New Roman"/>
          <w:sz w:val="22"/>
          <w:szCs w:val="22"/>
          <w:color w:val="auto"/>
        </w:rPr>
        <w:t>Title: Chief Operating Officer</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Attention: Intentional misstatements or omissions of fact constitute Federal criminal violations (See 18 U.S.C. 1001).</w:t>
      </w:r>
    </w:p>
    <w:p>
      <w:pPr>
        <w:sectPr>
          <w:pgSz w:w="11900" w:h="16838" w:orient="portrait"/>
          <w:cols w:equalWidth="0" w:num="1">
            <w:col w:w="11240"/>
          </w:cols>
          <w:pgMar w:left="320" w:top="324" w:right="339" w:bottom="1440" w:gutter="0" w:footer="0" w:header="0"/>
        </w:sectPr>
      </w:pPr>
    </w:p>
    <w:bookmarkStart w:id="5" w:name="page6"/>
    <w:bookmarkEnd w:id="5"/>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1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Pursuant to the instructions in Item 6 of Schedule 13G, the following lists the identity of each relevant entity that beneficially owns shares of the security class being reported on this Schedule 13G.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Alpine Partners (BVI), L.P.*</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435" w:lineRule="auto"/>
        <w:rPr>
          <w:sz w:val="20"/>
          <w:szCs w:val="20"/>
          <w:color w:val="auto"/>
        </w:rPr>
      </w:pPr>
      <w:r>
        <w:rPr>
          <w:rFonts w:ascii="Times New Roman" w:cs="Times New Roman" w:eastAsia="Times New Roman" w:hAnsi="Times New Roman"/>
          <w:sz w:val="22"/>
          <w:szCs w:val="22"/>
          <w:color w:val="auto"/>
        </w:rPr>
        <w:t>*Entity that beneficially owns 5% or greater of the outstanding shares of the security class being reported on this Schedule 13G. Rule 13d-1(k)(1) Agreement</w:t>
      </w:r>
    </w:p>
    <w:p>
      <w:pPr>
        <w:spacing w:after="0" w:line="1"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2"/>
          <w:szCs w:val="22"/>
          <w:color w:val="auto"/>
        </w:rPr>
        <w:t>The undersigned persons, on February 24, 2021, agree and consent to the joint filing on their behalf of this Schedule 13G in connection with their beneficial ownership of Class A ordinary shares of VPC Impact Acquisition Holdings as of February 9, 2021.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Amy Tarlowe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Amy Tarlowe</w:t>
      </w:r>
    </w:p>
    <w:p>
      <w:pPr>
        <w:spacing w:after="0"/>
        <w:rPr>
          <w:sz w:val="20"/>
          <w:szCs w:val="20"/>
          <w:color w:val="auto"/>
        </w:rPr>
      </w:pPr>
      <w:r>
        <w:rPr>
          <w:rFonts w:ascii="Times New Roman" w:cs="Times New Roman" w:eastAsia="Times New Roman" w:hAnsi="Times New Roman"/>
          <w:sz w:val="22"/>
          <w:szCs w:val="22"/>
          <w:color w:val="auto"/>
        </w:rPr>
        <w:t>Title: Chief Operating Officer</w:t>
      </w:r>
    </w:p>
    <w:sectPr>
      <w:pgSz w:w="11900" w:h="16838" w:orient="portrait"/>
      <w:cols w:equalWidth="0" w:num="1">
        <w:col w:w="11080"/>
      </w:cols>
      <w:pgMar w:left="320" w:top="10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24"/>
    </w:lvl>
  </w:abstractNum>
  <w:abstractNum w:abstractNumId="1">
    <w:nsid w:val="5BD062C2"/>
    <w:multiLevelType w:val="hybridMultilevel"/>
    <w:lvl w:ilvl="0">
      <w:lvlJc w:val="left"/>
      <w:lvlText w:val="%1"/>
      <w:numFmt w:val="decimal"/>
      <w:start w:val="12"/>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2"/>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2"/>
    </w:lvl>
  </w:abstractNum>
  <w:abstractNum w:abstractNumId="6">
    <w:nsid w:val="1190CDE7"/>
    <w:multiLevelType w:val="hybridMultilevel"/>
    <w:lvl w:ilvl="0">
      <w:lvlJc w:val="left"/>
      <w:lvlText w:val="(%1)"/>
      <w:numFmt w:val="lowerLetter"/>
      <w:start w:val="3"/>
    </w:lvl>
  </w:abstractNum>
  <w:abstractNum w:abstractNumId="7">
    <w:nsid w:val="66EF438D"/>
    <w:multiLevelType w:val="hybridMultilevel"/>
    <w:lvl w:ilvl="0">
      <w:lvlJc w:val="left"/>
      <w:lvlText w:val="(%1)"/>
      <w:numFmt w:val="lowerLetter"/>
      <w:start w:val="4"/>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2"/>
    </w:lvl>
  </w:abstractNum>
  <w:abstractNum w:abstractNumId="11">
    <w:nsid w:val="DED7263"/>
    <w:multiLevelType w:val="hybridMultilevel"/>
    <w:lvl w:ilvl="0">
      <w:lvlJc w:val="left"/>
      <w:lvlText w:val="(%1)"/>
      <w:numFmt w:val="lowerLetter"/>
      <w:start w:val="3"/>
    </w:lvl>
  </w:abstractNum>
  <w:abstractNum w:abstractNumId="12">
    <w:nsid w:val="7FDCC233"/>
    <w:multiLevelType w:val="hybridMultilevel"/>
    <w:lvl w:ilvl="0">
      <w:lvlJc w:val="left"/>
      <w:lvlText w:val="(%1)"/>
      <w:numFmt w:val="lowerRoman"/>
      <w:start w:val="1"/>
    </w:lvl>
  </w:abstractNum>
  <w:abstractNum w:abstractNumId="13">
    <w:nsid w:val="1BEFD79F"/>
    <w:multiLevelType w:val="hybridMultilevel"/>
    <w:lvl w:ilvl="0">
      <w:lvlJc w:val="left"/>
      <w:lvlText w:val="(%1)"/>
      <w:numFmt w:val="lowerRoman"/>
      <w:start w:val="2"/>
    </w:lvl>
  </w:abstractNum>
  <w:abstractNum w:abstractNumId="14">
    <w:nsid w:val="41A7C4C9"/>
    <w:multiLevelType w:val="hybridMultilevel"/>
    <w:lvl w:ilvl="0">
      <w:lvlJc w:val="left"/>
      <w:lvlText w:val="(%1)"/>
      <w:numFmt w:val="lowerRoman"/>
      <w:start w:val="3"/>
    </w:lvl>
  </w:abstractNum>
  <w:abstractNum w:abstractNumId="15">
    <w:nsid w:val="6B68079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2021-02-24T14:34:48Z</dcterms:created>
  <dcterms:modified xsi:type="dcterms:W3CDTF">2021-02-24T14:34:48Z</dcterms:modified>
</cp:coreProperties>
</file>