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32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 Alpharetta,</w:t>
            </w: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4" w:right="102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Accounting Officer</w:t>
      </w:r>
    </w:p>
    <w:p>
      <w:pPr>
        <w:spacing w:after="0" w:line="121" w:lineRule="exact"/>
        <w:rPr>
          <w:sz w:val="20"/>
          <w:szCs w:val="20"/>
          <w:color w:val="auto"/>
        </w:rPr>
      </w:pPr>
    </w:p>
    <w:p>
      <w:pPr>
        <w:ind w:left="4" w:right="240"/>
        <w:spacing w:after="0" w:line="281" w:lineRule="auto"/>
        <w:rPr>
          <w:sz w:val="20"/>
          <w:szCs w:val="20"/>
          <w:color w:val="auto"/>
        </w:rPr>
      </w:pPr>
      <w:r>
        <w:rPr>
          <w:rFonts w:ascii="Times New Roman" w:cs="Times New Roman" w:eastAsia="Times New Roman" w:hAnsi="Times New Roman"/>
          <w:sz w:val="17"/>
          <w:szCs w:val="17"/>
          <w:color w:val="auto"/>
        </w:rPr>
        <w:t>Bakkt Holdings, Inc. (the “Company”) appointed Charles “Chip” Goodroe, 38, as Vice President, Chief Accounting Officer and Principal Accounting Officer of the Company, effective September 12, 2022. Prior to joining the Company, Mr. Goodroe served roles of increasing responsibility at Grant Thornton LLP from 2012 to September 2022, most recently serving as Senior Manager, Audit Services. Mr. Goodroe holds a B.B.A in Accountancy from the University of Georgia, Terry College of Business and an M.S. in Accountancy from the University of Georgia, Terry College of Business.</w:t>
      </w:r>
    </w:p>
    <w:p>
      <w:pPr>
        <w:spacing w:after="0" w:line="164"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In connection with Mr. Goodroe’s appointment as Vice President, Chief Accounting Officer and Principal Accounting Officer, the Compensation Committee of the Company’s board of directors granted Mr. Goodroe a one-time equity award of restricted stock units valued at approximately $70,000, which vest in equal yearly installments through the third anniversary of the grant date, subject to Mr. Goodroe’s continued employment with the Company on the applicable vesting dates. Mr. Goodroe’s annual base salary will be $220,000.</w:t>
      </w:r>
    </w:p>
    <w:p>
      <w:pPr>
        <w:spacing w:after="0" w:line="180"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Goodroe and any other person pursuant to which Mr. Goodroe was appointed to serve as Chief Accounting Officer and Principal Accounting Officer of the Company. There are no family relationships between Mr. Goodroe and any director or executive officer of the Company, and Mr. Goodroe does not have any direct or indirect material interest in any transaction required to be disclosed pursuant to Item 404(a) of Regulation S-K.</w:t>
      </w:r>
    </w:p>
    <w:p>
      <w:pPr>
        <w:spacing w:after="0" w:line="180"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In connection with Mr. Goodroe’s appointment, the Company plans to enter into its standard form of director and officer indemnification agreement with Mr. Goodroe, providing for indemnification and advancement of expenses. The foregoing description of the indemnification agreement is qualified in its entirety by reference to the full text of such agreement, the form of which was filed as Exhibit 10.7 to the Company’s Current Report on Form 8-K, filed with the SEC on October 21, 2021, and incorporated in this Item 5.02 by reference.</w:t>
      </w:r>
    </w:p>
    <w:p>
      <w:pPr>
        <w:spacing w:after="0" w:line="180"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On September 12, 2022, the Company issued a press release announcing the appointment of Mr. Goodroe as Vice President, Chief Accounting Officer and Principal Accounting Officer of the Company. A copy of the press release is attached as Exhibit 99.1 to this Current Report on Form 8-K.</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Effective upon the appointment of Mr. Goodroe, Karen Alexander, the Company’s Chief Financial Officer, Principal Financial Officer, Chief Accounting Officer and Principal Accounting Officer, will step down as Chief Accounting Officer and Principal Accounting Officer. Ms. Alexander will continue to serve as the Company’s Chief Financial Officer and Principal Financial Officer.</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Grants</w:t>
      </w:r>
    </w:p>
    <w:p>
      <w:pPr>
        <w:spacing w:after="0" w:line="121"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On September 12, 2022, Karen Alexander, the Company’s Chief Financial Officer and Principal Financial Officer, received the following equity compensation grants, which were approved by the Compensation Committee of the Company’s board of directors in accordance with the applicable Performance-Based Restricted Stock Unit Agreement (the “PSU Agreement”) under the Company’s 2021 Omnibus Employee Incentive Plan (the “Plan”) and Restricted Stock Unit Agreement (the “RSU Agreement”) under the Plan:</w:t>
      </w:r>
    </w:p>
    <w:p>
      <w:pPr>
        <w:spacing w:after="0" w:line="20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RSUs(1)</w:t>
            </w:r>
          </w:p>
        </w:tc>
        <w:tc>
          <w:tcPr>
            <w:tcW w:w="4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PSUs(2)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At</w:t>
            </w:r>
          </w:p>
        </w:tc>
        <w:tc>
          <w:tcPr>
            <w:tcW w:w="14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150% of Target</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Karen Alexander</w:t>
            </w:r>
          </w:p>
        </w:tc>
        <w:tc>
          <w:tcPr>
            <w:tcW w:w="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100,000</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66,666</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100"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(“RSU”) will vest, subject to the grantee’s continued employment with the Company, in three equal annual installments on the first three anniversaries of August 26, 2022. The foregoing description of the RSU Agreement is qualified in its entirety by reference to the full text of such agreement, the form of which is included in this Current Report on Form 8-K as Exhibit 10.1 and incorporated in this Item 5.02 by reference.</w:t>
      </w:r>
    </w:p>
    <w:p>
      <w:pPr>
        <w:spacing w:after="0" w:line="2" w:lineRule="exact"/>
        <w:rPr>
          <w:rFonts w:ascii="Times New Roman" w:cs="Times New Roman" w:eastAsia="Times New Roman" w:hAnsi="Times New Roman"/>
          <w:sz w:val="18"/>
          <w:szCs w:val="18"/>
          <w:color w:val="auto"/>
        </w:rPr>
      </w:pPr>
    </w:p>
    <w:p>
      <w:pPr>
        <w:ind w:left="424" w:right="20" w:hanging="424"/>
        <w:spacing w:after="0" w:line="25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included in the table reflect the aggregate number of shares of Class A common stock that may be issuable to the grantee based on a “target” performance. The actual number of shares will vary between and 0% and 150% of the target amount. The performance-based restricted stock unit awards (“PSUs”) provide a scale for the number of shares of Class A common stock issuable to the grantee based (i) 50% on the Company’s net revenue and (ii) 50% on the Company’s transacting accounts, in each case, during the applicable performance period, pursuant to which, in each case, the grantee may earn between 0% of the “target” award (if the Company’s net revenue or transacting accounts, as applicable, achieved with respect to such performance period is below 25% of the “target” performance goal) and 150% of the target award (if the performance level achieved with respect to such performance period equals or exceeds 150% of the “target” performance goal). The performance periods for the PSUs are the years ending December 31, 2023, 2024 and 2025. One-third of the PSUs will be determined based on the performance for each year in the performance period. Each PSU will vest, subject to the grantee’s continued employment with the Company, in three equal annual installments on the first three anniversaries of August 26, 2022. The foregoing description of the PSU Agreement is qualified in its entirety by reference to the full text of such agreement, the form of which is included in this Current Report on Form 8-K as Exhibit 10.2 and incorporated in this Item 5.02 by reference.</w:t>
      </w:r>
    </w:p>
    <w:p>
      <w:pPr>
        <w:sectPr>
          <w:pgSz w:w="11900" w:h="16838" w:orient="portrait"/>
          <w:cols w:equalWidth="0" w:num="1">
            <w:col w:w="11024"/>
          </w:cols>
          <w:pgMar w:left="436" w:top="29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104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5820" w:type="dxa"/>
            <w:vAlign w:val="bottom"/>
            <w:gridSpan w:val="5"/>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3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Form of Restricted Stock Unit Award Agreement</w:t>
            </w:r>
          </w:p>
        </w:tc>
        <w:tc>
          <w:tcPr>
            <w:tcW w:w="2280" w:type="dxa"/>
            <w:vAlign w:val="bottom"/>
            <w:gridSpan w:val="2"/>
          </w:tcPr>
          <w:p>
            <w:pPr>
              <w:spacing w:after="0"/>
              <w:rPr>
                <w:sz w:val="22"/>
                <w:szCs w:val="22"/>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Performance-Based Restricted Stock Unit Award Agreement</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4020" w:type="dxa"/>
            <w:vAlign w:val="bottom"/>
            <w:tcBorders>
              <w:top w:val="single" w:sz="8" w:color="0000EE"/>
            </w:tcBorders>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RESTRICTED STOCK UNIT GRANT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Bakkt Holdings, Inc. 2021 Omnibus Employee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meanings in this Restricted Stock Unit Agreement which includes the Notice of Restricted Stock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tabs>
          <w:tab w:leader="none" w:pos="5920" w:val="left"/>
        </w:tabs>
        <w:rPr>
          <w:sz w:val="20"/>
          <w:szCs w:val="20"/>
          <w:color w:val="auto"/>
        </w:rPr>
      </w:pPr>
      <w:r>
        <w:rPr>
          <w:rFonts w:ascii="Times New Roman" w:cs="Times New Roman" w:eastAsia="Times New Roman" w:hAnsi="Times New Roman"/>
          <w:sz w:val="18"/>
          <w:szCs w:val="18"/>
          <w:color w:val="auto"/>
        </w:rPr>
        <w:t>Grantee Name:</w:t>
      </w:r>
      <w:r>
        <w:rPr>
          <w:sz w:val="20"/>
          <w:szCs w:val="20"/>
          <w:color w:val="auto"/>
        </w:rPr>
        <w:tab/>
      </w: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undersigned Grantee has been granted an Award of Restricted Stock Units, subject to the terms and conditions of the Plan and this Award Agreement, as follows: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«Grant_Number»</w:t>
            </w:r>
          </w:p>
        </w:tc>
      </w:tr>
      <w:tr>
        <w:trPr>
          <w:trHeight w:val="33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of Grant»</w:t>
            </w:r>
          </w:p>
        </w:tc>
      </w:tr>
      <w:tr>
        <w:trPr>
          <w:trHeight w:val="33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«Vesting Commencement Date»</w:t>
            </w:r>
          </w:p>
        </w:tc>
      </w:tr>
      <w:tr>
        <w:trPr>
          <w:trHeight w:val="33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Restricted Stock Units:</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last sentence of this paragraph: one-third (1/3) of the Restricted Stock Units will vest on the one (1) year anniversary of the Date of Grant (the “</w:t>
      </w:r>
      <w:r>
        <w:rPr>
          <w:rFonts w:ascii="Times New Roman" w:cs="Times New Roman" w:eastAsia="Times New Roman" w:hAnsi="Times New Roman"/>
          <w:sz w:val="18"/>
          <w:szCs w:val="18"/>
          <w:u w:val="single" w:color="auto"/>
          <w:color w:val="auto"/>
        </w:rPr>
        <w:t>First Vesting Date</w:t>
      </w:r>
      <w:r>
        <w:rPr>
          <w:rFonts w:ascii="Times New Roman" w:cs="Times New Roman" w:eastAsia="Times New Roman" w:hAnsi="Times New Roman"/>
          <w:sz w:val="18"/>
          <w:szCs w:val="18"/>
          <w:color w:val="auto"/>
        </w:rPr>
        <w:t>”); one-third (1/3) of the Restricted Stock Units will vest on the first anniversary of the First Vesting Date; and the remaining one-third (1/3) of the Restricted Stock Units will vest on the second anniversary of the First Vesting Date. In all cases, vesting is subject to the Grantee continuing to be an Employee of the Company or any of its subsidiaries (a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through each such date.</w:t>
      </w:r>
    </w:p>
    <w:p>
      <w:pPr>
        <w:sectPr>
          <w:pgSz w:w="11900" w:h="16838" w:orient="portrait"/>
          <w:cols w:equalWidth="0" w:num="1">
            <w:col w:w="11020"/>
          </w:cols>
          <w:pgMar w:left="440" w:top="117" w:right="439" w:bottom="1440" w:gutter="0" w:footer="0" w:header="0"/>
        </w:sectPr>
      </w:pPr>
    </w:p>
    <w:bookmarkStart w:id="5" w:name="page6"/>
    <w:bookmarkEnd w:id="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Grantee’s signature and the signature of the representative of the Company below, Grantee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ectPr>
          <w:pgSz w:w="11900" w:h="16838" w:orient="portrait"/>
          <w:cols w:equalWidth="0" w:num="1">
            <w:col w:w="11000"/>
          </w:cols>
          <w:pgMar w:left="440" w:top="270" w:right="45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2918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32918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3291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32918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694690</wp:posOffset>
            </wp:positionV>
            <wp:extent cx="32918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3282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632" w:lineRule="exact"/>
        <w:rPr>
          <w:sz w:val="20"/>
          <w:szCs w:val="20"/>
          <w:color w:val="auto"/>
        </w:rPr>
      </w:pPr>
    </w:p>
    <w:p>
      <w:pPr>
        <w:sectPr>
          <w:pgSz w:w="11900" w:h="16838" w:orient="portrait"/>
          <w:cols w:equalWidth="0" w:num="2">
            <w:col w:w="5120" w:space="720"/>
            <w:col w:w="5160"/>
          </w:cols>
          <w:pgMar w:left="440" w:top="27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000"/>
          </w:cols>
          <w:pgMar w:left="440" w:top="270" w:right="4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GRANT</w:t>
      </w:r>
    </w:p>
    <w:p>
      <w:pPr>
        <w:spacing w:after="0" w:line="229" w:lineRule="exact"/>
        <w:rPr>
          <w:sz w:val="20"/>
          <w:szCs w:val="20"/>
          <w:color w:val="auto"/>
        </w:rPr>
      </w:pPr>
    </w:p>
    <w:p>
      <w:pPr>
        <w:ind w:right="140" w:firstLine="436"/>
        <w:spacing w:after="0" w:line="26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under the Plan an Award of Restricted Stock Units, and subject to the terms and conditions of this Award Agreement and the Plan, which is incorporated herein by reference. Subject to Section 3.1 of the Plan, in the event of a conflict between the terms and conditions of the Plan and this Award Agreement, the terms and conditions of the Plan shall prevail.</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of Company Class A Common Stock (a</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on the date it vests. Unless and until a Restricted Stock Unit has vested in the manner set forth in Section 3 or 4, Grantee will have no right to payment of any such Restricted Stock Unit. Prior to actual payment of any vested Restricted Stock Units, such Restricted Stock Unit will represent an unsecured obligation of the Company, payable (if at all) only from the general assets of the Company.</w:t>
      </w:r>
    </w:p>
    <w:p>
      <w:pPr>
        <w:spacing w:after="0" w:line="78" w:lineRule="exact"/>
        <w:rPr>
          <w:sz w:val="20"/>
          <w:szCs w:val="20"/>
          <w:color w:val="auto"/>
        </w:rPr>
      </w:pPr>
    </w:p>
    <w:p>
      <w:pPr>
        <w:ind w:firstLine="436"/>
        <w:spacing w:after="0" w:line="25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Restricted Stock Units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60" w:firstLine="987"/>
        <w:spacing w:after="0" w:line="281" w:lineRule="auto"/>
        <w:tabs>
          <w:tab w:leader="none" w:pos="123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Rule</w:t>
      </w:r>
      <w:r>
        <w:rPr>
          <w:rFonts w:ascii="Times New Roman" w:cs="Times New Roman" w:eastAsia="Times New Roman" w:hAnsi="Times New Roman"/>
          <w:sz w:val="17"/>
          <w:szCs w:val="17"/>
          <w:color w:val="auto"/>
        </w:rPr>
        <w:t>. Subject to Section 7, any Restricted Stock Units that vest will be paid to Grantee (or in the event of Grantee’s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Grantee be permitted, directly or indirectly, to specify the taxable year of payment of any Restricted Stock Units payable under this Award Agreement.</w:t>
      </w:r>
    </w:p>
    <w:p>
      <w:pPr>
        <w:spacing w:after="0" w:line="56" w:lineRule="exact"/>
        <w:rPr>
          <w:rFonts w:ascii="Times New Roman" w:cs="Times New Roman" w:eastAsia="Times New Roman" w:hAnsi="Times New Roman"/>
          <w:sz w:val="17"/>
          <w:szCs w:val="17"/>
          <w:color w:val="auto"/>
        </w:rPr>
      </w:pPr>
    </w:p>
    <w:p>
      <w:pPr>
        <w:ind w:right="240" w:firstLine="987"/>
        <w:spacing w:after="0" w:line="266"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ectPr>
          <w:pgSz w:w="11900" w:h="16838" w:orient="portrait"/>
          <w:cols w:equalWidth="0" w:num="1">
            <w:col w:w="11020"/>
          </w:cols>
          <w:pgMar w:left="440" w:top="266" w:right="439" w:bottom="1440" w:gutter="0" w:footer="0" w:header="0"/>
        </w:sectPr>
      </w:pPr>
    </w:p>
    <w:bookmarkStart w:id="7" w:name="page8"/>
    <w:bookmarkEnd w:id="7"/>
    <w:p>
      <w:pPr>
        <w:ind w:left="804" w:hanging="253"/>
        <w:spacing w:after="0"/>
        <w:tabs>
          <w:tab w:leader="none" w:pos="80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36" w:right="460" w:firstLine="1428"/>
        <w:spacing w:after="0" w:line="289" w:lineRule="auto"/>
        <w:tabs>
          <w:tab w:leader="none" w:pos="121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49" w:lineRule="exact"/>
        <w:rPr>
          <w:rFonts w:ascii="Times New Roman" w:cs="Times New Roman" w:eastAsia="Times New Roman" w:hAnsi="Times New Roman"/>
          <w:sz w:val="17"/>
          <w:szCs w:val="17"/>
          <w:color w:val="auto"/>
        </w:rPr>
      </w:pPr>
    </w:p>
    <w:p>
      <w:pPr>
        <w:ind w:left="-436" w:firstLine="1428"/>
        <w:spacing w:after="0" w:line="254" w:lineRule="auto"/>
        <w:tabs>
          <w:tab w:leader="none" w:pos="12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Restricted Stock Units will result in the imposition of additional tax under Section 409A if paid to Grantee on or within the six (6) month period following the cessation of Grantee’s status as a Service Provider, then the payment of such accelerated Restricted Stock Units will not be made until the date six (6) months and one (1) day following the date of cessation of Grantee’s status as a Service Provider, unless Grantee dies following his or her termination as a Service Provider, in which case, the Restricted Stock Units will be paid in Shares to Grantee’s estate as soon as practicable following his or her death.</w:t>
      </w:r>
    </w:p>
    <w:p>
      <w:pPr>
        <w:spacing w:after="0" w:line="80" w:lineRule="exact"/>
        <w:rPr>
          <w:rFonts w:ascii="Times New Roman" w:cs="Times New Roman" w:eastAsia="Times New Roman" w:hAnsi="Times New Roman"/>
          <w:sz w:val="18"/>
          <w:szCs w:val="18"/>
          <w:color w:val="auto"/>
        </w:rPr>
      </w:pPr>
    </w:p>
    <w:p>
      <w:pPr>
        <w:ind w:left="-436" w:right="40" w:firstLine="1428"/>
        <w:spacing w:after="0" w:line="254" w:lineRule="auto"/>
        <w:tabs>
          <w:tab w:leader="none" w:pos="131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80" w:lineRule="exact"/>
        <w:rPr>
          <w:rFonts w:ascii="Times New Roman" w:cs="Times New Roman" w:eastAsia="Times New Roman" w:hAnsi="Times New Roman"/>
          <w:sz w:val="18"/>
          <w:szCs w:val="18"/>
          <w:color w:val="auto"/>
        </w:rPr>
      </w:pPr>
    </w:p>
    <w:p>
      <w:pPr>
        <w:ind w:left="-436" w:right="40" w:firstLine="436"/>
        <w:spacing w:after="0" w:line="261"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Restricted Stock Units awarded by this Award Agreement will thereupon be forfeited at no cost to the Company and Grantee will have no further rights thereunder.</w:t>
      </w:r>
    </w:p>
    <w:p>
      <w:pPr>
        <w:sectPr>
          <w:pgSz w:w="11900" w:h="16838" w:orient="portrait"/>
          <w:cols w:equalWidth="0" w:num="1">
            <w:col w:w="10564"/>
          </w:cols>
          <w:pgMar w:left="876" w:top="270" w:right="459" w:bottom="1440" w:gutter="0" w:footer="0" w:header="0"/>
        </w:sectPr>
      </w:pPr>
    </w:p>
    <w:bookmarkStart w:id="8" w:name="page9"/>
    <w:bookmarkEnd w:id="8"/>
    <w:p>
      <w:pPr>
        <w:ind w:left="4" w:right="60" w:firstLine="436"/>
        <w:spacing w:after="0" w:line="261" w:lineRule="auto"/>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Death of Grantee</w:t>
      </w:r>
      <w:r>
        <w:rPr>
          <w:rFonts w:ascii="Times New Roman" w:cs="Times New Roman" w:eastAsia="Times New Roman" w:hAnsi="Times New Roman"/>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7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40" w:firstLine="987"/>
        <w:spacing w:after="0" w:line="272" w:lineRule="auto"/>
        <w:tabs>
          <w:tab w:leader="none" w:pos="124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Restricted Stock Units, including, without limitation,</w:t>
      </w:r>
    </w:p>
    <w:p>
      <w:pPr>
        <w:spacing w:after="0" w:line="1" w:lineRule="exact"/>
        <w:rPr>
          <w:rFonts w:ascii="Times New Roman" w:cs="Times New Roman" w:eastAsia="Times New Roman" w:hAnsi="Times New Roman"/>
          <w:sz w:val="17"/>
          <w:szCs w:val="17"/>
          <w:color w:val="auto"/>
        </w:rPr>
      </w:pPr>
    </w:p>
    <w:p>
      <w:pPr>
        <w:ind w:left="4" w:hanging="4"/>
        <w:spacing w:after="0" w:line="267" w:lineRule="auto"/>
        <w:tabs>
          <w:tab w:leader="none" w:pos="21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Grantee has, or has agreed to bear, with respect to the Restricted Stock Units (or settlement thereof or issuance of Shares thereunder) (collectively, the “</w:t>
      </w:r>
      <w:r>
        <w:rPr>
          <w:rFonts w:ascii="Times New Roman" w:cs="Times New Roman" w:eastAsia="Times New Roman" w:hAnsi="Times New Roman"/>
          <w:sz w:val="17"/>
          <w:szCs w:val="17"/>
          <w:u w:val="single" w:color="auto"/>
          <w:color w:val="auto"/>
        </w:rPr>
        <w:t>Tax Obligations</w:t>
      </w:r>
      <w:r>
        <w:rPr>
          <w:rFonts w:ascii="Times New Roman" w:cs="Times New Roman" w:eastAsia="Times New Roman" w:hAnsi="Times New Roman"/>
          <w:sz w:val="17"/>
          <w:szCs w:val="17"/>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70" w:lineRule="exact"/>
        <w:rPr>
          <w:rFonts w:ascii="Times New Roman" w:cs="Times New Roman" w:eastAsia="Times New Roman" w:hAnsi="Times New Roman"/>
          <w:sz w:val="17"/>
          <w:szCs w:val="17"/>
          <w:color w:val="auto"/>
        </w:rPr>
      </w:pPr>
    </w:p>
    <w:p>
      <w:pPr>
        <w:ind w:left="4" w:right="20" w:firstLine="987"/>
        <w:spacing w:after="0" w:line="254" w:lineRule="auto"/>
        <w:tabs>
          <w:tab w:leader="none" w:pos="125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Grantee’s wages or other cash compensation paid to Grantee by the applicable Service Recipient(s),</w:t>
      </w:r>
    </w:p>
    <w:p>
      <w:pPr>
        <w:sectPr>
          <w:pgSz w:w="11900" w:h="16838" w:orient="portrait"/>
          <w:cols w:equalWidth="0" w:num="1">
            <w:col w:w="11004"/>
          </w:cols>
          <w:pgMar w:left="436" w:top="270" w:right="459" w:bottom="1440" w:gutter="0" w:footer="0" w:header="0"/>
        </w:sectPr>
      </w:pPr>
    </w:p>
    <w:bookmarkStart w:id="9" w:name="page10"/>
    <w:bookmarkEnd w:id="9"/>
    <w:p>
      <w:pPr>
        <w:ind w:left="4" w:hanging="4"/>
        <w:spacing w:after="0" w:line="252" w:lineRule="auto"/>
        <w:tabs>
          <w:tab w:leader="none" w:pos="3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18"/>
          <w:szCs w:val="18"/>
          <w:u w:val="single" w:color="auto"/>
          <w:color w:val="auto"/>
        </w:rPr>
        <w:t>Sell to Cover</w:t>
      </w:r>
      <w:r>
        <w:rPr>
          <w:rFonts w:ascii="Times New Roman" w:cs="Times New Roman" w:eastAsia="Times New Roman" w:hAnsi="Times New Roman"/>
          <w:sz w:val="18"/>
          <w:szCs w:val="18"/>
          <w:color w:val="auto"/>
        </w:rPr>
        <w:t>”), or (vi) such other means as the Committee deems appropriate. If the Withholding Obligations are satisfied by withholding in Shares, for tax purposes, Grantee is deemed to have been issued the full number of Shares subject to the vested Restricted Stock Units,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86"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7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Restricted Stock Units otherwise are scheduled to vest pursuant to Sections 3 or 4 or Grantee’s Withholding Obligations otherwise become due, Grantee permanently will forfeit such Restricted Stock Units to which Grantee’s Withholding Obligation relates and any right to receive Shares thereunder and such Restricted Stock Units will be returned to the Company at no cost to the Company. Grantee acknowledges and agrees that the Company may permanently refuse to issue or deliver the Shares if such Withholding Obligations are not delivered at the time they are due.</w:t>
      </w:r>
    </w:p>
    <w:p>
      <w:pPr>
        <w:sectPr>
          <w:pgSz w:w="11900" w:h="16838" w:orient="portrait"/>
          <w:cols w:equalWidth="0" w:num="1">
            <w:col w:w="11024"/>
          </w:cols>
          <w:pgMar w:left="436" w:top="270" w:right="439" w:bottom="1440" w:gutter="0" w:footer="0" w:header="0"/>
        </w:sectPr>
      </w:pPr>
    </w:p>
    <w:bookmarkStart w:id="10" w:name="page11"/>
    <w:bookmarkEnd w:id="10"/>
    <w:p>
      <w:pPr>
        <w:ind w:firstLine="436"/>
        <w:spacing w:after="0" w:line="258"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as Stockholder</w:t>
      </w:r>
      <w:r>
        <w:rPr>
          <w:rFonts w:ascii="Times New Roman" w:cs="Times New Roman" w:eastAsia="Times New Roman" w:hAnsi="Times New Roman"/>
          <w:sz w:val="18"/>
          <w:szCs w:val="18"/>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75" w:lineRule="exact"/>
        <w:rPr>
          <w:rFonts w:ascii="Times New Roman" w:cs="Times New Roman" w:eastAsia="Times New Roman" w:hAnsi="Times New Roman"/>
          <w:sz w:val="18"/>
          <w:szCs w:val="18"/>
          <w:color w:val="auto"/>
        </w:rPr>
      </w:pPr>
    </w:p>
    <w:p>
      <w:pPr>
        <w:ind w:right="160" w:firstLine="436"/>
        <w:spacing w:after="0" w:line="254"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Grantee acknowledges and agrees that the vesting of the Restricted Stock Units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Restricted Stock Unit award, or acquiring Shares hereunder. Grantee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83" w:lineRule="exact"/>
        <w:rPr>
          <w:rFonts w:ascii="Times New Roman" w:cs="Times New Roman" w:eastAsia="Times New Roman" w:hAnsi="Times New Roman"/>
          <w:sz w:val="18"/>
          <w:szCs w:val="18"/>
          <w:color w:val="auto"/>
        </w:rPr>
      </w:pPr>
    </w:p>
    <w:p>
      <w:pPr>
        <w:ind w:right="220" w:firstLine="436"/>
        <w:spacing w:after="0" w:line="258" w:lineRule="auto"/>
        <w:tabs>
          <w:tab w:leader="none" w:pos="7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Units, Grantee acknowledges, understands and agrees that:</w:t>
      </w:r>
    </w:p>
    <w:p>
      <w:pPr>
        <w:spacing w:after="0" w:line="117"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participating in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ectPr>
          <w:pgSz w:w="11900" w:h="16838" w:orient="portrait"/>
          <w:cols w:equalWidth="0" w:num="1">
            <w:col w:w="11000"/>
          </w:cols>
          <w:pgMar w:left="440" w:top="270" w:right="459" w:bottom="1440" w:gutter="0" w:footer="0" w:header="0"/>
        </w:sectPr>
      </w:pPr>
    </w:p>
    <w:bookmarkStart w:id="11" w:name="page12"/>
    <w:bookmarkEnd w:id="11"/>
    <w:p>
      <w:pPr>
        <w:ind w:right="10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9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Restricted Stock Units,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Restricted Stock Units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 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Restricted Stock Units (including whether Grantee may still be considered to be providing services while on a leave of absence and consistent with local law). Further, for the avoidance of doubt, Grantee shall not be entitled to any pro rata vesting of any Restricted Stock Units should Grantee’s status as a Service Provider cease before the Restricted Stock Units have fully vested (e.g., if Grantee’s status as a Service Provider ceases on March 1 before all of the Restricted Stock Units have vested, Grantee shall not be entitled to any vesting of the Restricted Stock Units that were scheduled to vest on the immediately following vesting date of March 10);</w:t>
      </w:r>
    </w:p>
    <w:p>
      <w:pPr>
        <w:spacing w:after="0" w:line="89"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Grantee is providing services outside the United States:</w:t>
      </w:r>
    </w:p>
    <w:p>
      <w:pPr>
        <w:spacing w:after="0" w:line="117" w:lineRule="exact"/>
        <w:rPr>
          <w:rFonts w:ascii="Times New Roman" w:cs="Times New Roman" w:eastAsia="Times New Roman" w:hAnsi="Times New Roman"/>
          <w:sz w:val="18"/>
          <w:szCs w:val="18"/>
          <w:color w:val="auto"/>
        </w:rPr>
      </w:pPr>
    </w:p>
    <w:p>
      <w:pPr>
        <w:ind w:right="140" w:firstLine="1428"/>
        <w:spacing w:after="0" w:line="282" w:lineRule="auto"/>
        <w:tabs>
          <w:tab w:leader="none" w:pos="16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part of normal or expected compensation or salary for any purpose;</w:t>
      </w:r>
    </w:p>
    <w:p>
      <w:pPr>
        <w:spacing w:after="0" w:line="53" w:lineRule="exact"/>
        <w:rPr>
          <w:rFonts w:ascii="Times New Roman" w:cs="Times New Roman" w:eastAsia="Times New Roman" w:hAnsi="Times New Roman"/>
          <w:sz w:val="18"/>
          <w:szCs w:val="18"/>
          <w:color w:val="auto"/>
        </w:rPr>
      </w:pPr>
    </w:p>
    <w:p>
      <w:pPr>
        <w:ind w:right="60" w:firstLine="1428"/>
        <w:spacing w:after="0" w:line="266" w:lineRule="auto"/>
        <w:tabs>
          <w:tab w:leader="none" w:pos="16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no Service Recipient shall be liable for any foreign exchange rate fluctuation between Grantee’s local currency and the United States Dollar that may affect the value of the Restricted Stock Units or of any amounts due to Grantee pursuant to the settlement of the Restricted Stock Units or the subsequent sale of any Shares acquired upon settlement; and</w:t>
      </w:r>
    </w:p>
    <w:p>
      <w:pPr>
        <w:sectPr>
          <w:pgSz w:w="11900" w:h="16838" w:orient="portrait"/>
          <w:cols w:equalWidth="0" w:num="1">
            <w:col w:w="10960"/>
          </w:cols>
          <w:pgMar w:left="440" w:top="270" w:right="499" w:bottom="1440" w:gutter="0" w:footer="0" w:header="0"/>
        </w:sectPr>
      </w:pPr>
    </w:p>
    <w:bookmarkStart w:id="12" w:name="page13"/>
    <w:bookmarkEnd w:id="12"/>
    <w:p>
      <w:pPr>
        <w:ind w:right="20" w:firstLine="1428"/>
        <w:spacing w:after="0" w:line="273" w:lineRule="auto"/>
        <w:tabs>
          <w:tab w:leader="none" w:pos="174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claim or entitlement to compensation or damages shall arise from forfeiture of the Restricted Stock Units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Restricted Stock Units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w:t>
      </w:r>
    </w:p>
    <w:p>
      <w:pPr>
        <w:spacing w:after="0" w:line="63" w:lineRule="exact"/>
        <w:rPr>
          <w:rFonts w:ascii="Times New Roman" w:cs="Times New Roman" w:eastAsia="Times New Roman" w:hAnsi="Times New Roman"/>
          <w:sz w:val="17"/>
          <w:szCs w:val="17"/>
          <w:color w:val="auto"/>
        </w:rPr>
      </w:pPr>
    </w:p>
    <w:p>
      <w:pPr>
        <w:ind w:right="240" w:firstLine="436"/>
        <w:spacing w:after="0" w:line="261"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Grantee’s participation in the Plan, or Grantee’s acquisition or sale of the Shares underlying the Restricted Stock Units. Grantee is hereby advised to consult with his or her own personal tax, legal and financial advisers regarding his or her participation in the Plan before taking any action related to the Plan.</w:t>
      </w:r>
    </w:p>
    <w:p>
      <w:pPr>
        <w:spacing w:after="0" w:line="71" w:lineRule="exact"/>
        <w:rPr>
          <w:rFonts w:ascii="Times New Roman" w:cs="Times New Roman" w:eastAsia="Times New Roman" w:hAnsi="Times New Roman"/>
          <w:sz w:val="18"/>
          <w:szCs w:val="18"/>
          <w:color w:val="auto"/>
        </w:rPr>
      </w:pPr>
    </w:p>
    <w:p>
      <w:pPr>
        <w:ind w:right="400" w:firstLine="436"/>
        <w:spacing w:after="0" w:line="266"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Grantee hereby explicitly and unambiguously consents to the collection, use and transfer, in electronic or other form, of Grantee’s personal data as described in this Award Agreement and any other Restricted Stock Unit grant materials by and among, as applicable, the Service Recipients for the exclusive purpose of implementing, administering and managing Grantee’s participation in the Plan.</w:t>
      </w:r>
    </w:p>
    <w:p>
      <w:pPr>
        <w:spacing w:after="0" w:line="176"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Grantee’s favor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 for the exclusive purpose of implementing, administering and managing the Plan.</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w:t>
      </w:r>
    </w:p>
    <w:p>
      <w:pPr>
        <w:sectPr>
          <w:pgSz w:w="11900" w:h="16838" w:orient="portrait"/>
          <w:cols w:equalWidth="0" w:num="1">
            <w:col w:w="11000"/>
          </w:cols>
          <w:pgMar w:left="440" w:top="270" w:right="459" w:bottom="1440" w:gutter="0" w:footer="0" w:header="0"/>
        </w:sectPr>
      </w:pPr>
    </w:p>
    <w:bookmarkStart w:id="13" w:name="page14"/>
    <w:bookmarkEnd w:id="1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Restricted Stock Units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84" w:lineRule="exact"/>
        <w:rPr>
          <w:sz w:val="20"/>
          <w:szCs w:val="20"/>
          <w:color w:val="auto"/>
        </w:rPr>
      </w:pPr>
    </w:p>
    <w:p>
      <w:pPr>
        <w:ind w:right="240" w:firstLine="436"/>
        <w:spacing w:after="0" w:line="266"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right="260" w:firstLine="436"/>
        <w:spacing w:after="0" w:line="261"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71"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86" w:lineRule="exact"/>
        <w:rPr>
          <w:rFonts w:ascii="Times New Roman" w:cs="Times New Roman" w:eastAsia="Times New Roman" w:hAnsi="Times New Roman"/>
          <w:sz w:val="18"/>
          <w:szCs w:val="18"/>
          <w:color w:val="auto"/>
        </w:rPr>
      </w:pPr>
    </w:p>
    <w:p>
      <w:pPr>
        <w:ind w:right="480" w:firstLine="436"/>
        <w:spacing w:after="0" w:line="282"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Grantee has received this Award Agreement or any other document related to the Plan translated into a language other than English and if the meaning of the translated version is different than the English version, the English version will control.</w:t>
      </w:r>
    </w:p>
    <w:p>
      <w:pPr>
        <w:sectPr>
          <w:pgSz w:w="11900" w:h="16838" w:orient="portrait"/>
          <w:cols w:equalWidth="0" w:num="1">
            <w:col w:w="11000"/>
          </w:cols>
          <w:pgMar w:left="440" w:top="270" w:right="459" w:bottom="1440" w:gutter="0" w:footer="0" w:header="0"/>
        </w:sectPr>
      </w:pPr>
    </w:p>
    <w:bookmarkStart w:id="14" w:name="page15"/>
    <w:bookmarkEnd w:id="14"/>
    <w:p>
      <w:pPr>
        <w:ind w:left="-436" w:right="40" w:firstLine="436"/>
        <w:spacing w:after="0" w:line="256"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w:t>
      </w:r>
      <w:r>
        <w:rPr>
          <w:rFonts w:ascii="Times New Roman" w:cs="Times New Roman" w:eastAsia="Times New Roman" w:hAnsi="Times New Roman"/>
          <w:sz w:val="18"/>
          <w:szCs w:val="18"/>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jc w:val="both"/>
        <w:ind w:left="-436" w:right="60" w:firstLine="436"/>
        <w:spacing w:after="0" w:line="261"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Restricted Stock Units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w:t>
      </w:r>
    </w:p>
    <w:p>
      <w:pPr>
        <w:spacing w:after="0" w:line="71" w:lineRule="exact"/>
        <w:rPr>
          <w:rFonts w:ascii="Times New Roman" w:cs="Times New Roman" w:eastAsia="Times New Roman" w:hAnsi="Times New Roman"/>
          <w:sz w:val="18"/>
          <w:szCs w:val="18"/>
          <w:color w:val="auto"/>
        </w:rPr>
      </w:pPr>
    </w:p>
    <w:p>
      <w:pPr>
        <w:ind w:left="-436" w:right="320" w:firstLine="436"/>
        <w:spacing w:after="0" w:line="282"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53" w:lineRule="exact"/>
        <w:rPr>
          <w:rFonts w:ascii="Times New Roman" w:cs="Times New Roman" w:eastAsia="Times New Roman" w:hAnsi="Times New Roman"/>
          <w:sz w:val="18"/>
          <w:szCs w:val="18"/>
          <w:color w:val="auto"/>
        </w:rPr>
      </w:pPr>
    </w:p>
    <w:p>
      <w:pPr>
        <w:ind w:left="-436" w:right="280" w:firstLine="436"/>
        <w:spacing w:after="0" w:line="266"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Grantee expressly warrants that he or she has received an Award of Restricted Stock Units under the Plan, and has received, read and understood a description of the Plan. Grantee understands that the Plan is discretionary in nature and may be amended, suspended or terminated by the Committee at any time.</w:t>
      </w:r>
    </w:p>
    <w:p>
      <w:pPr>
        <w:spacing w:after="0" w:line="67" w:lineRule="exact"/>
        <w:rPr>
          <w:rFonts w:ascii="Times New Roman" w:cs="Times New Roman" w:eastAsia="Times New Roman" w:hAnsi="Times New Roman"/>
          <w:sz w:val="18"/>
          <w:szCs w:val="18"/>
          <w:color w:val="auto"/>
        </w:rPr>
      </w:pPr>
    </w:p>
    <w:p>
      <w:pPr>
        <w:ind w:left="-436" w:firstLine="436"/>
        <w:spacing w:after="0" w:line="256"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Grantee and this Award of Restricted Stock Units (as determined by the Committee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79"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Restricted Stock Units.</w:t>
      </w:r>
    </w:p>
    <w:p>
      <w:pPr>
        <w:sectPr>
          <w:pgSz w:w="11900" w:h="16838" w:orient="portrait"/>
          <w:cols w:equalWidth="0" w:num="1">
            <w:col w:w="10564"/>
          </w:cols>
          <w:pgMar w:left="876" w:top="270" w:right="459" w:bottom="1440" w:gutter="0" w:footer="0" w:header="0"/>
        </w:sectPr>
      </w:pPr>
    </w:p>
    <w:bookmarkStart w:id="15" w:name="page16"/>
    <w:bookmarkEnd w:id="15"/>
    <w:p>
      <w:pPr>
        <w:ind w:left="-436" w:firstLine="436"/>
        <w:spacing w:after="0" w:line="261"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79" w:lineRule="exact"/>
        <w:rPr>
          <w:rFonts w:ascii="Times New Roman" w:cs="Times New Roman" w:eastAsia="Times New Roman" w:hAnsi="Times New Roman"/>
          <w:sz w:val="18"/>
          <w:szCs w:val="18"/>
          <w:color w:val="auto"/>
        </w:rPr>
      </w:pPr>
    </w:p>
    <w:p>
      <w:pPr>
        <w:ind w:left="48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564"/>
          </w:cols>
          <w:pgMar w:left="876" w:top="270" w:right="4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PERFORMANCE UNIT GRANT</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Bakkt Holdings, Inc. 2021 Omnibus Employee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meanings in this Performance Unit Agreement which includes the Notice of Performance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Performance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Grantee has been granted an Award of Performance Units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subject to the terms and conditions of the Plan and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Agreement, as follows:</w:t>
      </w: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Maximum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Vesting Date(s): This Award shall vest on the date(s)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subject to the satisfaction of the terms and conditions described in the exhibits (including all schedules subject thereto).</w:t>
      </w:r>
    </w:p>
    <w:p>
      <w:pPr>
        <w:sectPr>
          <w:pgSz w:w="11900" w:h="16838" w:orient="portrait"/>
          <w:cols w:equalWidth="0" w:num="1">
            <w:col w:w="11020"/>
          </w:cols>
          <w:pgMar w:left="440" w:top="121" w:right="439" w:bottom="1440" w:gutter="0" w:footer="0" w:header="0"/>
        </w:sectPr>
      </w:pPr>
    </w:p>
    <w:bookmarkStart w:id="17" w:name="page18"/>
    <w:bookmarkEnd w:id="17"/>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Grantee’s signature and the signature of the representative of the Company below, Grantee and the Company agree that this Award of PSUs is granted under and governed by the terms and conditions of the Plan and this Award Agreement, including the Terms and Conditions of Performance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GRANTEE</w:t>
            </w:r>
          </w:p>
        </w:tc>
        <w:tc>
          <w:tcPr>
            <w:tcW w:w="8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32"/>
        </w:trPr>
        <w:tc>
          <w:tcPr>
            <w:tcW w:w="4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22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gridSpan w:val="2"/>
          </w:tcPr>
          <w:p>
            <w:pPr>
              <w:spacing w:after="0"/>
              <w:rPr>
                <w:sz w:val="24"/>
                <w:szCs w:val="24"/>
                <w:color w:val="auto"/>
              </w:rPr>
            </w:pPr>
          </w:p>
        </w:tc>
      </w:tr>
      <w:tr>
        <w:trPr>
          <w:trHeight w:val="228"/>
        </w:trPr>
        <w:tc>
          <w:tcPr>
            <w:tcW w:w="5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427"/>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r>
      <w:tr>
        <w:trPr>
          <w:trHeight w:val="228"/>
        </w:trPr>
        <w:tc>
          <w:tcPr>
            <w:tcW w:w="4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6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Grantee Residence Address: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44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UNIT GRANT</w:t>
      </w:r>
    </w:p>
    <w:p>
      <w:pPr>
        <w:spacing w:after="0" w:line="229" w:lineRule="exact"/>
        <w:rPr>
          <w:sz w:val="20"/>
          <w:szCs w:val="20"/>
          <w:color w:val="auto"/>
        </w:rPr>
      </w:pPr>
    </w:p>
    <w:p>
      <w:pPr>
        <w:ind w:right="100" w:firstLine="436"/>
        <w:spacing w:after="0" w:line="261"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PSUs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named in the Notice of Performance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under the Plan an Award of PSUs, and subject to the terms and conditions of this Award Agreement and the Plan, which is incorporated herein by reference. Subject to Section 3.1 of the Plan, in the event of a conflict between the terms and conditions of the Plan and this Award Agreement, the terms and conditions of the Plan shall prevail.</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PSU represents the right to receive a share of Company Class A Common Stock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on the date it vests. Unless and until a PSU has vested in the manner set forth in Section 3 or 4, Grantee will have no right to payment of any such PSU. Prior to actual payment of any vested PSUs, such PSU will represent an unsecured obligation of the Company, payable (if at all) only from the general assets of the Company.</w:t>
      </w:r>
    </w:p>
    <w:p>
      <w:pPr>
        <w:spacing w:after="0" w:line="71" w:lineRule="exact"/>
        <w:rPr>
          <w:rFonts w:ascii="Times New Roman" w:cs="Times New Roman" w:eastAsia="Times New Roman" w:hAnsi="Times New Roman"/>
          <w:sz w:val="18"/>
          <w:szCs w:val="18"/>
          <w:color w:val="auto"/>
        </w:rPr>
      </w:pPr>
    </w:p>
    <w:p>
      <w:pPr>
        <w:ind w:right="40" w:firstLine="436"/>
        <w:spacing w:after="0" w:line="277"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Except as provided in Section 4, and subject to Section 5, the PSUs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PSUs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59"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 7, any PSUs that vest will be paid to Grantee (or in the event of Grantee’s death, to his or her properly designated beneficiary or estate) in whole Shares. Subject to the provisions of Section 4(c), such vested PSUs shall be paid in whole Shares as soon as practicable after vesting, but in each such case within sixty (60) days following the vesting date. In no event will Grantee be permitted, directly or indirectly, to specify the taxable year of payment of any PSUs payable under this Award Agreement.</w:t>
      </w:r>
    </w:p>
    <w:p>
      <w:pPr>
        <w:spacing w:after="0" w:line="71"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Committee, in its discretion, may accelerate the vesting of the balance, or some lesser portion of the balance, of the unvested PSUs at any time, subject to the terms of the Plan. If so accelerated, such PSUs will be considered as having vested as of the date specified by the Administrator.</w:t>
      </w:r>
    </w:p>
    <w:p>
      <w:pPr>
        <w:sectPr>
          <w:pgSz w:w="11900" w:h="16838" w:orient="portrait"/>
          <w:cols w:equalWidth="0" w:num="1">
            <w:col w:w="11000"/>
          </w:cols>
          <w:pgMar w:left="440" w:top="266" w:right="459" w:bottom="1440" w:gutter="0" w:footer="0" w:header="0"/>
        </w:sectPr>
      </w:pPr>
    </w:p>
    <w:bookmarkStart w:id="19" w:name="page20"/>
    <w:bookmarkEnd w:id="19"/>
    <w:p>
      <w:pPr>
        <w:ind w:left="804" w:hanging="253"/>
        <w:spacing w:after="0"/>
        <w:tabs>
          <w:tab w:leader="none" w:pos="8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36" w:right="460" w:firstLine="1428"/>
        <w:spacing w:after="0" w:line="289" w:lineRule="auto"/>
        <w:tabs>
          <w:tab w:leader="none" w:pos="121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49" w:lineRule="exact"/>
        <w:rPr>
          <w:rFonts w:ascii="Times New Roman" w:cs="Times New Roman" w:eastAsia="Times New Roman" w:hAnsi="Times New Roman"/>
          <w:sz w:val="17"/>
          <w:szCs w:val="17"/>
          <w:color w:val="auto"/>
        </w:rPr>
      </w:pPr>
    </w:p>
    <w:p>
      <w:pPr>
        <w:ind w:left="-436" w:firstLine="1428"/>
        <w:spacing w:after="0" w:line="254" w:lineRule="auto"/>
        <w:tabs>
          <w:tab w:leader="none" w:pos="12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this Award Agreement or any other agreement (whether entered into before, on or after the Date of Grant), if the vesting of the balance, or some lesser portion of the balance, of the PSUs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PSUs will result in the imposition of additional tax under Section 409A if paid to Grantee on or within the six (6) month period following the cessation of Grantee’s status as a Service Provider, then the payment of such accelerated PSUs will not be made until the date six (6) months and one (1) day following the date of cessation of Grantee’s status as a Service Provider, unless Grantee dies following his or her termination as a Service Provider, in which case, the PSUs will be paid in Shares to Grantee’s estate as soon as practicable following his or her death.</w:t>
      </w:r>
    </w:p>
    <w:p>
      <w:pPr>
        <w:spacing w:after="0" w:line="80" w:lineRule="exact"/>
        <w:rPr>
          <w:rFonts w:ascii="Times New Roman" w:cs="Times New Roman" w:eastAsia="Times New Roman" w:hAnsi="Times New Roman"/>
          <w:sz w:val="18"/>
          <w:szCs w:val="18"/>
          <w:color w:val="auto"/>
        </w:rPr>
      </w:pPr>
    </w:p>
    <w:p>
      <w:pPr>
        <w:ind w:left="-436" w:right="80" w:firstLine="1428"/>
        <w:spacing w:after="0" w:line="254" w:lineRule="auto"/>
        <w:tabs>
          <w:tab w:leader="none" w:pos="131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83" w:lineRule="exact"/>
        <w:rPr>
          <w:rFonts w:ascii="Times New Roman" w:cs="Times New Roman" w:eastAsia="Times New Roman" w:hAnsi="Times New Roman"/>
          <w:sz w:val="18"/>
          <w:szCs w:val="18"/>
          <w:color w:val="auto"/>
        </w:rPr>
      </w:pPr>
    </w:p>
    <w:p>
      <w:pPr>
        <w:ind w:left="-436" w:right="40" w:firstLine="436"/>
        <w:spacing w:after="0" w:line="261"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PSUs awarded by this Award Agreement will thereupon be forfeited at no cost to the Company and Grantee will have no further rights thereunder.</w:t>
      </w:r>
    </w:p>
    <w:p>
      <w:pPr>
        <w:spacing w:after="0" w:line="71" w:lineRule="exact"/>
        <w:rPr>
          <w:rFonts w:ascii="Times New Roman" w:cs="Times New Roman" w:eastAsia="Times New Roman" w:hAnsi="Times New Roman"/>
          <w:sz w:val="18"/>
          <w:szCs w:val="18"/>
          <w:color w:val="auto"/>
        </w:rPr>
      </w:pPr>
    </w:p>
    <w:p>
      <w:pPr>
        <w:ind w:left="-436" w:right="60" w:firstLine="436"/>
        <w:spacing w:after="0" w:line="261"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0564"/>
          </w:cols>
          <w:pgMar w:left="876" w:top="270" w:right="459" w:bottom="1440" w:gutter="0" w:footer="0" w:header="0"/>
        </w:sectPr>
      </w:pPr>
    </w:p>
    <w:bookmarkStart w:id="20" w:name="page21"/>
    <w:bookmarkEnd w:id="20"/>
    <w:p>
      <w:pPr>
        <w:ind w:left="184" w:hanging="184"/>
        <w:spacing w:after="0"/>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36" w:right="20" w:firstLine="987"/>
        <w:spacing w:after="0" w:line="252" w:lineRule="auto"/>
        <w:tabs>
          <w:tab w:leader="none" w:pos="7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PSUs, including, without limitation, (i) 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PSUs or sale of Shares, and (iii) any other Service Recipient taxes the responsibility for which Grantee has, or has agreed to bear, with respect to the PSUs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or other distributions, and (B) makes any commitment to and is under any obligation to structure the terms of the grant or any aspect of the PSUs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86" w:lineRule="exact"/>
        <w:rPr>
          <w:rFonts w:ascii="Times New Roman" w:cs="Times New Roman" w:eastAsia="Times New Roman" w:hAnsi="Times New Roman"/>
          <w:sz w:val="18"/>
          <w:szCs w:val="18"/>
          <w:color w:val="auto"/>
        </w:rPr>
      </w:pPr>
    </w:p>
    <w:p>
      <w:pPr>
        <w:ind w:left="-436" w:firstLine="987"/>
        <w:spacing w:after="0" w:line="252" w:lineRule="auto"/>
        <w:tabs>
          <w:tab w:leader="none" w:pos="8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18"/>
          <w:szCs w:val="18"/>
          <w:u w:val="single" w:color="auto"/>
          <w:color w:val="auto"/>
        </w:rPr>
        <w:t>Sell to Cover</w:t>
      </w:r>
      <w:r>
        <w:rPr>
          <w:rFonts w:ascii="Times New Roman" w:cs="Times New Roman" w:eastAsia="Times New Roman" w:hAnsi="Times New Roman"/>
          <w:sz w:val="18"/>
          <w:szCs w:val="18"/>
          <w:color w:val="auto"/>
        </w:rPr>
        <w:t>”), or (vi) such other means as the Committee deems appropriate. If the Withholding Obligations are satisfied by withholding in Shares, for tax</w:t>
      </w:r>
    </w:p>
    <w:p>
      <w:pPr>
        <w:sectPr>
          <w:pgSz w:w="11900" w:h="16838" w:orient="portrait"/>
          <w:cols w:equalWidth="0" w:num="1">
            <w:col w:w="10564"/>
          </w:cols>
          <w:pgMar w:left="876" w:top="270" w:right="45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Grantee is deemed to have been issued the full number of Shares subject to the vested PSUs,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80" w:lineRule="exact"/>
        <w:rPr>
          <w:sz w:val="20"/>
          <w:szCs w:val="20"/>
          <w:color w:val="auto"/>
        </w:rPr>
      </w:pPr>
    </w:p>
    <w:p>
      <w:pPr>
        <w:ind w:right="100" w:firstLine="987"/>
        <w:spacing w:after="0" w:line="258" w:lineRule="auto"/>
        <w:tabs>
          <w:tab w:leader="none" w:pos="12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PSUs otherwise are scheduled to vest pursuant to Sections 3 or 4 or Grantee’s Withholding Obligations otherwise become due, Grantee permanently will forfeit such PSUs to which Grantee’s Withholding Obligation relates and any right to receive Shares thereunder and such PSUs will be returned to the Company at no cost to the Company. Grantee acknowledges and agrees that the Company may permanently refuse to issue or deliver the Shares if such Withholding Obligations are not delivered at the time they are due.</w:t>
      </w:r>
    </w:p>
    <w:p>
      <w:pPr>
        <w:spacing w:after="0" w:line="80"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75" w:lineRule="exact"/>
        <w:rPr>
          <w:rFonts w:ascii="Times New Roman" w:cs="Times New Roman" w:eastAsia="Times New Roman" w:hAnsi="Times New Roman"/>
          <w:sz w:val="18"/>
          <w:szCs w:val="18"/>
          <w:color w:val="auto"/>
        </w:rPr>
      </w:pPr>
    </w:p>
    <w:p>
      <w:pPr>
        <w:ind w:right="200" w:firstLine="436"/>
        <w:spacing w:after="0" w:line="261"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Grantee acknowledges and agrees that the vesting of the PSUs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PSU award, or acquiring Shares hereunder. Grantee further acknowledges and agrees that this Award</w:t>
      </w:r>
    </w:p>
    <w:p>
      <w:pPr>
        <w:sectPr>
          <w:pgSz w:w="11900" w:h="16838" w:orient="portrait"/>
          <w:cols w:equalWidth="0" w:num="1">
            <w:col w:w="11000"/>
          </w:cols>
          <w:pgMar w:left="440" w:top="270" w:right="45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72" w:lineRule="exact"/>
        <w:rPr>
          <w:sz w:val="20"/>
          <w:szCs w:val="20"/>
          <w:color w:val="auto"/>
        </w:rPr>
      </w:pPr>
    </w:p>
    <w:p>
      <w:pPr>
        <w:ind w:right="180" w:firstLine="436"/>
        <w:spacing w:after="0" w:line="258"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PSUs, Grantee acknowledges, understands and agrees that:</w:t>
      </w:r>
    </w:p>
    <w:p>
      <w:pPr>
        <w:spacing w:after="0" w:line="117"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PSUs is voluntary and occasional and does not create any contractual or other right to receive future grants of PSUs, or benefits in lieu of PSUs, even if PSUs have been granted in the past;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PSUs or other grants, if any, will be at the sole discretion of the Administrator;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participating in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are not intended to replace any pension rights or compensation;</w:t>
      </w:r>
    </w:p>
    <w:p>
      <w:pPr>
        <w:spacing w:after="0" w:line="117"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PSUs is unknown, indeterminable, and cannot be predicted with certainty;</w:t>
      </w:r>
    </w:p>
    <w:p>
      <w:pPr>
        <w:spacing w:after="0" w:line="11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PSUs,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PSUs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w:t>
      </w:r>
    </w:p>
    <w:p>
      <w:pPr>
        <w:sectPr>
          <w:pgSz w:w="11900" w:h="16838" w:orient="portrait"/>
          <w:cols w:equalWidth="0" w:num="1">
            <w:col w:w="10960"/>
          </w:cols>
          <w:pgMar w:left="440" w:top="270" w:right="499" w:bottom="1440" w:gutter="0" w:footer="0" w:header="0"/>
        </w:sectPr>
      </w:pPr>
    </w:p>
    <w:bookmarkStart w:id="23" w:name="page24"/>
    <w:bookmarkEnd w:id="2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PSUs (including whether Grantee may still be considered to be providing services while on a leave of absence and consistent with local law). Further, for the avoidance of doubt, Grantee shall not be entitled to any pro rata vesting of any PSUs should Grantee’s status as a Service Provider cease before the PSUs have fully vested (e.g., if Grantee’s status as a Service Provider ceases on March 1 before all of the PSUs have vested, Grantee shall not be entitled to any vesting of the PSUs that were scheduled to vest on the immediately following vesting date of March 10);</w:t>
      </w:r>
    </w:p>
    <w:p>
      <w:pPr>
        <w:spacing w:after="0" w:line="79" w:lineRule="exact"/>
        <w:rPr>
          <w:sz w:val="20"/>
          <w:szCs w:val="20"/>
          <w:color w:val="auto"/>
        </w:rPr>
      </w:pPr>
    </w:p>
    <w:p>
      <w:pPr>
        <w:ind w:right="440" w:firstLine="987"/>
        <w:spacing w:after="0" w:line="266" w:lineRule="auto"/>
        <w:tabs>
          <w:tab w:leader="none" w:pos="12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Grantee is providing services outside the United States:</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are not part of normal or expected compensation or salary for any purpose;</w:t>
      </w:r>
    </w:p>
    <w:p>
      <w:pPr>
        <w:spacing w:after="0" w:line="117" w:lineRule="exact"/>
        <w:rPr>
          <w:rFonts w:ascii="Times New Roman" w:cs="Times New Roman" w:eastAsia="Times New Roman" w:hAnsi="Times New Roman"/>
          <w:sz w:val="18"/>
          <w:szCs w:val="18"/>
          <w:color w:val="auto"/>
        </w:rPr>
      </w:pPr>
    </w:p>
    <w:p>
      <w:pPr>
        <w:ind w:right="40" w:firstLine="1428"/>
        <w:spacing w:after="0" w:line="266" w:lineRule="auto"/>
        <w:tabs>
          <w:tab w:leader="none" w:pos="169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no Service Recipient shall be liable for any foreign exchange rate fluctuation between Grantee’s local currency and the United States Dollar that may affect the value of the PSUs or of any amounts due to Grantee pursuant to the settlement of the PSUs or the subsequent sale of any Shares acquired upon settlement; and</w:t>
      </w:r>
    </w:p>
    <w:p>
      <w:pPr>
        <w:spacing w:after="0" w:line="67" w:lineRule="exact"/>
        <w:rPr>
          <w:rFonts w:ascii="Times New Roman" w:cs="Times New Roman" w:eastAsia="Times New Roman" w:hAnsi="Times New Roman"/>
          <w:sz w:val="18"/>
          <w:szCs w:val="18"/>
          <w:color w:val="auto"/>
        </w:rPr>
      </w:pPr>
    </w:p>
    <w:p>
      <w:pPr>
        <w:ind w:firstLine="1428"/>
        <w:spacing w:after="0" w:line="255" w:lineRule="auto"/>
        <w:tabs>
          <w:tab w:leader="none" w:pos="174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PSUs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PSUs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w:t>
      </w:r>
    </w:p>
    <w:p>
      <w:pPr>
        <w:spacing w:after="0" w:line="80" w:lineRule="exact"/>
        <w:rPr>
          <w:rFonts w:ascii="Times New Roman" w:cs="Times New Roman" w:eastAsia="Times New Roman" w:hAnsi="Times New Roman"/>
          <w:sz w:val="18"/>
          <w:szCs w:val="18"/>
          <w:color w:val="auto"/>
        </w:rPr>
      </w:pPr>
    </w:p>
    <w:p>
      <w:pPr>
        <w:ind w:right="240" w:firstLine="436"/>
        <w:spacing w:after="0" w:line="261" w:lineRule="auto"/>
        <w:tabs>
          <w:tab w:leader="none" w:pos="7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Grantee’s participation in the Plan, or Grantee’s acquisition or sale of the Shares underlying the PSUs. Grantee is hereby advised to consult with his or her own personal tax, legal and financial advisers regarding his or her participation in the Plan before taking any action related to the Plan.</w:t>
      </w:r>
    </w:p>
    <w:p>
      <w:pPr>
        <w:spacing w:after="0" w:line="71" w:lineRule="exact"/>
        <w:rPr>
          <w:rFonts w:ascii="Times New Roman" w:cs="Times New Roman" w:eastAsia="Times New Roman" w:hAnsi="Times New Roman"/>
          <w:sz w:val="18"/>
          <w:szCs w:val="18"/>
          <w:color w:val="auto"/>
        </w:rPr>
      </w:pPr>
    </w:p>
    <w:p>
      <w:pPr>
        <w:ind w:right="180" w:firstLine="436"/>
        <w:spacing w:after="0" w:line="266" w:lineRule="auto"/>
        <w:tabs>
          <w:tab w:leader="none" w:pos="7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Grantee hereby explicitly and unambiguously consents to the collection, use and transfer, in electronic or other form, of Grantee’s personal data as described in this Award Agreement and any other PSU grant materials by and among, as applicable, the Service Recipients for the exclusive purpose of implementing, administering and managing Grantee’s participation in the Plan.</w:t>
      </w:r>
    </w:p>
    <w:p>
      <w:pPr>
        <w:sectPr>
          <w:pgSz w:w="11900" w:h="16838" w:orient="portrait"/>
          <w:cols w:equalWidth="0" w:num="1">
            <w:col w:w="10960"/>
          </w:cols>
          <w:pgMar w:left="440" w:top="270" w:right="499" w:bottom="1440" w:gutter="0" w:footer="0" w:header="0"/>
        </w:sectPr>
      </w:pPr>
    </w:p>
    <w:bookmarkStart w:id="24" w:name="page25"/>
    <w:bookmarkEnd w:id="24"/>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PSUs or any other entitlement to Shares awarded, canceled, exercised, vested, unvested or outstanding in Grantee’s favor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 for the exclusive purpose of implementing, administering and managing the Plan.</w:t>
      </w:r>
    </w:p>
    <w:p>
      <w:pPr>
        <w:spacing w:after="0" w:line="16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PSUs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85" w:lineRule="exact"/>
        <w:rPr>
          <w:sz w:val="20"/>
          <w:szCs w:val="20"/>
          <w:color w:val="auto"/>
        </w:rPr>
      </w:pPr>
    </w:p>
    <w:p>
      <w:pPr>
        <w:ind w:right="240" w:firstLine="436"/>
        <w:spacing w:after="0" w:line="266" w:lineRule="auto"/>
        <w:tabs>
          <w:tab w:leader="none" w:pos="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right="260" w:firstLine="436"/>
        <w:spacing w:after="0" w:line="261" w:lineRule="auto"/>
        <w:tabs>
          <w:tab w:leader="none" w:pos="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ectPr>
          <w:pgSz w:w="11900" w:h="16838" w:orient="portrait"/>
          <w:cols w:equalWidth="0" w:num="1">
            <w:col w:w="11000"/>
          </w:cols>
          <w:pgMar w:left="440" w:top="270" w:right="459" w:bottom="1440" w:gutter="0" w:footer="0" w:header="0"/>
        </w:sectPr>
      </w:pPr>
    </w:p>
    <w:bookmarkStart w:id="25" w:name="page26"/>
    <w:bookmarkEnd w:id="25"/>
    <w:p>
      <w:pPr>
        <w:ind w:left="-436" w:firstLine="436"/>
        <w:spacing w:after="0" w:line="253"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Committee may establish from time to time for reasons of administrative convenience.</w:t>
      </w:r>
    </w:p>
    <w:p>
      <w:pPr>
        <w:spacing w:after="0" w:line="86" w:lineRule="exact"/>
        <w:rPr>
          <w:rFonts w:ascii="Times New Roman" w:cs="Times New Roman" w:eastAsia="Times New Roman" w:hAnsi="Times New Roman"/>
          <w:sz w:val="18"/>
          <w:szCs w:val="18"/>
          <w:color w:val="auto"/>
        </w:rPr>
      </w:pPr>
    </w:p>
    <w:p>
      <w:pPr>
        <w:ind w:left="-436" w:right="480" w:firstLine="436"/>
        <w:spacing w:after="0" w:line="282"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left="-436" w:right="40" w:firstLine="436"/>
        <w:spacing w:after="0" w:line="256"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ind w:left="-436" w:right="40" w:firstLine="436"/>
        <w:spacing w:after="0" w:line="261"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PSUs awarded under the Plan or future PSUs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w:t>
      </w:r>
    </w:p>
    <w:p>
      <w:pPr>
        <w:spacing w:after="0" w:line="71" w:lineRule="exact"/>
        <w:rPr>
          <w:rFonts w:ascii="Times New Roman" w:cs="Times New Roman" w:eastAsia="Times New Roman" w:hAnsi="Times New Roman"/>
          <w:sz w:val="18"/>
          <w:szCs w:val="18"/>
          <w:color w:val="auto"/>
        </w:rPr>
      </w:pPr>
    </w:p>
    <w:p>
      <w:pPr>
        <w:ind w:left="-436" w:right="320" w:firstLine="436"/>
        <w:spacing w:after="0" w:line="282"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53" w:lineRule="exact"/>
        <w:rPr>
          <w:rFonts w:ascii="Times New Roman" w:cs="Times New Roman" w:eastAsia="Times New Roman" w:hAnsi="Times New Roman"/>
          <w:sz w:val="18"/>
          <w:szCs w:val="18"/>
          <w:color w:val="auto"/>
        </w:rPr>
      </w:pPr>
    </w:p>
    <w:p>
      <w:pPr>
        <w:ind w:left="-436" w:right="340" w:firstLine="436"/>
        <w:spacing w:after="0" w:line="266"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Grantee expressly warrants that he or she has received an Award of PSUs under the Plan, and has received, read and understood a description of the Plan. Grantee understands that the Plan is discretionary in nature and may be amended, suspended or terminated by the Committee at any time.</w:t>
      </w:r>
    </w:p>
    <w:p>
      <w:pPr>
        <w:spacing w:after="0" w:line="67" w:lineRule="exact"/>
        <w:rPr>
          <w:rFonts w:ascii="Times New Roman" w:cs="Times New Roman" w:eastAsia="Times New Roman" w:hAnsi="Times New Roman"/>
          <w:sz w:val="18"/>
          <w:szCs w:val="18"/>
          <w:color w:val="auto"/>
        </w:rPr>
      </w:pPr>
    </w:p>
    <w:p>
      <w:pPr>
        <w:ind w:left="-436" w:right="60" w:firstLine="436"/>
        <w:spacing w:after="0" w:line="256"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PSU grant shall be subject to any special terms and conditions set forth in an appendix (if any) to this Award Agreement for any country whose laws are applicable to Grantee and this Award of PSUs (as determined by the Committee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ectPr>
          <w:pgSz w:w="11900" w:h="16838" w:orient="portrait"/>
          <w:cols w:equalWidth="0" w:num="1">
            <w:col w:w="10564"/>
          </w:cols>
          <w:pgMar w:left="876" w:top="270" w:right="459" w:bottom="1440" w:gutter="0" w:footer="0" w:header="0"/>
        </w:sectPr>
      </w:pPr>
    </w:p>
    <w:bookmarkStart w:id="26" w:name="page27"/>
    <w:bookmarkEnd w:id="26"/>
    <w:p>
      <w:pPr>
        <w:ind w:left="-436" w:right="20" w:firstLine="436"/>
        <w:spacing w:after="0" w:line="256"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PSUs.</w:t>
      </w:r>
    </w:p>
    <w:p>
      <w:pPr>
        <w:spacing w:after="0" w:line="79"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71" w:lineRule="exact"/>
        <w:rPr>
          <w:rFonts w:ascii="Times New Roman" w:cs="Times New Roman" w:eastAsia="Times New Roman" w:hAnsi="Times New Roman"/>
          <w:sz w:val="18"/>
          <w:szCs w:val="18"/>
          <w:color w:val="auto"/>
        </w:rPr>
      </w:pPr>
    </w:p>
    <w:p>
      <w:pPr>
        <w:ind w:left="-436" w:right="240" w:firstLine="436"/>
        <w:spacing w:after="0" w:line="266"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PSUs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6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79" w:lineRule="exact"/>
        <w:rPr>
          <w:rFonts w:ascii="Times New Roman" w:cs="Times New Roman" w:eastAsia="Times New Roman" w:hAnsi="Times New Roman"/>
          <w:sz w:val="18"/>
          <w:szCs w:val="18"/>
          <w:color w:val="auto"/>
        </w:rPr>
      </w:pPr>
    </w:p>
    <w:p>
      <w:pPr>
        <w:ind w:left="4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ectPr>
          <w:pgSz w:w="11900" w:h="16838" w:orient="portrait"/>
          <w:cols w:equalWidth="0" w:num="1">
            <w:col w:w="10564"/>
          </w:cols>
          <w:pgMar w:left="876" w:top="270" w:right="45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2021 OMNIBUS EMPLOYEE INCENTIVE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COUNTRY ADDENDUM TO PERFORMANCE UNIT AGREEMENT</w:t>
      </w:r>
    </w:p>
    <w:p>
      <w:pPr>
        <w:spacing w:after="0" w:line="22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defined herein, capitalized terms used in this Country Addendum to Performance Unit Agreement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will be ascribed the same defined meanings as set forth in the Performance Unit Agreement of which this Country Addendum forms a part (or the Plan or other written agreement as specified in the Performance Unit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Award of PSUs granted to Grantee under the Plan to the extent Grantee resides and/or works in one of the countries listed below. If Grantee is a citizen or resident (or is considered as such for local law purposes) of a country other than the country in which Grantee is currently residing and/or working, or if Grantee relocates to another country after the Award of PSUs is granted, the Company, in its discretion, will determine to what extent the terms and conditions contained herein will apply to Grantee.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20" w:firstLine="440"/>
        <w:spacing w:after="0" w:line="276" w:lineRule="auto"/>
        <w:rPr>
          <w:sz w:val="20"/>
          <w:szCs w:val="20"/>
          <w:color w:val="auto"/>
        </w:rPr>
      </w:pPr>
      <w:r>
        <w:rPr>
          <w:rFonts w:ascii="Times New Roman" w:cs="Times New Roman" w:eastAsia="Times New Roman" w:hAnsi="Times New Roman"/>
          <w:sz w:val="17"/>
          <w:szCs w:val="17"/>
          <w:color w:val="auto"/>
        </w:rPr>
        <w:t>This Country Addendum also may include information regarding exchange controls and certain other issues of which Grantee should be aware with respect to Grantee’s participation in the Plan. The information is based on the securities, exchange control and other applicable legal and regulatory</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requirements in effect in the respective countries as of [ ], 2022. Such applicable legal and regulatory requirements often are complex and change frequently. As a result, the Company strongly recommends that Grantee not rely on the information in this Country Addendum as the only source of information relating to the consequences of Grantee’s participation in the Plan because the information may be out of date at the time Grantee vests in or receives or sells the Shares covered by the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-441960</wp:posOffset>
            </wp:positionV>
            <wp:extent cx="457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information contained in this Country Addendum is general in nature and may not apply to Grantee’s particular situation, and the Company is not in a position to assure Grantee of any particular result. Grantee should seek appropriate professional advice as to how the applicable legal and regulatory requirements in Grantee’s country may apply to his or her situation.</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Finally, if Grantee is a citizen or resident of a country other than the one in which Grantee currently is residing and/or working, transfers residence and/or employment to another country after the grant of the PSUs, or is considered a resident of another country for local law purposes, the information in this Country Addendum may not apply to Grantee in the same manner.</w:t>
      </w:r>
    </w:p>
    <w:p>
      <w:pPr>
        <w:sectPr>
          <w:pgSz w:w="11900" w:h="16838" w:orient="portrait"/>
          <w:cols w:equalWidth="0" w:num="1">
            <w:col w:w="10980"/>
          </w:cols>
          <w:pgMar w:left="440" w:top="266" w:right="47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VESTING TERMS</w:t>
      </w:r>
    </w:p>
    <w:p>
      <w:pPr>
        <w:sectPr>
          <w:pgSz w:w="11900" w:h="16838" w:orient="portrait"/>
          <w:cols w:equalWidth="0" w:num="1">
            <w:col w:w="9019"/>
          </w:cols>
          <w:pgMar w:left="1440" w:top="266"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Appoints Chip Goodroe as Chief Accounting Officer</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ALPHARETTA,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12, 2022 </w:t>
      </w:r>
      <w:r>
        <w:rPr>
          <w:rFonts w:ascii="Times New Roman" w:cs="Times New Roman" w:eastAsia="Times New Roman" w:hAnsi="Times New Roman"/>
          <w:sz w:val="18"/>
          <w:szCs w:val="18"/>
          <w:color w:val="auto"/>
        </w:rPr>
        <w:t>– Bakkt Holdings, Inc. (NYSE: BKKT) a digital asset platform that unlocks crypto and drives loyalty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delightful, connected experiences for a broad range of clients, announced today that Chip Goodroe was appointed as its Chief Accounting Officer. In this role, Mr. Goodroe will report to Karen Alexander, Bakkt’s Chief Financial Officer, and will lead the Accounting function, including SEC and regulatory reporting.</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“I’m pleased to welcome Chip to the team and into the role of Chief Accounting Officer,” said Ms. Alexander. “He is a great fit for Bakkt given his deep accounting expertise across technology and cryptocurrency.”</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Mr. Goodroe is a seasoned accounting professional with more than fourteen years of experience with several public accounting firms. His most recent role included serving as a senior manager with Grant Thornton LLP on audit and accounting advisory engagements for public and private entities. He also has extensive experience in SaaS, software and cryptocurrency-facing businesses, and previously served on various national teams addressing accounting and audit risks associated with emerging accounting standards including ASC 606 and ASC 842.</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Mr. Goodroe holds a B.B.A in Accountancy from the University of Georgia, Terry College of Business and an M.S. in Accountancy from the University of Georgia, Terry College of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Bakkt is a digital asset platform that unlocks crypto and drives loyalty to create delightful, connected experiences for a broad range of clients. Bakkt’s platform, available through the Bakkt App and to partners, amplifies consumer spending and bolsters loyalty programs, adding value for all key stakeholders within the Bakkt payments and digital assets ecosystem. Launched in 2018, Bakkt is headquartered in Alpharetta, GA. For more information, visit: </w:t>
      </w:r>
      <w:r>
        <w:rPr>
          <w:rFonts w:ascii="Times New Roman" w:cs="Times New Roman" w:eastAsia="Times New Roman" w:hAnsi="Times New Roman"/>
          <w:sz w:val="18"/>
          <w:szCs w:val="18"/>
          <w:u w:val="single" w:color="auto"/>
          <w:color w:val="auto"/>
        </w:rPr>
        <w:t>https://www.bakkt.com/</w:t>
      </w:r>
      <w:r>
        <w:rPr>
          <w:rFonts w:ascii="Times New Roman" w:cs="Times New Roman" w:eastAsia="Times New Roman" w:hAnsi="Times New Roman"/>
          <w:sz w:val="18"/>
          <w:szCs w:val="18"/>
          <w:color w:val="auto"/>
        </w:rPr>
        <w:t xml:space="preserve"> | Twitter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 LinkedIn </w:t>
      </w:r>
      <w:r>
        <w:rPr>
          <w:rFonts w:ascii="Times New Roman" w:cs="Times New Roman" w:eastAsia="Times New Roman" w:hAnsi="Times New Roman"/>
          <w:sz w:val="18"/>
          <w:szCs w:val="18"/>
          <w:u w:val="single" w:color="auto"/>
          <w:color w:val="auto"/>
        </w:rPr>
        <w:t>https://www.linkedin.com/company/bakkt/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Bakkt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Post, Head of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Lauren.Post@bakkt.com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DeVries,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Ann.DeVries@bakkt.com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3"/>
    </w:lvl>
    <w:lvl w:ilvl="1">
      <w:lvlJc w:val="left"/>
      <w:lvlText w:val="(%2)"/>
      <w:numFmt w:val="lowerLetter"/>
      <w:start w:val="1"/>
    </w:lvl>
  </w:abstractNum>
  <w:abstractNum w:abstractNumId="4">
    <w:nsid w:val="4E6AFB6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
    <w:nsid w:val="25E45D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
    <w:nsid w:val="519B500D"/>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7">
    <w:nsid w:val="431BD7B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8">
    <w:nsid w:val="3F2DBA31"/>
    <w:multiLevelType w:val="hybridMultilevel"/>
    <w:lvl w:ilvl="0">
      <w:lvlJc w:val="left"/>
      <w:lvlText w:val="(%1)"/>
      <w:numFmt w:val="lowerRoman"/>
      <w:start w:val="4"/>
    </w:lvl>
    <w:lvl w:ilvl="1">
      <w:lvlJc w:val="left"/>
      <w:lvlText w:val="(%2)"/>
      <w:numFmt w:val="lowerLetter"/>
      <w:start w:val="3"/>
    </w:lvl>
  </w:abstractNum>
  <w:abstractNum w:abstractNumId="9">
    <w:nsid w:val="7C83E458"/>
    <w:multiLevelType w:val="hybridMultilevel"/>
    <w:lvl w:ilvl="0">
      <w:lvlJc w:val="left"/>
      <w:lvlText w:val="%1."/>
      <w:numFmt w:val="decimal"/>
      <w:start w:val="8"/>
    </w:lvl>
    <w:lvl w:ilvl="1">
      <w:lvlJc w:val="left"/>
      <w:lvlText w:val="(%2)"/>
      <w:numFmt w:val="lowerLetter"/>
      <w:start w:val="1"/>
    </w:lvl>
  </w:abstractNum>
  <w:abstractNum w:abstractNumId="10">
    <w:nsid w:val="257130A3"/>
    <w:multiLevelType w:val="hybridMultilevel"/>
    <w:lvl w:ilvl="0">
      <w:lvlJc w:val="left"/>
      <w:lvlText w:val="(%1)"/>
      <w:numFmt w:val="lowerLetter"/>
      <w:start w:val="5"/>
    </w:lvl>
    <w:lvl w:ilvl="1">
      <w:lvlJc w:val="left"/>
      <w:lvlText w:val="(%2)"/>
      <w:numFmt w:val="lowerRoman"/>
      <w:start w:val="1"/>
    </w:lvl>
  </w:abstractNum>
  <w:abstractNum w:abstractNumId="11">
    <w:nsid w:val="62BBD95A"/>
    <w:multiLevelType w:val="hybridMultilevel"/>
    <w:lvl w:ilvl="0">
      <w:lvlJc w:val="left"/>
      <w:lvlText w:val="%1"/>
      <w:numFmt w:val="decimal"/>
      <w:start w:val="1"/>
    </w:lvl>
    <w:lvl w:ilvl="1">
      <w:lvlJc w:val="left"/>
      <w:lvlText w:val="(%2)"/>
      <w:numFmt w:val="lowerRoman"/>
      <w:start w:val="3"/>
    </w:lvl>
  </w:abstractNum>
  <w:abstractNum w:abstractNumId="12">
    <w:nsid w:val="436C6125"/>
    <w:multiLevelType w:val="hybridMultilevel"/>
    <w:lvl w:ilvl="0">
      <w:lvlJc w:val="left"/>
      <w:lvlText w:val="%1."/>
      <w:numFmt w:val="decimal"/>
      <w:start w:val="12"/>
    </w:lvl>
    <w:lvl w:ilvl="1">
      <w:lvlJc w:val="left"/>
      <w:lvlText w:val="%2"/>
      <w:numFmt w:val="lowerRoman"/>
      <w:start w:val="1"/>
    </w:lvl>
  </w:abstractNum>
  <w:abstractNum w:abstractNumId="13">
    <w:nsid w:val="628C895D"/>
    <w:multiLevelType w:val="hybridMultilevel"/>
    <w:lvl w:ilvl="0">
      <w:lvlJc w:val="left"/>
      <w:lvlText w:val="%1."/>
      <w:numFmt w:val="decimal"/>
      <w:start w:val="14"/>
    </w:lvl>
  </w:abstractNum>
  <w:abstractNum w:abstractNumId="14">
    <w:nsid w:val="333AB105"/>
    <w:multiLevelType w:val="hybridMultilevel"/>
    <w:lvl w:ilvl="0">
      <w:lvlJc w:val="left"/>
      <w:lvlText w:val="%1."/>
      <w:numFmt w:val="decimal"/>
      <w:start w:val="18"/>
    </w:lvl>
  </w:abstractNum>
  <w:abstractNum w:abstractNumId="15">
    <w:nsid w:val="721DA317"/>
    <w:multiLevelType w:val="hybridMultilevel"/>
    <w:lvl w:ilvl="0">
      <w:lvlJc w:val="left"/>
      <w:lvlText w:val="%1."/>
      <w:numFmt w:val="decimal"/>
      <w:start w:val="24"/>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2)"/>
      <w:numFmt w:val="lowerLetter"/>
      <w:start w:val="1"/>
    </w:lvl>
  </w:abstractNum>
  <w:abstractNum w:abstractNumId="17">
    <w:nsid w:val="2D1D5A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67638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75A2A8D4"/>
    <w:multiLevelType w:val="hybridMultilevel"/>
    <w:lvl w:ilvl="0">
      <w:lvlJc w:val="left"/>
      <w:lvlText w:val="%1."/>
      <w:numFmt w:val="decimal"/>
      <w:start w:val="7"/>
    </w:lvl>
    <w:lvl w:ilvl="1">
      <w:lvlJc w:val="left"/>
      <w:lvlText w:val="(%2)"/>
      <w:numFmt w:val="low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3"/>
    </w:lvl>
  </w:abstractNum>
  <w:abstractNum w:abstractNumId="21">
    <w:nsid w:val="79838CB2"/>
    <w:multiLevelType w:val="hybridMultilevel"/>
    <w:lvl w:ilvl="0">
      <w:lvlJc w:val="left"/>
      <w:lvlText w:val="%1."/>
      <w:numFmt w:val="decimal"/>
      <w:start w:val="8"/>
    </w:lvl>
    <w:lvl w:ilvl="1">
      <w:lvlJc w:val="left"/>
      <w:lvlText w:val="%2"/>
      <w:numFmt w:val="lowerLetter"/>
      <w:start w:val="1"/>
    </w:lvl>
  </w:abstractNum>
  <w:abstractNum w:abstractNumId="22">
    <w:nsid w:val="4353D0CD"/>
    <w:multiLevelType w:val="hybridMultilevel"/>
    <w:lvl w:ilvl="0">
      <w:lvlJc w:val="left"/>
      <w:lvlText w:val="%1."/>
      <w:numFmt w:val="decimal"/>
      <w:start w:val="10"/>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4">
    <w:nsid w:val="189A769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5">
    <w:nsid w:val="54E49EB4"/>
    <w:multiLevelType w:val="hybridMultilevel"/>
    <w:lvl w:ilvl="0">
      <w:lvlJc w:val="left"/>
      <w:lvlText w:val="%1."/>
      <w:numFmt w:val="decimal"/>
      <w:start w:val="14"/>
    </w:lvl>
  </w:abstractNum>
  <w:abstractNum w:abstractNumId="26">
    <w:nsid w:val="71F32454"/>
    <w:multiLevelType w:val="hybridMultilevel"/>
    <w:lvl w:ilvl="0">
      <w:lvlJc w:val="left"/>
      <w:lvlText w:val="%1."/>
      <w:numFmt w:val="decimal"/>
      <w:start w:val="16"/>
    </w:lvl>
  </w:abstractNum>
  <w:abstractNum w:abstractNumId="27">
    <w:nsid w:val="2CA88611"/>
    <w:multiLevelType w:val="hybridMultilevel"/>
    <w:lvl w:ilvl="0">
      <w:lvlJc w:val="left"/>
      <w:lvlText w:val="%1."/>
      <w:numFmt w:val="decimal"/>
      <w:start w:val="2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2022-09-12T16:19:45Z</dcterms:created>
  <dcterms:modified xsi:type="dcterms:W3CDTF">2022-09-12T16:19:45Z</dcterms:modified>
</cp:coreProperties>
</file>