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-609600</wp:posOffset>
            </wp:positionV>
            <wp:extent cx="57150" cy="622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641350</wp:posOffset>
            </wp:positionV>
            <wp:extent cx="6997065" cy="5005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005070"/>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40"/>
            <w:col w:w="8420"/>
          </w:cols>
          <w:pgMar w:left="460" w:top="215" w:right="359" w:bottom="67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Naheta Akshay Sudhir</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BAKKT HOLDINGS, INC.</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 LIBERTY ST FL 3 STE 305-306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Bakkt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11/12/2025</w:t>
      </w:r>
    </w:p>
    <w:p>
      <w:pPr>
        <w:spacing w:after="0" w:line="20" w:lineRule="exact"/>
        <w:rPr>
          <w:sz w:val="24"/>
          <w:szCs w:val="24"/>
          <w:color w:val="auto"/>
        </w:rPr>
      </w:pPr>
      <w:r>
        <w:rPr>
          <w:sz w:val="24"/>
          <w:szCs w:val="24"/>
          <w:color w:val="auto"/>
        </w:rPr>
        <w:br w:type="column"/>
      </w:r>
    </w:p>
    <w:p>
      <w:pPr>
        <w:ind w:left="-10" w:right="700" w:firstLine="10"/>
        <w:spacing w:after="0" w:line="247"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970"/>
        <w:spacing w:after="0"/>
        <w:rPr>
          <w:sz w:val="20"/>
          <w:szCs w:val="20"/>
          <w:color w:val="auto"/>
        </w:rPr>
      </w:pPr>
      <w:r>
        <w:rPr>
          <w:rFonts w:ascii="Times New Roman" w:cs="Times New Roman" w:eastAsia="Times New Roman" w:hAnsi="Times New Roman"/>
          <w:sz w:val="16"/>
          <w:szCs w:val="16"/>
          <w:color w:val="0000FF"/>
        </w:rPr>
        <w:t>CEO and President</w:t>
      </w:r>
    </w:p>
    <w:p>
      <w:pPr>
        <w:spacing w:after="0" w:line="406" w:lineRule="exact"/>
        <w:rPr>
          <w:sz w:val="24"/>
          <w:szCs w:val="24"/>
          <w:color w:val="auto"/>
        </w:rPr>
      </w:pPr>
    </w:p>
    <w:p>
      <w:pPr>
        <w:sectPr>
          <w:pgSz w:w="11900" w:h="16838" w:orient="portrait"/>
          <w:cols w:equalWidth="0" w:num="3">
            <w:col w:w="3180" w:space="720"/>
            <w:col w:w="3110" w:space="720"/>
            <w:col w:w="3350"/>
          </w:cols>
          <w:pgMar w:left="460" w:top="215" w:right="359" w:bottom="676"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10006</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2" w:lineRule="exact"/>
        <w:rPr>
          <w:sz w:val="24"/>
          <w:szCs w:val="24"/>
          <w:color w:val="auto"/>
        </w:rPr>
      </w:pPr>
    </w:p>
    <w:p>
      <w:pPr>
        <w:sectPr>
          <w:pgSz w:w="11900" w:h="16838" w:orient="portrait"/>
          <w:cols w:equalWidth="0" w:num="2">
            <w:col w:w="3760" w:space="140"/>
            <w:col w:w="7180"/>
          </w:cols>
          <w:pgMar w:left="460" w:top="215" w:right="359" w:bottom="676"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180" w:type="dxa"/>
            <w:vAlign w:val="bottom"/>
          </w:tcPr>
          <w:p>
            <w:pPr>
              <w:spacing w:after="0"/>
              <w:rPr>
                <w:sz w:val="13"/>
                <w:szCs w:val="13"/>
                <w:color w:val="auto"/>
              </w:rPr>
            </w:pPr>
          </w:p>
        </w:tc>
        <w:tc>
          <w:tcPr>
            <w:tcW w:w="6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6"/>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820"/>
              <w:spacing w:after="0" w:line="126"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0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2680" w:type="dxa"/>
            <w:vAlign w:val="bottom"/>
            <w:gridSpan w:val="7"/>
          </w:tcPr>
          <w:p>
            <w:pPr>
              <w:ind w:left="60"/>
              <w:spacing w:after="0" w:line="126"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2"/>
          </w:tcPr>
          <w:p>
            <w:pPr>
              <w:ind w:left="820"/>
              <w:spacing w:after="0" w:line="126" w:lineRule="exact"/>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if any</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52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(Month/Day/Year)</w:t>
            </w:r>
          </w:p>
        </w:tc>
        <w:tc>
          <w:tcPr>
            <w:tcW w:w="64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60"/>
              <w:spacing w:after="0" w:line="126"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6"/>
                <w:szCs w:val="16"/>
                <w:color w:val="0000FF"/>
              </w:rPr>
              <w:t>11/12/2025</w:t>
            </w:r>
          </w:p>
        </w:tc>
        <w:tc>
          <w:tcPr>
            <w:tcW w:w="8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33,557</w:t>
            </w:r>
          </w:p>
        </w:tc>
        <w:tc>
          <w:tcPr>
            <w:tcW w:w="1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A</w:t>
            </w: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right"/>
              <w:ind w:right="6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10</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6"/>
                <w:szCs w:val="16"/>
                <w:color w:val="0000FF"/>
              </w:rPr>
              <w:t>294,716</w:t>
            </w:r>
            <w:r>
              <w:rPr>
                <w:rFonts w:ascii="Times New Roman" w:cs="Times New Roman" w:eastAsia="Times New Roman" w:hAnsi="Times New Roman"/>
                <w:sz w:val="20"/>
                <w:szCs w:val="20"/>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4"/>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of</w:t>
            </w:r>
          </w:p>
        </w:tc>
        <w:tc>
          <w:tcPr>
            <w:tcW w:w="150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5"/>
          </w:tcPr>
          <w:p>
            <w:pPr>
              <w:ind w:left="40"/>
              <w:spacing w:after="0" w:line="126"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6"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Derivative</w:t>
            </w:r>
          </w:p>
        </w:tc>
        <w:tc>
          <w:tcPr>
            <w:tcW w:w="150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5"/>
          </w:tcPr>
          <w:p>
            <w:pPr>
              <w:ind w:left="40"/>
              <w:spacing w:after="0" w:line="126"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82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5"/>
          </w:tcPr>
          <w:p>
            <w:pPr>
              <w:ind w:left="40"/>
              <w:spacing w:after="0" w:line="126"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Acquired</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(A) or</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6"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Disposed</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of (D) (Instr.</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gridSpan w:val="3"/>
          </w:tcPr>
          <w:p>
            <w:pPr>
              <w:ind w:left="80"/>
              <w:spacing w:after="0" w:line="126"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right"/>
              <w:ind w:right="264"/>
              <w:spacing w:after="0"/>
              <w:rPr>
                <w:sz w:val="20"/>
                <w:szCs w:val="20"/>
                <w:color w:val="auto"/>
              </w:rPr>
            </w:pPr>
            <w:r>
              <w:rPr>
                <w:rFonts w:ascii="Times New Roman" w:cs="Times New Roman" w:eastAsia="Times New Roman" w:hAnsi="Times New Roman"/>
                <w:sz w:val="10"/>
                <w:szCs w:val="10"/>
                <w:color w:val="008000"/>
              </w:rPr>
              <w:t>(2)</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vMerge w:val="restart"/>
          </w:tcPr>
          <w:p>
            <w:pPr>
              <w:jc w:val="right"/>
              <w:ind w:right="242"/>
              <w:spacing w:after="0"/>
              <w:rPr>
                <w:sz w:val="20"/>
                <w:szCs w:val="20"/>
                <w:color w:val="auto"/>
              </w:rPr>
            </w:pPr>
            <w:r>
              <w:rPr>
                <w:rFonts w:ascii="Times New Roman" w:cs="Times New Roman" w:eastAsia="Times New Roman" w:hAnsi="Times New Roman"/>
                <w:sz w:val="10"/>
                <w:szCs w:val="10"/>
                <w:color w:val="008000"/>
              </w:rPr>
              <w:t>(3)(4)</w:t>
            </w:r>
          </w:p>
        </w:tc>
        <w:tc>
          <w:tcPr>
            <w:tcW w:w="680" w:type="dxa"/>
            <w:vAlign w:val="bottom"/>
          </w:tcPr>
          <w:p>
            <w:pPr>
              <w:spacing w:after="0"/>
              <w:rPr>
                <w:sz w:val="15"/>
                <w:szCs w:val="15"/>
                <w:color w:val="auto"/>
              </w:rPr>
            </w:pPr>
          </w:p>
        </w:tc>
        <w:tc>
          <w:tcPr>
            <w:tcW w:w="480" w:type="dxa"/>
            <w:vAlign w:val="bottom"/>
          </w:tcPr>
          <w:p>
            <w:pPr>
              <w:jc w:val="center"/>
              <w:ind w:left="21"/>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1,607,717</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80" w:type="dxa"/>
            <w:vAlign w:val="bottom"/>
            <w:vMerge w:val="restart"/>
          </w:tcPr>
          <w:p>
            <w:pPr>
              <w:jc w:val="right"/>
              <w:ind w:right="20"/>
              <w:spacing w:after="0" w:line="138" w:lineRule="exact"/>
              <w:rPr>
                <w:sz w:val="20"/>
                <w:szCs w:val="20"/>
                <w:color w:val="auto"/>
              </w:rPr>
            </w:pPr>
            <w:r>
              <w:rPr>
                <w:rFonts w:ascii="Times New Roman" w:cs="Times New Roman" w:eastAsia="Times New Roman" w:hAnsi="Times New Roman"/>
                <w:sz w:val="13"/>
                <w:szCs w:val="13"/>
                <w:color w:val="0000FF"/>
                <w:w w:val="97"/>
              </w:rPr>
              <w:t>03/21/2028</w:t>
            </w:r>
          </w:p>
        </w:tc>
        <w:tc>
          <w:tcPr>
            <w:tcW w:w="620" w:type="dxa"/>
            <w:vAlign w:val="bottom"/>
            <w:gridSpan w:val="2"/>
            <w:vMerge w:val="restart"/>
          </w:tcPr>
          <w:p>
            <w:pPr>
              <w:ind w:left="4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ind w:left="140"/>
              <w:spacing w:after="0" w:line="138" w:lineRule="exact"/>
              <w:rPr>
                <w:sz w:val="20"/>
                <w:szCs w:val="20"/>
                <w:color w:val="auto"/>
              </w:rPr>
            </w:pPr>
            <w:r>
              <w:rPr>
                <w:rFonts w:ascii="Times New Roman" w:cs="Times New Roman" w:eastAsia="Times New Roman" w:hAnsi="Times New Roman"/>
                <w:sz w:val="13"/>
                <w:szCs w:val="13"/>
                <w:color w:val="0000FF"/>
              </w:rPr>
              <w:t>1,607,717</w:t>
            </w:r>
          </w:p>
        </w:tc>
        <w:tc>
          <w:tcPr>
            <w:tcW w:w="640" w:type="dxa"/>
            <w:vAlign w:val="bottom"/>
            <w:vMerge w:val="restart"/>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vMerge w:val="restart"/>
          </w:tcPr>
          <w:p>
            <w:pPr>
              <w:jc w:val="center"/>
              <w:ind w:left="21"/>
              <w:spacing w:after="0"/>
              <w:rPr>
                <w:sz w:val="20"/>
                <w:szCs w:val="20"/>
                <w:color w:val="auto"/>
              </w:rPr>
            </w:pPr>
            <w:r>
              <w:rPr>
                <w:rFonts w:ascii="Times New Roman" w:cs="Times New Roman" w:eastAsia="Times New Roman" w:hAnsi="Times New Roman"/>
                <w:sz w:val="13"/>
                <w:szCs w:val="13"/>
                <w:color w:val="0000FF"/>
                <w:w w:val="94"/>
              </w:rPr>
              <w:t>Stock</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vMerge w:val="restart"/>
          </w:tcPr>
          <w:p>
            <w:pPr>
              <w:jc w:val="center"/>
              <w:ind w:left="21"/>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gridSpan w:val="2"/>
            <w:vMerge w:val="restart"/>
          </w:tcPr>
          <w:p>
            <w:pPr>
              <w:jc w:val="right"/>
              <w:ind w:right="182"/>
              <w:spacing w:after="0"/>
              <w:rPr>
                <w:sz w:val="20"/>
                <w:szCs w:val="20"/>
                <w:color w:val="auto"/>
              </w:rPr>
            </w:pPr>
            <w:r>
              <w:rPr>
                <w:rFonts w:ascii="Times New Roman" w:cs="Times New Roman" w:eastAsia="Times New Roman" w:hAnsi="Times New Roman"/>
                <w:sz w:val="10"/>
                <w:szCs w:val="10"/>
                <w:color w:val="008000"/>
              </w:rPr>
              <w:t>(5)(6)(7)</w:t>
            </w:r>
          </w:p>
        </w:tc>
        <w:tc>
          <w:tcPr>
            <w:tcW w:w="680" w:type="dxa"/>
            <w:vAlign w:val="bottom"/>
            <w:vMerge w:val="restart"/>
          </w:tcPr>
          <w:p>
            <w:pPr>
              <w:jc w:val="right"/>
              <w:ind w:right="140"/>
              <w:spacing w:after="0"/>
              <w:rPr>
                <w:sz w:val="20"/>
                <w:szCs w:val="20"/>
                <w:color w:val="auto"/>
              </w:rPr>
            </w:pPr>
            <w:r>
              <w:rPr>
                <w:rFonts w:ascii="Times New Roman" w:cs="Times New Roman" w:eastAsia="Times New Roman" w:hAnsi="Times New Roman"/>
                <w:sz w:val="10"/>
                <w:szCs w:val="10"/>
                <w:color w:val="008000"/>
              </w:rPr>
              <w:t>(5)(6)(7)</w:t>
            </w:r>
          </w:p>
        </w:tc>
        <w:tc>
          <w:tcPr>
            <w:tcW w:w="4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jc w:val="right"/>
              <w:ind w:right="87"/>
              <w:spacing w:after="0"/>
              <w:rPr>
                <w:sz w:val="20"/>
                <w:szCs w:val="20"/>
                <w:color w:val="auto"/>
              </w:rPr>
            </w:pPr>
            <w:r>
              <w:rPr>
                <w:rFonts w:ascii="Times New Roman" w:cs="Times New Roman" w:eastAsia="Times New Roman" w:hAnsi="Times New Roman"/>
                <w:sz w:val="16"/>
                <w:szCs w:val="16"/>
                <w:color w:val="0000FF"/>
              </w:rPr>
              <w:t>33,557</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restart"/>
          </w:tcPr>
          <w:p>
            <w:pPr>
              <w:jc w:val="center"/>
              <w:ind w:right="2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w:t>
            </w:r>
          </w:p>
        </w:tc>
        <w:tc>
          <w:tcPr>
            <w:tcW w:w="1020" w:type="dxa"/>
            <w:vAlign w:val="bottom"/>
            <w:vMerge w:val="restart"/>
          </w:tcPr>
          <w:p>
            <w:pPr>
              <w:jc w:val="right"/>
              <w:ind w:right="142"/>
              <w:spacing w:after="0" w:line="138" w:lineRule="exact"/>
              <w:rPr>
                <w:sz w:val="20"/>
                <w:szCs w:val="20"/>
                <w:color w:val="auto"/>
              </w:rPr>
            </w:pPr>
            <w:r>
              <w:rPr>
                <w:rFonts w:ascii="Times New Roman" w:cs="Times New Roman" w:eastAsia="Times New Roman" w:hAnsi="Times New Roman"/>
                <w:sz w:val="13"/>
                <w:szCs w:val="13"/>
                <w:color w:val="0000FF"/>
              </w:rPr>
              <w:t>11/12/2025</w:t>
            </w:r>
          </w:p>
        </w:tc>
        <w:tc>
          <w:tcPr>
            <w:tcW w:w="1100" w:type="dxa"/>
            <w:vAlign w:val="bottom"/>
          </w:tcPr>
          <w:p>
            <w:pPr>
              <w:spacing w:after="0"/>
              <w:rPr>
                <w:sz w:val="6"/>
                <w:szCs w:val="6"/>
                <w:color w:val="auto"/>
              </w:rPr>
            </w:pPr>
          </w:p>
        </w:tc>
        <w:tc>
          <w:tcPr>
            <w:tcW w:w="720" w:type="dxa"/>
            <w:vAlign w:val="bottom"/>
            <w:vMerge w:val="restart"/>
          </w:tcPr>
          <w:p>
            <w:pPr>
              <w:ind w:left="1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820" w:type="dxa"/>
            <w:vAlign w:val="bottom"/>
            <w:vMerge w:val="restart"/>
          </w:tcPr>
          <w:p>
            <w:pPr>
              <w:ind w:left="420"/>
              <w:spacing w:after="0" w:line="138" w:lineRule="exact"/>
              <w:rPr>
                <w:sz w:val="20"/>
                <w:szCs w:val="20"/>
                <w:color w:val="auto"/>
              </w:rPr>
            </w:pPr>
            <w:r>
              <w:rPr>
                <w:rFonts w:ascii="Times New Roman" w:cs="Times New Roman" w:eastAsia="Times New Roman" w:hAnsi="Times New Roman"/>
                <w:sz w:val="13"/>
                <w:szCs w:val="13"/>
                <w:color w:val="0000FF"/>
              </w:rPr>
              <w:t>33,557</w:t>
            </w:r>
          </w:p>
        </w:tc>
        <w:tc>
          <w:tcPr>
            <w:tcW w:w="18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gridSpan w:val="2"/>
            <w:vMerge w:val="restart"/>
          </w:tcPr>
          <w:p>
            <w:pPr>
              <w:ind w:left="4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ind w:left="140"/>
              <w:spacing w:after="0" w:line="138" w:lineRule="exact"/>
              <w:rPr>
                <w:sz w:val="20"/>
                <w:szCs w:val="20"/>
                <w:color w:val="auto"/>
              </w:rPr>
            </w:pPr>
            <w:r>
              <w:rPr>
                <w:rFonts w:ascii="Times New Roman" w:cs="Times New Roman" w:eastAsia="Times New Roman" w:hAnsi="Times New Roman"/>
                <w:sz w:val="13"/>
                <w:szCs w:val="13"/>
                <w:color w:val="0000FF"/>
              </w:rPr>
              <w:t>1,308,725</w:t>
            </w:r>
          </w:p>
        </w:tc>
        <w:tc>
          <w:tcPr>
            <w:tcW w:w="640" w:type="dxa"/>
            <w:vAlign w:val="bottom"/>
            <w:vMerge w:val="restart"/>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vMerge w:val="restart"/>
          </w:tcPr>
          <w:p>
            <w:pPr>
              <w:jc w:val="center"/>
              <w:ind w:left="21"/>
              <w:spacing w:after="0"/>
              <w:rPr>
                <w:sz w:val="20"/>
                <w:szCs w:val="20"/>
                <w:color w:val="auto"/>
              </w:rPr>
            </w:pPr>
            <w:r>
              <w:rPr>
                <w:rFonts w:ascii="Times New Roman" w:cs="Times New Roman" w:eastAsia="Times New Roman" w:hAnsi="Times New Roman"/>
                <w:sz w:val="13"/>
                <w:szCs w:val="13"/>
                <w:color w:val="0000FF"/>
                <w:w w:val="94"/>
              </w:rPr>
              <w:t>Stock</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-2226945</wp:posOffset>
            </wp:positionV>
            <wp:extent cx="28575" cy="2232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3266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60" w:hanging="2"/>
        <w:spacing w:after="0" w:line="244"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11,426 restricted stock units ("RSUs"). Each RSU represents a contingent right to receive one share of the issuer's Class A Common Stock. The RSUs will vest on March 21, 2026, subject to the reporting person's continued employment with the issuer as of the vesting date.</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an inducement grant of performance stock units ("PSUs"). Each PSU represents a contingent right to receive one share of the issuer's Class A Common Stock.</w:t>
      </w:r>
    </w:p>
    <w:p>
      <w:pPr>
        <w:spacing w:after="0" w:line="38" w:lineRule="exact"/>
        <w:rPr>
          <w:rFonts w:ascii="Times New Roman" w:cs="Times New Roman" w:eastAsia="Times New Roman" w:hAnsi="Times New Roman"/>
          <w:sz w:val="13"/>
          <w:szCs w:val="13"/>
          <w:color w:val="008000"/>
        </w:rPr>
      </w:pPr>
    </w:p>
    <w:p>
      <w:pPr>
        <w:ind w:left="40" w:right="240" w:hanging="2"/>
        <w:spacing w:after="0" w:line="262"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PSUs shall be eligible to vest over a three-year performance period following March 21, 2025 (the "Vesting Commencement Date") based on attainment of certain stock price metrics as provided below (the "Performance Period"). A total of 535,909 of the total PSUs will vest, subject to the reporting person's continued employment with the issuer through such vesting date, if the issuer's stock price (measured based on a rolling 90-day volume-weighted average price "VWAP") appreciates at any point during the Performance Period by100% above $9.33 per share (the "Reference Price"). [Continued to footnote 4]</w:t>
      </w:r>
    </w:p>
    <w:p>
      <w:pPr>
        <w:spacing w:after="0" w:line="12" w:lineRule="exact"/>
        <w:rPr>
          <w:rFonts w:ascii="Times New Roman" w:cs="Times New Roman" w:eastAsia="Times New Roman" w:hAnsi="Times New Roman"/>
          <w:sz w:val="12"/>
          <w:szCs w:val="12"/>
          <w:color w:val="008000"/>
        </w:rPr>
      </w:pPr>
    </w:p>
    <w:p>
      <w:pPr>
        <w:ind w:left="40" w:right="340" w:hanging="2"/>
        <w:spacing w:after="0" w:line="231"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3] For each additional 25% of stock price appreciation (measured based on a rolling 90-day VWAP) above the Reference Price during the Performance Period, limited to a maximum of eight (8) additional vesting tranches, an additional 133,976PSUs will vest, subject to the reporting person's continued employment with the issuer through such vesting date. No PSUs will vest in the event that the issuer's stock price (measured based on a rolling 90-day VWAP) does not appreciate above the Reference Price by at least 100% during the Performance Period. Any PSUs that satisfy the above vesting conditions prior to the first anniversary of the Vesting Commencement Date will not vest unless and until the first anniversary of the Vesting Commencement Date.</w:t>
      </w:r>
    </w:p>
    <w:p>
      <w:pPr>
        <w:spacing w:after="0" w:line="26" w:lineRule="exact"/>
        <w:rPr>
          <w:rFonts w:ascii="Times New Roman" w:cs="Times New Roman" w:eastAsia="Times New Roman" w:hAnsi="Times New Roman"/>
          <w:sz w:val="13"/>
          <w:szCs w:val="13"/>
          <w:color w:val="008000"/>
        </w:rPr>
      </w:pPr>
    </w:p>
    <w:p>
      <w:pPr>
        <w:jc w:val="both"/>
        <w:ind w:left="40" w:right="220" w:hanging="2"/>
        <w:spacing w:after="0" w:line="231"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to purchase shares of the Issuer's Class A Common Stock ("Options") granted on July 29, 2025, contingent on the Issuer's shareholder approval, which was obtained on October 31, 2025. The Options are a commitment by the grantee to exercise a predetermined number of Options every quarter for eight quarters (the "Committed Options") at an exercise price per share equal to $10,00, which reflects the fair market value of a share of Class A Common Stock on the grant date. If the reporting person does not exercise the Committed Options in any quarter, then all remaining Options are forfeited. One-eighth of the Options will become exercisable each quarter (each, a "Quarterly Tranche"). [Continued to footnote 6]</w:t>
      </w:r>
    </w:p>
    <w:p>
      <w:pPr>
        <w:spacing w:after="0" w:line="26" w:lineRule="exact"/>
        <w:rPr>
          <w:rFonts w:ascii="Times New Roman" w:cs="Times New Roman" w:eastAsia="Times New Roman" w:hAnsi="Times New Roman"/>
          <w:sz w:val="13"/>
          <w:szCs w:val="13"/>
          <w:color w:val="008000"/>
        </w:rPr>
      </w:pPr>
    </w:p>
    <w:p>
      <w:pPr>
        <w:ind w:left="40" w:right="200" w:hanging="2"/>
        <w:spacing w:after="0" w:line="262"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5] The Committed Options will be exercisable over a two-day period in the applicable quarter (the "Exercise Period"); provided that if the Exercise Period for a Quarterly Tranche occurs during a blackout period, then such Exercise Period shall instead be the next quarterly Exercise Period. If the reporting person exercises the Committed Option portion, the remainder of that Quarterly Tranche (the "Optional Exercise Options") will become exercisable for a period of one year. The Optional Exercise Option portion of any Quarterly Tranche will expire at the end of such one-year period. [Continued to footnote 7]</w:t>
      </w:r>
    </w:p>
    <w:p>
      <w:pPr>
        <w:spacing w:after="0" w:line="12" w:lineRule="exact"/>
        <w:rPr>
          <w:rFonts w:ascii="Times New Roman" w:cs="Times New Roman" w:eastAsia="Times New Roman" w:hAnsi="Times New Roman"/>
          <w:sz w:val="12"/>
          <w:szCs w:val="12"/>
          <w:color w:val="008000"/>
        </w:rPr>
      </w:pPr>
    </w:p>
    <w:p>
      <w:pPr>
        <w:ind w:left="40" w:right="28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6] Notwithstanding the foregoing exercise schedule, following the first quarter after stockholder approval of the Options, any portion of the Options may be exercised earlier than the applicable quarter, provided that shares of Class A Common Stock acquired on exercise of the Optional Exercise Options will be subject to a lock-up period so that the shares acquired on exercise may not be sold or transferred until the originally-scheduled exercise date.</w:t>
      </w:r>
    </w:p>
    <w:p>
      <w:pPr>
        <w:spacing w:after="0" w:line="4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/s/ Paul Simmons Attorney-in-</w:t>
            </w:r>
          </w:p>
        </w:tc>
        <w:tc>
          <w:tcPr>
            <w:tcW w:w="200" w:type="dxa"/>
            <w:vAlign w:val="bottom"/>
            <w:gridSpan w:val="2"/>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11/14/2025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200" w:type="dxa"/>
            <w:vAlign w:val="bottom"/>
            <w:gridSpan w:val="3"/>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Fact for Akshay Sudhir Naheta</w:t>
            </w:r>
          </w:p>
        </w:tc>
        <w:tc>
          <w:tcPr>
            <w:tcW w:w="740" w:type="dxa"/>
            <w:vAlign w:val="bottom"/>
            <w:tcBorders>
              <w:bottom w:val="single" w:sz="8" w:color="auto"/>
            </w:tcBorders>
            <w:vMerge w:val="continue"/>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2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6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2543"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2025-11-14T20:42:58Z</dcterms:created>
  <dcterms:modified xsi:type="dcterms:W3CDTF">2025-11-14T20:42:58Z</dcterms:modified>
</cp:coreProperties>
</file>