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8"/>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626110</wp:posOffset>
            </wp:positionV>
            <wp:extent cx="71780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660400</wp:posOffset>
            </wp:positionV>
            <wp:extent cx="71780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7145"/>
                    </a:xfrm>
                    <a:prstGeom prst="rect">
                      <a:avLst/>
                    </a:prstGeom>
                    <a:noFill/>
                  </pic:spPr>
                </pic:pic>
              </a:graphicData>
            </a:graphic>
          </wp:anchor>
        </w:drawing>
        <w:t>UNITED STATES</w:t>
      </w:r>
    </w:p>
    <w:p>
      <w:pPr>
        <w:spacing w:after="0" w:line="66"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4" w:lineRule="exact"/>
        <w:rPr>
          <w:sz w:val="24"/>
          <w:szCs w:val="24"/>
          <w:color w:val="auto"/>
        </w:rPr>
      </w:pPr>
    </w:p>
    <w:p>
      <w:pPr>
        <w:ind w:left="5028"/>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85"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7"/>
          <w:szCs w:val="17"/>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21"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2"/>
          <w:szCs w:val="12"/>
          <w:b w:val="1"/>
          <w:bCs w:val="1"/>
          <w:color w:val="auto"/>
        </w:rPr>
        <w:t>PROXY STATEMENT PURSUANT TO SECTION 14(a) OF THE</w:t>
      </w:r>
    </w:p>
    <w:p>
      <w:pPr>
        <w:spacing w:after="0" w:line="13"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20"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Filed by the Registrant </w:t>
      </w:r>
      <w:r>
        <w:rPr>
          <w:rFonts w:ascii="MS PGothic" w:cs="MS PGothic" w:eastAsia="MS PGothic" w:hAnsi="MS PGothic"/>
          <w:sz w:val="12"/>
          <w:szCs w:val="12"/>
          <w:color w:val="auto"/>
        </w:rPr>
        <w:t>☒</w:t>
      </w:r>
    </w:p>
    <w:p>
      <w:pPr>
        <w:spacing w:after="0" w:line="69"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Filed by a party other than the Registrant </w:t>
      </w:r>
      <w:r>
        <w:rPr>
          <w:rFonts w:ascii="MS PGothic" w:cs="MS PGothic" w:eastAsia="MS PGothic" w:hAnsi="MS PGothic"/>
          <w:sz w:val="12"/>
          <w:szCs w:val="12"/>
          <w:color w:val="auto"/>
        </w:rPr>
        <w:t>☐</w:t>
      </w:r>
    </w:p>
    <w:p>
      <w:pPr>
        <w:spacing w:after="0" w:line="88"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w:t>
      </w:r>
    </w:p>
    <w:p>
      <w:pPr>
        <w:spacing w:after="0" w:line="69" w:lineRule="exact"/>
        <w:rPr>
          <w:sz w:val="24"/>
          <w:szCs w:val="24"/>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Preliminary Proxy Statement</w:t>
      </w:r>
    </w:p>
    <w:p>
      <w:pPr>
        <w:spacing w:after="0" w:line="56"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Confidential, for Use of the Commission Only (as permitted by Rule 14a-6(e)(2))</w:t>
      </w:r>
    </w:p>
    <w:p>
      <w:pPr>
        <w:spacing w:after="0" w:line="44" w:lineRule="exact"/>
        <w:rPr>
          <w:rFonts w:ascii="MS PGothic" w:cs="MS PGothic" w:eastAsia="MS PGothic" w:hAnsi="MS PGothic"/>
          <w:sz w:val="12"/>
          <w:szCs w:val="12"/>
          <w:color w:val="auto"/>
        </w:rPr>
      </w:pPr>
    </w:p>
    <w:p>
      <w:pPr>
        <w:ind w:left="8"/>
        <w:spacing w:after="0" w:line="138" w:lineRule="exact"/>
        <w:rPr>
          <w:rFonts w:ascii="MS PGothic" w:cs="MS PGothic" w:eastAsia="MS PGothic" w:hAnsi="MS PGothic"/>
          <w:sz w:val="12"/>
          <w:szCs w:val="12"/>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Definitive Proxy Statement</w:t>
      </w:r>
    </w:p>
    <w:p>
      <w:pPr>
        <w:spacing w:after="0" w:line="88"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Definitive Additional Materials</w:t>
      </w:r>
    </w:p>
    <w:p>
      <w:pPr>
        <w:spacing w:after="0" w:line="69"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§240.14a-12</w:t>
      </w:r>
    </w:p>
    <w:p>
      <w:pPr>
        <w:spacing w:after="0" w:line="97"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7"/>
          <w:szCs w:val="17"/>
          <w:b w:val="1"/>
          <w:bCs w:val="1"/>
          <w:color w:val="auto"/>
        </w:rPr>
        <w:t>BAKKT,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9" w:lineRule="exact"/>
        <w:rPr>
          <w:sz w:val="24"/>
          <w:szCs w:val="24"/>
          <w:color w:val="auto"/>
        </w:rPr>
      </w:pPr>
    </w:p>
    <w:p>
      <w:pPr>
        <w:ind w:left="4428"/>
        <w:spacing w:after="0"/>
        <w:rPr>
          <w:sz w:val="20"/>
          <w:szCs w:val="20"/>
          <w:color w:val="auto"/>
        </w:rPr>
      </w:pPr>
      <w:r>
        <w:rPr>
          <w:rFonts w:ascii="Times New Roman" w:cs="Times New Roman" w:eastAsia="Times New Roman" w:hAnsi="Times New Roman"/>
          <w:sz w:val="12"/>
          <w:szCs w:val="12"/>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173355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92" w:lineRule="exact"/>
        <w:rPr>
          <w:sz w:val="24"/>
          <w:szCs w:val="24"/>
          <w:color w:val="auto"/>
        </w:rPr>
      </w:pPr>
    </w:p>
    <w:p>
      <w:pPr>
        <w:jc w:val="right"/>
        <w:ind w:right="2659"/>
        <w:spacing w:after="0"/>
        <w:rPr>
          <w:sz w:val="20"/>
          <w:szCs w:val="20"/>
          <w:color w:val="auto"/>
        </w:rPr>
      </w:pPr>
      <w:r>
        <w:rPr>
          <w:rFonts w:ascii="Times New Roman" w:cs="Times New Roman" w:eastAsia="Times New Roman" w:hAnsi="Times New Roman"/>
          <w:sz w:val="12"/>
          <w:szCs w:val="12"/>
          <w:b w:val="1"/>
          <w:bCs w:val="1"/>
          <w:color w:val="auto"/>
        </w:rPr>
        <w:t>(Name of Person(s) Filing Proxy Statement, if other than the Registrant)</w:t>
      </w:r>
    </w:p>
    <w:p>
      <w:pPr>
        <w:spacing w:after="0" w:line="7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Payment of Filing Fee (Check all boxes that apply):</w:t>
      </w:r>
    </w:p>
    <w:p>
      <w:pPr>
        <w:spacing w:after="0" w:line="60" w:lineRule="exact"/>
        <w:rPr>
          <w:sz w:val="24"/>
          <w:szCs w:val="24"/>
          <w:color w:val="auto"/>
        </w:rPr>
      </w:pPr>
    </w:p>
    <w:p>
      <w:pPr>
        <w:ind w:left="228" w:hanging="228"/>
        <w:spacing w:after="0"/>
        <w:tabs>
          <w:tab w:leader="none" w:pos="22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No fee required.</w:t>
      </w:r>
    </w:p>
    <w:p>
      <w:pPr>
        <w:spacing w:after="0" w:line="69" w:lineRule="exact"/>
        <w:rPr>
          <w:sz w:val="24"/>
          <w:szCs w:val="24"/>
          <w:color w:val="auto"/>
        </w:rPr>
      </w:pPr>
    </w:p>
    <w:p>
      <w:pPr>
        <w:ind w:left="228" w:hanging="228"/>
        <w:spacing w:after="0"/>
        <w:tabs>
          <w:tab w:leader="none" w:pos="228"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Fee paid previously with preliminary materials.</w:t>
      </w:r>
    </w:p>
    <w:p>
      <w:pPr>
        <w:spacing w:after="0" w:line="60" w:lineRule="exact"/>
        <w:rPr>
          <w:rFonts w:ascii="MS PGothic" w:cs="MS PGothic" w:eastAsia="MS PGothic" w:hAnsi="MS PGothic"/>
          <w:sz w:val="12"/>
          <w:szCs w:val="12"/>
          <w:color w:val="auto"/>
        </w:rPr>
      </w:pPr>
    </w:p>
    <w:p>
      <w:pPr>
        <w:ind w:left="228" w:hanging="228"/>
        <w:spacing w:after="0"/>
        <w:tabs>
          <w:tab w:leader="none" w:pos="228"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975360</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302260</wp:posOffset>
            </wp:positionV>
            <wp:extent cx="71780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336550</wp:posOffset>
            </wp:positionV>
            <wp:extent cx="71780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147955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7"/>
          </w:cols>
          <w:pgMar w:left="292" w:top="1057"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637540</wp:posOffset>
            </wp:positionV>
            <wp:extent cx="2314575" cy="651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314575" cy="65151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Amendment to the Proxy Statement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 the Annual Meeting of Stockholders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To be Held on June 23, 2026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Explanatory Note</w:t>
      </w:r>
    </w:p>
    <w:p>
      <w:pPr>
        <w:spacing w:after="0" w:line="172"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On April 30, 2026, Bakkt, Inc. (“Bakkt” or the “Company”) filed its definitive proxy statement (the “Proxy Statement”) with the Securities and Exchange Commission (“SEC”) for its annual meeting of stockholders to be held on June 23, 2026 (the “Annual Meeting”).</w:t>
      </w:r>
    </w:p>
    <w:p>
      <w:pPr>
        <w:spacing w:after="0" w:line="12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The Company is filing this amendment to the Proxy Statement (this “Amendment”) to (i) correct the number of outstanding shares of the Company’s Class A common stock as of the record date for the Annual Meeting, (ii) correct certain disclosures relating to director and officer compensation, including by replacing the disclosures under “Compensation Tables— Outstanding Equity Awards at Fiscal 2025 Year-End” and “Equity Compensation Plan Information —Pay Versus Performance” for the fiscal year ended December 31, 2025, and (iii) replace the form of proxy card included in the Proxy Statement.</w:t>
      </w:r>
    </w:p>
    <w:p>
      <w:pPr>
        <w:spacing w:after="0" w:line="1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This Amendment consists of the cover page, this explanatory note, revised and supplemental disclosure under the sections of the Proxy Statement identified below and the corrected form of proxy card. Except as specifically amended or supplemented by this Amendment, no other changes have been made to the Proxy Statement. This Amendment does not reflect events occurring after the date of the Proxy Statement and does not update any disclosures contained in the Proxy Statement to reflect facts or events occurring after the date of the Proxy Statement, except to the extent expressly set forth herein.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THIS AMENDMENT SHOULD BE READ IN CONJUNCTION WITH THE PROXY STATEMENT.</w:t>
      </w:r>
    </w:p>
    <w:p>
      <w:pPr>
        <w:spacing w:after="0" w:line="17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2"/>
          <w:szCs w:val="12"/>
          <w:i w:val="1"/>
          <w:iCs w:val="1"/>
          <w:color w:val="auto"/>
        </w:rPr>
        <w:t>The information in this Amendment should be read in conjunction with the Proxy Statement, which should be read in its entirety. Section references in the below disclosures are to sections in the Proxy Statement, and defined terms used but not defined herein have the meanings set forth in the Proxy Statement. To the extent the following information differs from or conflicts with the information contained in the Proxy Statement, the information set forth below shall be deemed to supersede the respective information in the Proxy Statement.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Amendments and Supplemental Disclosure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Proxy Statement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 Information Concerning Solicitation and Voting—Record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second sentence under “Record Date” is amended and restated in its entirety as follows: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that date, the Company had outstanding 30,761,371 shares of Class A common stock (“Common Stock”), par value $0.0001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798195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u w:val="single" w:color="auto"/>
          <w:color w:val="auto"/>
        </w:rPr>
        <w:t>Compensation Tables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section below entitled “Outstanding Equity Awards at Fiscal 2025 Year-End” is inserted into the Proxy Statement and will replace the previous section under “Compensation Tables—Outstanding Equity Awards at Fiscal 2025 Year-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End” in its entirety as follows: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45556C"/>
        </w:rPr>
        <w:t>Outstanding Equity Awards at Fiscal 2025 Year-End</w:t>
      </w:r>
    </w:p>
    <w:p>
      <w:pPr>
        <w:spacing w:after="0" w:line="17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2"/>
          <w:szCs w:val="12"/>
          <w:color w:val="auto"/>
        </w:rPr>
        <w:t xml:space="preserve">Bakkt Opco Holdings, LLC (“Opco”), previously maintained a profits interests plan (the “Opco Plan”), for the award of Opco Incentive Units, through Opco Management, to participants, and Opco Participation Units, directly to participants. Awards of Opco Incentive Units included awards of common incentive units and preferred incentive units, each intended to represent a “profits interests” for U.S. tax purposes and each corresponded to incentive units of Opco Management issued by Opco Management to participants. The purpose of the Opco Plan was to promote the interests of Opco by attracting and retaining key employees, directors, independent contractors or other service providers of Opco and to enable such individuals to acquire an equity interest in and participate in the long-term growth and financial success of Opco. The profits interests represented a membership interest in Opco and entitled the holder to receive distributions in Opco once a specified threshold equity value of Opco had been reached, in each case as provided in the Opco operating agreement. The preferred incentive units are also entitled to disproportionate distributions once the participant’s applicable threshold equity value has been reduced to zero in order to “catch-up” such participant’s total distributions to its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color w:val="auto"/>
        </w:rPr>
        <w:t xml:space="preserve"> share. In fiscal 2025, the Company granted RSUs pursuant to the 2021 Plan, the Options pursuant to the Option Program and the Naheta Inducement Grant pursuant to NYSE Listing Rule 303A.08 and without stockholder approval. The following table sets forth information regarding outstanding equity awards held by our named executive officers as of December 31, 2025. The market value of the RSUs, the Options and the RSUs and PSUs subject to the Naheta Inducement Grant was calculated based on the NYSE closing price of the Common Stock on December 31, 2025 (the last trading day in fiscal 2025) of $10.04.</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160" w:type="dxa"/>
            <w:vAlign w:val="bottom"/>
            <w:tcBorders>
              <w:top w:val="single" w:sz="8" w:color="auto"/>
              <w:left w:val="single" w:sz="8" w:color="auto"/>
              <w:bottom w:val="single" w:sz="8" w:color="auto"/>
              <w:right w:val="single" w:sz="8" w:color="45556C"/>
            </w:tcBorders>
            <w:shd w:val="clear" w:color="auto" w:fill="45556C"/>
          </w:tcPr>
          <w:p>
            <w:pPr>
              <w:spacing w:after="0"/>
              <w:rPr>
                <w:sz w:val="12"/>
                <w:szCs w:val="12"/>
                <w:color w:val="auto"/>
              </w:rPr>
            </w:pPr>
          </w:p>
        </w:tc>
        <w:tc>
          <w:tcPr>
            <w:tcW w:w="1140" w:type="dxa"/>
            <w:vAlign w:val="bottom"/>
            <w:tcBorders>
              <w:top w:val="single" w:sz="8" w:color="auto"/>
              <w:bottom w:val="single" w:sz="8" w:color="auto"/>
              <w:right w:val="single" w:sz="8" w:color="45556C"/>
            </w:tcBorders>
            <w:shd w:val="clear" w:color="auto" w:fill="45556C"/>
          </w:tcPr>
          <w:p>
            <w:pPr>
              <w:spacing w:after="0"/>
              <w:rPr>
                <w:sz w:val="12"/>
                <w:szCs w:val="12"/>
                <w:color w:val="auto"/>
              </w:rPr>
            </w:pPr>
          </w:p>
        </w:tc>
        <w:tc>
          <w:tcPr>
            <w:tcW w:w="1120" w:type="dxa"/>
            <w:vAlign w:val="bottom"/>
            <w:tcBorders>
              <w:top w:val="single" w:sz="8" w:color="auto"/>
              <w:bottom w:val="single" w:sz="8" w:color="auto"/>
              <w:right w:val="single" w:sz="8" w:color="45556C"/>
            </w:tcBorders>
            <w:shd w:val="clear" w:color="auto" w:fill="45556C"/>
          </w:tcPr>
          <w:p>
            <w:pPr>
              <w:spacing w:after="0"/>
              <w:rPr>
                <w:sz w:val="12"/>
                <w:szCs w:val="12"/>
                <w:color w:val="auto"/>
              </w:rPr>
            </w:pPr>
          </w:p>
        </w:tc>
        <w:tc>
          <w:tcPr>
            <w:tcW w:w="1120" w:type="dxa"/>
            <w:vAlign w:val="bottom"/>
            <w:tcBorders>
              <w:top w:val="single" w:sz="8" w:color="auto"/>
              <w:bottom w:val="single" w:sz="8" w:color="auto"/>
              <w:right w:val="single" w:sz="8" w:color="45556C"/>
            </w:tcBorders>
            <w:shd w:val="clear" w:color="auto" w:fill="45556C"/>
          </w:tcPr>
          <w:p>
            <w:pPr>
              <w:ind w:left="200"/>
              <w:spacing w:after="0"/>
              <w:rPr>
                <w:sz w:val="20"/>
                <w:szCs w:val="20"/>
                <w:color w:val="auto"/>
              </w:rPr>
            </w:pPr>
            <w:r>
              <w:rPr>
                <w:rFonts w:ascii="Times New Roman" w:cs="Times New Roman" w:eastAsia="Times New Roman" w:hAnsi="Times New Roman"/>
                <w:sz w:val="10"/>
                <w:szCs w:val="10"/>
                <w:b w:val="1"/>
                <w:bCs w:val="1"/>
                <w:color w:val="FFFFFF"/>
              </w:rPr>
              <w:t>Option Awards</w:t>
            </w:r>
          </w:p>
        </w:tc>
        <w:tc>
          <w:tcPr>
            <w:tcW w:w="160" w:type="dxa"/>
            <w:vAlign w:val="bottom"/>
            <w:tcBorders>
              <w:top w:val="single" w:sz="8" w:color="auto"/>
              <w:bottom w:val="single" w:sz="8" w:color="auto"/>
            </w:tcBorders>
            <w:shd w:val="clear" w:color="auto" w:fill="45556C"/>
          </w:tcPr>
          <w:p>
            <w:pPr>
              <w:spacing w:after="0"/>
              <w:rPr>
                <w:sz w:val="12"/>
                <w:szCs w:val="12"/>
                <w:color w:val="auto"/>
              </w:rPr>
            </w:pPr>
          </w:p>
        </w:tc>
        <w:tc>
          <w:tcPr>
            <w:tcW w:w="660" w:type="dxa"/>
            <w:vAlign w:val="bottom"/>
            <w:tcBorders>
              <w:top w:val="single" w:sz="8" w:color="auto"/>
              <w:bottom w:val="single" w:sz="8" w:color="auto"/>
            </w:tcBorders>
            <w:shd w:val="clear" w:color="auto" w:fill="45556C"/>
          </w:tcPr>
          <w:p>
            <w:pPr>
              <w:spacing w:after="0"/>
              <w:rPr>
                <w:sz w:val="12"/>
                <w:szCs w:val="12"/>
                <w:color w:val="auto"/>
              </w:rPr>
            </w:pPr>
          </w:p>
        </w:tc>
        <w:tc>
          <w:tcPr>
            <w:tcW w:w="300" w:type="dxa"/>
            <w:vAlign w:val="bottom"/>
            <w:tcBorders>
              <w:top w:val="single" w:sz="8" w:color="auto"/>
              <w:bottom w:val="single" w:sz="8" w:color="auto"/>
              <w:right w:val="single" w:sz="8" w:color="45556C"/>
            </w:tcBorders>
            <w:shd w:val="clear" w:color="auto" w:fill="45556C"/>
          </w:tcPr>
          <w:p>
            <w:pPr>
              <w:spacing w:after="0"/>
              <w:rPr>
                <w:sz w:val="12"/>
                <w:szCs w:val="12"/>
                <w:color w:val="auto"/>
              </w:rPr>
            </w:pPr>
          </w:p>
        </w:tc>
        <w:tc>
          <w:tcPr>
            <w:tcW w:w="1120" w:type="dxa"/>
            <w:vAlign w:val="bottom"/>
            <w:tcBorders>
              <w:top w:val="single" w:sz="8" w:color="auto"/>
              <w:bottom w:val="single" w:sz="8" w:color="auto"/>
              <w:right w:val="single" w:sz="8" w:color="45556C"/>
            </w:tcBorders>
            <w:shd w:val="clear" w:color="auto" w:fill="45556C"/>
          </w:tcPr>
          <w:p>
            <w:pPr>
              <w:spacing w:after="0"/>
              <w:rPr>
                <w:sz w:val="12"/>
                <w:szCs w:val="12"/>
                <w:color w:val="auto"/>
              </w:rPr>
            </w:pPr>
          </w:p>
        </w:tc>
        <w:tc>
          <w:tcPr>
            <w:tcW w:w="1100" w:type="dxa"/>
            <w:vAlign w:val="bottom"/>
            <w:tcBorders>
              <w:top w:val="single" w:sz="8" w:color="auto"/>
              <w:bottom w:val="single" w:sz="8" w:color="auto"/>
              <w:right w:val="single" w:sz="8" w:color="auto"/>
            </w:tcBorders>
            <w:shd w:val="clear" w:color="auto" w:fill="45556C"/>
          </w:tcPr>
          <w:p>
            <w:pPr>
              <w:spacing w:after="0"/>
              <w:rPr>
                <w:sz w:val="12"/>
                <w:szCs w:val="12"/>
                <w:color w:val="auto"/>
              </w:rPr>
            </w:pPr>
          </w:p>
        </w:tc>
        <w:tc>
          <w:tcPr>
            <w:tcW w:w="1120" w:type="dxa"/>
            <w:vAlign w:val="bottom"/>
            <w:tcBorders>
              <w:top w:val="single" w:sz="8" w:color="auto"/>
              <w:bottom w:val="single" w:sz="8" w:color="auto"/>
              <w:right w:val="single" w:sz="8" w:color="45556C"/>
            </w:tcBorders>
            <w:shd w:val="clear" w:color="auto" w:fill="45556C"/>
          </w:tcPr>
          <w:p>
            <w:pPr>
              <w:spacing w:after="0"/>
              <w:rPr>
                <w:sz w:val="12"/>
                <w:szCs w:val="12"/>
                <w:color w:val="auto"/>
              </w:rPr>
            </w:pPr>
          </w:p>
        </w:tc>
        <w:tc>
          <w:tcPr>
            <w:tcW w:w="1120" w:type="dxa"/>
            <w:vAlign w:val="bottom"/>
            <w:tcBorders>
              <w:top w:val="single" w:sz="8" w:color="auto"/>
              <w:bottom w:val="single" w:sz="8" w:color="auto"/>
              <w:right w:val="single" w:sz="8" w:color="45556C"/>
            </w:tcBorders>
            <w:shd w:val="clear" w:color="auto" w:fill="45556C"/>
          </w:tcPr>
          <w:p>
            <w:pPr>
              <w:jc w:val="center"/>
              <w:spacing w:after="0"/>
              <w:rPr>
                <w:sz w:val="20"/>
                <w:szCs w:val="20"/>
                <w:color w:val="auto"/>
              </w:rPr>
            </w:pPr>
            <w:r>
              <w:rPr>
                <w:rFonts w:ascii="Times New Roman" w:cs="Times New Roman" w:eastAsia="Times New Roman" w:hAnsi="Times New Roman"/>
                <w:sz w:val="10"/>
                <w:szCs w:val="10"/>
                <w:b w:val="1"/>
                <w:bCs w:val="1"/>
                <w:color w:val="FFFFFF"/>
                <w:w w:val="93"/>
              </w:rPr>
              <w:t>Stock Awards</w:t>
            </w:r>
          </w:p>
        </w:tc>
        <w:tc>
          <w:tcPr>
            <w:tcW w:w="40" w:type="dxa"/>
            <w:vAlign w:val="bottom"/>
            <w:tcBorders>
              <w:top w:val="single" w:sz="8" w:color="auto"/>
              <w:bottom w:val="single" w:sz="8" w:color="auto"/>
            </w:tcBorders>
            <w:shd w:val="clear" w:color="auto" w:fill="45556C"/>
          </w:tcPr>
          <w:p>
            <w:pPr>
              <w:spacing w:after="0"/>
              <w:rPr>
                <w:sz w:val="12"/>
                <w:szCs w:val="12"/>
                <w:color w:val="auto"/>
              </w:rPr>
            </w:pPr>
          </w:p>
        </w:tc>
        <w:tc>
          <w:tcPr>
            <w:tcW w:w="1080" w:type="dxa"/>
            <w:vAlign w:val="bottom"/>
            <w:tcBorders>
              <w:top w:val="single" w:sz="8" w:color="auto"/>
              <w:bottom w:val="single" w:sz="8" w:color="auto"/>
              <w:right w:val="single" w:sz="8" w:color="auto"/>
            </w:tcBorders>
            <w:shd w:val="clear" w:color="auto" w:fill="45556C"/>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1160" w:type="dxa"/>
            <w:vAlign w:val="bottom"/>
            <w:tcBorders>
              <w:left w:val="single" w:sz="8" w:color="auto"/>
              <w:right w:val="single" w:sz="8" w:color="auto"/>
            </w:tcBorders>
            <w:shd w:val="clear" w:color="auto" w:fill="45556C"/>
          </w:tcPr>
          <w:p>
            <w:pPr>
              <w:spacing w:after="0"/>
              <w:rPr>
                <w:sz w:val="7"/>
                <w:szCs w:val="7"/>
                <w:color w:val="auto"/>
              </w:rPr>
            </w:pPr>
          </w:p>
        </w:tc>
        <w:tc>
          <w:tcPr>
            <w:tcW w:w="1140" w:type="dxa"/>
            <w:vAlign w:val="bottom"/>
            <w:tcBorders>
              <w:right w:val="single" w:sz="8" w:color="auto"/>
            </w:tcBorders>
            <w:shd w:val="clear" w:color="auto" w:fill="45556C"/>
          </w:tcPr>
          <w:p>
            <w:pPr>
              <w:spacing w:after="0"/>
              <w:rPr>
                <w:sz w:val="7"/>
                <w:szCs w:val="7"/>
                <w:color w:val="auto"/>
              </w:rPr>
            </w:pPr>
          </w:p>
        </w:tc>
        <w:tc>
          <w:tcPr>
            <w:tcW w:w="1120" w:type="dxa"/>
            <w:vAlign w:val="bottom"/>
            <w:tcBorders>
              <w:right w:val="single" w:sz="8" w:color="auto"/>
            </w:tcBorders>
            <w:shd w:val="clear" w:color="auto" w:fill="45556C"/>
          </w:tcPr>
          <w:p>
            <w:pPr>
              <w:spacing w:after="0"/>
              <w:rPr>
                <w:sz w:val="7"/>
                <w:szCs w:val="7"/>
                <w:color w:val="auto"/>
              </w:rPr>
            </w:pPr>
          </w:p>
        </w:tc>
        <w:tc>
          <w:tcPr>
            <w:tcW w:w="1120" w:type="dxa"/>
            <w:vAlign w:val="bottom"/>
            <w:tcBorders>
              <w:right w:val="single" w:sz="8" w:color="auto"/>
            </w:tcBorders>
            <w:shd w:val="clear" w:color="auto" w:fill="45556C"/>
          </w:tcPr>
          <w:p>
            <w:pPr>
              <w:jc w:val="center"/>
              <w:spacing w:after="0" w:line="86" w:lineRule="exact"/>
              <w:rPr>
                <w:sz w:val="20"/>
                <w:szCs w:val="20"/>
                <w:color w:val="auto"/>
              </w:rPr>
            </w:pPr>
            <w:r>
              <w:rPr>
                <w:rFonts w:ascii="Times New Roman" w:cs="Times New Roman" w:eastAsia="Times New Roman" w:hAnsi="Times New Roman"/>
                <w:sz w:val="8"/>
                <w:szCs w:val="8"/>
                <w:b w:val="1"/>
                <w:bCs w:val="1"/>
                <w:color w:val="FFFFFF"/>
              </w:rPr>
              <w:t>Equity</w:t>
            </w:r>
          </w:p>
        </w:tc>
        <w:tc>
          <w:tcPr>
            <w:tcW w:w="160" w:type="dxa"/>
            <w:vAlign w:val="bottom"/>
            <w:shd w:val="clear" w:color="auto" w:fill="45556C"/>
          </w:tcPr>
          <w:p>
            <w:pPr>
              <w:spacing w:after="0"/>
              <w:rPr>
                <w:sz w:val="7"/>
                <w:szCs w:val="7"/>
                <w:color w:val="auto"/>
              </w:rPr>
            </w:pPr>
          </w:p>
        </w:tc>
        <w:tc>
          <w:tcPr>
            <w:tcW w:w="660" w:type="dxa"/>
            <w:vAlign w:val="bottom"/>
            <w:shd w:val="clear" w:color="auto" w:fill="45556C"/>
          </w:tcPr>
          <w:p>
            <w:pPr>
              <w:spacing w:after="0"/>
              <w:rPr>
                <w:sz w:val="7"/>
                <w:szCs w:val="7"/>
                <w:color w:val="auto"/>
              </w:rPr>
            </w:pPr>
          </w:p>
        </w:tc>
        <w:tc>
          <w:tcPr>
            <w:tcW w:w="300" w:type="dxa"/>
            <w:vAlign w:val="bottom"/>
            <w:tcBorders>
              <w:right w:val="single" w:sz="8" w:color="auto"/>
            </w:tcBorders>
            <w:shd w:val="clear" w:color="auto" w:fill="45556C"/>
          </w:tcPr>
          <w:p>
            <w:pPr>
              <w:spacing w:after="0"/>
              <w:rPr>
                <w:sz w:val="7"/>
                <w:szCs w:val="7"/>
                <w:color w:val="auto"/>
              </w:rPr>
            </w:pPr>
          </w:p>
        </w:tc>
        <w:tc>
          <w:tcPr>
            <w:tcW w:w="1120" w:type="dxa"/>
            <w:vAlign w:val="bottom"/>
            <w:tcBorders>
              <w:right w:val="single" w:sz="8" w:color="auto"/>
            </w:tcBorders>
            <w:shd w:val="clear" w:color="auto" w:fill="45556C"/>
          </w:tcPr>
          <w:p>
            <w:pPr>
              <w:spacing w:after="0"/>
              <w:rPr>
                <w:sz w:val="7"/>
                <w:szCs w:val="7"/>
                <w:color w:val="auto"/>
              </w:rPr>
            </w:pPr>
          </w:p>
        </w:tc>
        <w:tc>
          <w:tcPr>
            <w:tcW w:w="1100" w:type="dxa"/>
            <w:vAlign w:val="bottom"/>
            <w:tcBorders>
              <w:right w:val="single" w:sz="8" w:color="auto"/>
            </w:tcBorders>
            <w:shd w:val="clear" w:color="auto" w:fill="45556C"/>
          </w:tcPr>
          <w:p>
            <w:pPr>
              <w:spacing w:after="0"/>
              <w:rPr>
                <w:sz w:val="7"/>
                <w:szCs w:val="7"/>
                <w:color w:val="auto"/>
              </w:rPr>
            </w:pPr>
          </w:p>
        </w:tc>
        <w:tc>
          <w:tcPr>
            <w:tcW w:w="1120" w:type="dxa"/>
            <w:vAlign w:val="bottom"/>
            <w:tcBorders>
              <w:right w:val="single" w:sz="8" w:color="auto"/>
            </w:tcBorders>
            <w:shd w:val="clear" w:color="auto" w:fill="45556C"/>
          </w:tcPr>
          <w:p>
            <w:pPr>
              <w:spacing w:after="0"/>
              <w:rPr>
                <w:sz w:val="7"/>
                <w:szCs w:val="7"/>
                <w:color w:val="auto"/>
              </w:rPr>
            </w:pPr>
          </w:p>
        </w:tc>
        <w:tc>
          <w:tcPr>
            <w:tcW w:w="1120" w:type="dxa"/>
            <w:vAlign w:val="bottom"/>
            <w:tcBorders>
              <w:right w:val="single" w:sz="8" w:color="auto"/>
            </w:tcBorders>
            <w:vMerge w:val="restart"/>
            <w:shd w:val="clear" w:color="auto" w:fill="45556C"/>
          </w:tcPr>
          <w:p>
            <w:pPr>
              <w:jc w:val="center"/>
              <w:spacing w:after="0"/>
              <w:rPr>
                <w:sz w:val="20"/>
                <w:szCs w:val="20"/>
                <w:color w:val="auto"/>
              </w:rPr>
            </w:pPr>
            <w:r>
              <w:rPr>
                <w:rFonts w:ascii="Times New Roman" w:cs="Times New Roman" w:eastAsia="Times New Roman" w:hAnsi="Times New Roman"/>
                <w:sz w:val="10"/>
                <w:szCs w:val="10"/>
                <w:b w:val="1"/>
                <w:bCs w:val="1"/>
                <w:color w:val="FFFFFF"/>
                <w:w w:val="96"/>
              </w:rPr>
              <w:t>Equity</w:t>
            </w:r>
          </w:p>
        </w:tc>
        <w:tc>
          <w:tcPr>
            <w:tcW w:w="40" w:type="dxa"/>
            <w:vAlign w:val="bottom"/>
            <w:shd w:val="clear" w:color="auto" w:fill="45556C"/>
          </w:tcPr>
          <w:p>
            <w:pPr>
              <w:spacing w:after="0"/>
              <w:rPr>
                <w:sz w:val="7"/>
                <w:szCs w:val="7"/>
                <w:color w:val="auto"/>
              </w:rPr>
            </w:pPr>
          </w:p>
        </w:tc>
        <w:tc>
          <w:tcPr>
            <w:tcW w:w="1080" w:type="dxa"/>
            <w:vAlign w:val="bottom"/>
            <w:tcBorders>
              <w:right w:val="single" w:sz="8" w:color="auto"/>
            </w:tcBorders>
            <w:vMerge w:val="restart"/>
            <w:shd w:val="clear" w:color="auto" w:fill="45556C"/>
          </w:tcPr>
          <w:p>
            <w:pPr>
              <w:jc w:val="center"/>
              <w:ind w:right="32"/>
              <w:spacing w:after="0"/>
              <w:rPr>
                <w:sz w:val="20"/>
                <w:szCs w:val="20"/>
                <w:color w:val="auto"/>
              </w:rPr>
            </w:pPr>
            <w:r>
              <w:rPr>
                <w:rFonts w:ascii="Times New Roman" w:cs="Times New Roman" w:eastAsia="Times New Roman" w:hAnsi="Times New Roman"/>
                <w:sz w:val="10"/>
                <w:szCs w:val="10"/>
                <w:b w:val="1"/>
                <w:bCs w:val="1"/>
                <w:color w:val="FFFFFF"/>
                <w:w w:val="96"/>
              </w:rPr>
              <w:t>Equity</w:t>
            </w:r>
          </w:p>
        </w:tc>
        <w:tc>
          <w:tcPr>
            <w:tcW w:w="0" w:type="dxa"/>
            <w:vAlign w:val="bottom"/>
          </w:tcPr>
          <w:p>
            <w:pPr>
              <w:spacing w:after="0"/>
              <w:rPr>
                <w:sz w:val="1"/>
                <w:szCs w:val="1"/>
                <w:color w:val="auto"/>
              </w:rPr>
            </w:pPr>
          </w:p>
        </w:tc>
      </w:tr>
      <w:tr>
        <w:trPr>
          <w:trHeight w:val="45"/>
        </w:trPr>
        <w:tc>
          <w:tcPr>
            <w:tcW w:w="1160" w:type="dxa"/>
            <w:vAlign w:val="bottom"/>
            <w:tcBorders>
              <w:left w:val="single" w:sz="8" w:color="auto"/>
              <w:right w:val="single" w:sz="8" w:color="auto"/>
            </w:tcBorders>
            <w:shd w:val="clear" w:color="auto" w:fill="45556C"/>
          </w:tcPr>
          <w:p>
            <w:pPr>
              <w:spacing w:after="0"/>
              <w:rPr>
                <w:sz w:val="3"/>
                <w:szCs w:val="3"/>
                <w:color w:val="auto"/>
              </w:rPr>
            </w:pPr>
          </w:p>
        </w:tc>
        <w:tc>
          <w:tcPr>
            <w:tcW w:w="1140" w:type="dxa"/>
            <w:vAlign w:val="bottom"/>
            <w:tcBorders>
              <w:right w:val="single" w:sz="8" w:color="auto"/>
            </w:tcBorders>
            <w:shd w:val="clear" w:color="auto" w:fill="45556C"/>
          </w:tcPr>
          <w:p>
            <w:pPr>
              <w:spacing w:after="0"/>
              <w:rPr>
                <w:sz w:val="3"/>
                <w:szCs w:val="3"/>
                <w:color w:val="auto"/>
              </w:rPr>
            </w:pPr>
          </w:p>
        </w:tc>
        <w:tc>
          <w:tcPr>
            <w:tcW w:w="1120" w:type="dxa"/>
            <w:vAlign w:val="bottom"/>
            <w:tcBorders>
              <w:right w:val="single" w:sz="8" w:color="auto"/>
            </w:tcBorders>
            <w:shd w:val="clear" w:color="auto" w:fill="45556C"/>
          </w:tcPr>
          <w:p>
            <w:pPr>
              <w:spacing w:after="0"/>
              <w:rPr>
                <w:sz w:val="3"/>
                <w:szCs w:val="3"/>
                <w:color w:val="auto"/>
              </w:rPr>
            </w:pPr>
          </w:p>
        </w:tc>
        <w:tc>
          <w:tcPr>
            <w:tcW w:w="1120" w:type="dxa"/>
            <w:vAlign w:val="bottom"/>
            <w:tcBorders>
              <w:right w:val="single" w:sz="8" w:color="auto"/>
            </w:tcBorders>
            <w:vMerge w:val="restart"/>
            <w:shd w:val="clear" w:color="auto" w:fill="45556C"/>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FFFFFF"/>
                <w:w w:val="93"/>
              </w:rPr>
              <w:t>incentive</w:t>
            </w:r>
          </w:p>
        </w:tc>
        <w:tc>
          <w:tcPr>
            <w:tcW w:w="160" w:type="dxa"/>
            <w:vAlign w:val="bottom"/>
            <w:shd w:val="clear" w:color="auto" w:fill="45556C"/>
          </w:tcPr>
          <w:p>
            <w:pPr>
              <w:spacing w:after="0"/>
              <w:rPr>
                <w:sz w:val="3"/>
                <w:szCs w:val="3"/>
                <w:color w:val="auto"/>
              </w:rPr>
            </w:pPr>
          </w:p>
        </w:tc>
        <w:tc>
          <w:tcPr>
            <w:tcW w:w="660" w:type="dxa"/>
            <w:vAlign w:val="bottom"/>
            <w:shd w:val="clear" w:color="auto" w:fill="45556C"/>
          </w:tcPr>
          <w:p>
            <w:pPr>
              <w:spacing w:after="0"/>
              <w:rPr>
                <w:sz w:val="3"/>
                <w:szCs w:val="3"/>
                <w:color w:val="auto"/>
              </w:rPr>
            </w:pPr>
          </w:p>
        </w:tc>
        <w:tc>
          <w:tcPr>
            <w:tcW w:w="300" w:type="dxa"/>
            <w:vAlign w:val="bottom"/>
            <w:tcBorders>
              <w:right w:val="single" w:sz="8" w:color="auto"/>
            </w:tcBorders>
            <w:shd w:val="clear" w:color="auto" w:fill="45556C"/>
          </w:tcPr>
          <w:p>
            <w:pPr>
              <w:spacing w:after="0"/>
              <w:rPr>
                <w:sz w:val="3"/>
                <w:szCs w:val="3"/>
                <w:color w:val="auto"/>
              </w:rPr>
            </w:pPr>
          </w:p>
        </w:tc>
        <w:tc>
          <w:tcPr>
            <w:tcW w:w="1120" w:type="dxa"/>
            <w:vAlign w:val="bottom"/>
            <w:tcBorders>
              <w:right w:val="single" w:sz="8" w:color="auto"/>
            </w:tcBorders>
            <w:shd w:val="clear" w:color="auto" w:fill="45556C"/>
          </w:tcPr>
          <w:p>
            <w:pPr>
              <w:spacing w:after="0"/>
              <w:rPr>
                <w:sz w:val="3"/>
                <w:szCs w:val="3"/>
                <w:color w:val="auto"/>
              </w:rPr>
            </w:pPr>
          </w:p>
        </w:tc>
        <w:tc>
          <w:tcPr>
            <w:tcW w:w="1100" w:type="dxa"/>
            <w:vAlign w:val="bottom"/>
            <w:tcBorders>
              <w:right w:val="single" w:sz="8" w:color="auto"/>
            </w:tcBorders>
            <w:shd w:val="clear" w:color="auto" w:fill="45556C"/>
          </w:tcPr>
          <w:p>
            <w:pPr>
              <w:spacing w:after="0"/>
              <w:rPr>
                <w:sz w:val="3"/>
                <w:szCs w:val="3"/>
                <w:color w:val="auto"/>
              </w:rPr>
            </w:pPr>
          </w:p>
        </w:tc>
        <w:tc>
          <w:tcPr>
            <w:tcW w:w="1120" w:type="dxa"/>
            <w:vAlign w:val="bottom"/>
            <w:tcBorders>
              <w:right w:val="single" w:sz="8" w:color="auto"/>
            </w:tcBorders>
            <w:shd w:val="clear" w:color="auto" w:fill="45556C"/>
          </w:tcPr>
          <w:p>
            <w:pPr>
              <w:spacing w:after="0"/>
              <w:rPr>
                <w:sz w:val="3"/>
                <w:szCs w:val="3"/>
                <w:color w:val="auto"/>
              </w:rPr>
            </w:pPr>
          </w:p>
        </w:tc>
        <w:tc>
          <w:tcPr>
            <w:tcW w:w="1120" w:type="dxa"/>
            <w:vAlign w:val="bottom"/>
            <w:tcBorders>
              <w:right w:val="single" w:sz="8" w:color="auto"/>
            </w:tcBorders>
            <w:vMerge w:val="continue"/>
            <w:shd w:val="clear" w:color="auto" w:fill="45556C"/>
          </w:tcPr>
          <w:p>
            <w:pPr>
              <w:spacing w:after="0"/>
              <w:rPr>
                <w:sz w:val="3"/>
                <w:szCs w:val="3"/>
                <w:color w:val="auto"/>
              </w:rPr>
            </w:pPr>
          </w:p>
        </w:tc>
        <w:tc>
          <w:tcPr>
            <w:tcW w:w="40" w:type="dxa"/>
            <w:vAlign w:val="bottom"/>
            <w:shd w:val="clear" w:color="auto" w:fill="45556C"/>
          </w:tcPr>
          <w:p>
            <w:pPr>
              <w:spacing w:after="0"/>
              <w:rPr>
                <w:sz w:val="3"/>
                <w:szCs w:val="3"/>
                <w:color w:val="auto"/>
              </w:rPr>
            </w:pPr>
          </w:p>
        </w:tc>
        <w:tc>
          <w:tcPr>
            <w:tcW w:w="1080" w:type="dxa"/>
            <w:vAlign w:val="bottom"/>
            <w:tcBorders>
              <w:right w:val="single" w:sz="8" w:color="auto"/>
            </w:tcBorders>
            <w:vMerge w:val="continue"/>
            <w:shd w:val="clear" w:color="auto" w:fill="45556C"/>
          </w:tcPr>
          <w:p>
            <w:pPr>
              <w:spacing w:after="0"/>
              <w:rPr>
                <w:sz w:val="3"/>
                <w:szCs w:val="3"/>
                <w:color w:val="auto"/>
              </w:rPr>
            </w:pPr>
          </w:p>
        </w:tc>
        <w:tc>
          <w:tcPr>
            <w:tcW w:w="0" w:type="dxa"/>
            <w:vAlign w:val="bottom"/>
          </w:tcPr>
          <w:p>
            <w:pPr>
              <w:spacing w:after="0"/>
              <w:rPr>
                <w:sz w:val="1"/>
                <w:szCs w:val="1"/>
                <w:color w:val="auto"/>
              </w:rPr>
            </w:pPr>
          </w:p>
        </w:tc>
      </w:tr>
      <w:tr>
        <w:trPr>
          <w:trHeight w:val="52"/>
        </w:trPr>
        <w:tc>
          <w:tcPr>
            <w:tcW w:w="1160" w:type="dxa"/>
            <w:vAlign w:val="bottom"/>
            <w:tcBorders>
              <w:left w:val="single" w:sz="8" w:color="auto"/>
              <w:right w:val="single" w:sz="8" w:color="auto"/>
            </w:tcBorders>
            <w:shd w:val="clear" w:color="auto" w:fill="45556C"/>
          </w:tcPr>
          <w:p>
            <w:pPr>
              <w:spacing w:after="0"/>
              <w:rPr>
                <w:sz w:val="4"/>
                <w:szCs w:val="4"/>
                <w:color w:val="auto"/>
              </w:rPr>
            </w:pPr>
          </w:p>
        </w:tc>
        <w:tc>
          <w:tcPr>
            <w:tcW w:w="1140" w:type="dxa"/>
            <w:vAlign w:val="bottom"/>
            <w:tcBorders>
              <w:right w:val="single" w:sz="8" w:color="auto"/>
            </w:tcBorders>
            <w:shd w:val="clear" w:color="auto" w:fill="45556C"/>
          </w:tcPr>
          <w:p>
            <w:pPr>
              <w:spacing w:after="0"/>
              <w:rPr>
                <w:sz w:val="4"/>
                <w:szCs w:val="4"/>
                <w:color w:val="auto"/>
              </w:rPr>
            </w:pPr>
          </w:p>
        </w:tc>
        <w:tc>
          <w:tcPr>
            <w:tcW w:w="1120" w:type="dxa"/>
            <w:vAlign w:val="bottom"/>
            <w:tcBorders>
              <w:right w:val="single" w:sz="8" w:color="auto"/>
            </w:tcBorders>
            <w:shd w:val="clear" w:color="auto" w:fill="45556C"/>
          </w:tcPr>
          <w:p>
            <w:pPr>
              <w:spacing w:after="0"/>
              <w:rPr>
                <w:sz w:val="4"/>
                <w:szCs w:val="4"/>
                <w:color w:val="auto"/>
              </w:rPr>
            </w:pPr>
          </w:p>
        </w:tc>
        <w:tc>
          <w:tcPr>
            <w:tcW w:w="1120" w:type="dxa"/>
            <w:vAlign w:val="bottom"/>
            <w:tcBorders>
              <w:right w:val="single" w:sz="8" w:color="auto"/>
            </w:tcBorders>
            <w:vMerge w:val="continue"/>
            <w:shd w:val="clear" w:color="auto" w:fill="45556C"/>
          </w:tcPr>
          <w:p>
            <w:pPr>
              <w:spacing w:after="0"/>
              <w:rPr>
                <w:sz w:val="4"/>
                <w:szCs w:val="4"/>
                <w:color w:val="auto"/>
              </w:rPr>
            </w:pPr>
          </w:p>
        </w:tc>
        <w:tc>
          <w:tcPr>
            <w:tcW w:w="160" w:type="dxa"/>
            <w:vAlign w:val="bottom"/>
            <w:shd w:val="clear" w:color="auto" w:fill="45556C"/>
          </w:tcPr>
          <w:p>
            <w:pPr>
              <w:spacing w:after="0"/>
              <w:rPr>
                <w:sz w:val="4"/>
                <w:szCs w:val="4"/>
                <w:color w:val="auto"/>
              </w:rPr>
            </w:pPr>
          </w:p>
        </w:tc>
        <w:tc>
          <w:tcPr>
            <w:tcW w:w="660" w:type="dxa"/>
            <w:vAlign w:val="bottom"/>
            <w:shd w:val="clear" w:color="auto" w:fill="45556C"/>
          </w:tcPr>
          <w:p>
            <w:pPr>
              <w:spacing w:after="0"/>
              <w:rPr>
                <w:sz w:val="4"/>
                <w:szCs w:val="4"/>
                <w:color w:val="auto"/>
              </w:rPr>
            </w:pPr>
          </w:p>
        </w:tc>
        <w:tc>
          <w:tcPr>
            <w:tcW w:w="300" w:type="dxa"/>
            <w:vAlign w:val="bottom"/>
            <w:tcBorders>
              <w:right w:val="single" w:sz="8" w:color="auto"/>
            </w:tcBorders>
            <w:shd w:val="clear" w:color="auto" w:fill="45556C"/>
          </w:tcPr>
          <w:p>
            <w:pPr>
              <w:spacing w:after="0"/>
              <w:rPr>
                <w:sz w:val="4"/>
                <w:szCs w:val="4"/>
                <w:color w:val="auto"/>
              </w:rPr>
            </w:pPr>
          </w:p>
        </w:tc>
        <w:tc>
          <w:tcPr>
            <w:tcW w:w="1120" w:type="dxa"/>
            <w:vAlign w:val="bottom"/>
            <w:tcBorders>
              <w:right w:val="single" w:sz="8" w:color="auto"/>
            </w:tcBorders>
            <w:shd w:val="clear" w:color="auto" w:fill="45556C"/>
          </w:tcPr>
          <w:p>
            <w:pPr>
              <w:spacing w:after="0"/>
              <w:rPr>
                <w:sz w:val="4"/>
                <w:szCs w:val="4"/>
                <w:color w:val="auto"/>
              </w:rPr>
            </w:pPr>
          </w:p>
        </w:tc>
        <w:tc>
          <w:tcPr>
            <w:tcW w:w="1100" w:type="dxa"/>
            <w:vAlign w:val="bottom"/>
            <w:tcBorders>
              <w:right w:val="single" w:sz="8" w:color="auto"/>
            </w:tcBorders>
            <w:shd w:val="clear" w:color="auto" w:fill="45556C"/>
          </w:tcPr>
          <w:p>
            <w:pPr>
              <w:spacing w:after="0"/>
              <w:rPr>
                <w:sz w:val="4"/>
                <w:szCs w:val="4"/>
                <w:color w:val="auto"/>
              </w:rPr>
            </w:pPr>
          </w:p>
        </w:tc>
        <w:tc>
          <w:tcPr>
            <w:tcW w:w="1120" w:type="dxa"/>
            <w:vAlign w:val="bottom"/>
            <w:tcBorders>
              <w:right w:val="single" w:sz="8" w:color="auto"/>
            </w:tcBorders>
            <w:shd w:val="clear" w:color="auto" w:fill="45556C"/>
          </w:tcPr>
          <w:p>
            <w:pPr>
              <w:spacing w:after="0"/>
              <w:rPr>
                <w:sz w:val="4"/>
                <w:szCs w:val="4"/>
                <w:color w:val="auto"/>
              </w:rPr>
            </w:pPr>
          </w:p>
        </w:tc>
        <w:tc>
          <w:tcPr>
            <w:tcW w:w="1120" w:type="dxa"/>
            <w:vAlign w:val="bottom"/>
            <w:tcBorders>
              <w:right w:val="single" w:sz="8" w:color="auto"/>
            </w:tcBorders>
            <w:vMerge w:val="continue"/>
            <w:shd w:val="clear" w:color="auto" w:fill="45556C"/>
          </w:tcPr>
          <w:p>
            <w:pPr>
              <w:spacing w:after="0"/>
              <w:rPr>
                <w:sz w:val="4"/>
                <w:szCs w:val="4"/>
                <w:color w:val="auto"/>
              </w:rPr>
            </w:pPr>
          </w:p>
        </w:tc>
        <w:tc>
          <w:tcPr>
            <w:tcW w:w="40" w:type="dxa"/>
            <w:vAlign w:val="bottom"/>
            <w:shd w:val="clear" w:color="auto" w:fill="45556C"/>
          </w:tcPr>
          <w:p>
            <w:pPr>
              <w:spacing w:after="0"/>
              <w:rPr>
                <w:sz w:val="4"/>
                <w:szCs w:val="4"/>
                <w:color w:val="auto"/>
              </w:rPr>
            </w:pPr>
          </w:p>
        </w:tc>
        <w:tc>
          <w:tcPr>
            <w:tcW w:w="1080" w:type="dxa"/>
            <w:vAlign w:val="bottom"/>
            <w:tcBorders>
              <w:right w:val="single" w:sz="8" w:color="auto"/>
            </w:tcBorders>
            <w:vMerge w:val="restart"/>
            <w:shd w:val="clear" w:color="auto" w:fill="45556C"/>
          </w:tcPr>
          <w:p>
            <w:pPr>
              <w:jc w:val="center"/>
              <w:ind w:right="32"/>
              <w:spacing w:after="0" w:line="98" w:lineRule="exact"/>
              <w:rPr>
                <w:sz w:val="20"/>
                <w:szCs w:val="20"/>
                <w:color w:val="auto"/>
              </w:rPr>
            </w:pPr>
            <w:r>
              <w:rPr>
                <w:rFonts w:ascii="Times New Roman" w:cs="Times New Roman" w:eastAsia="Times New Roman" w:hAnsi="Times New Roman"/>
                <w:sz w:val="10"/>
                <w:szCs w:val="10"/>
                <w:b w:val="1"/>
                <w:bCs w:val="1"/>
                <w:color w:val="FFFFFF"/>
                <w:w w:val="93"/>
              </w:rPr>
              <w:t>incentive</w:t>
            </w:r>
          </w:p>
        </w:tc>
        <w:tc>
          <w:tcPr>
            <w:tcW w:w="0" w:type="dxa"/>
            <w:vAlign w:val="bottom"/>
          </w:tcPr>
          <w:p>
            <w:pPr>
              <w:spacing w:after="0"/>
              <w:rPr>
                <w:sz w:val="1"/>
                <w:szCs w:val="1"/>
                <w:color w:val="auto"/>
              </w:rPr>
            </w:pPr>
          </w:p>
        </w:tc>
      </w:tr>
      <w:tr>
        <w:trPr>
          <w:trHeight w:val="45"/>
        </w:trPr>
        <w:tc>
          <w:tcPr>
            <w:tcW w:w="1160" w:type="dxa"/>
            <w:vAlign w:val="bottom"/>
            <w:tcBorders>
              <w:left w:val="single" w:sz="8" w:color="auto"/>
              <w:right w:val="single" w:sz="8" w:color="auto"/>
            </w:tcBorders>
            <w:shd w:val="clear" w:color="auto" w:fill="45556C"/>
          </w:tcPr>
          <w:p>
            <w:pPr>
              <w:spacing w:after="0"/>
              <w:rPr>
                <w:sz w:val="3"/>
                <w:szCs w:val="3"/>
                <w:color w:val="auto"/>
              </w:rPr>
            </w:pPr>
          </w:p>
        </w:tc>
        <w:tc>
          <w:tcPr>
            <w:tcW w:w="1140" w:type="dxa"/>
            <w:vAlign w:val="bottom"/>
            <w:tcBorders>
              <w:right w:val="single" w:sz="8" w:color="auto"/>
            </w:tcBorders>
            <w:vMerge w:val="restart"/>
            <w:shd w:val="clear" w:color="auto" w:fill="45556C"/>
          </w:tcPr>
          <w:p>
            <w:pPr>
              <w:jc w:val="center"/>
              <w:spacing w:after="0"/>
              <w:rPr>
                <w:sz w:val="20"/>
                <w:szCs w:val="20"/>
                <w:color w:val="auto"/>
              </w:rPr>
            </w:pPr>
            <w:r>
              <w:rPr>
                <w:rFonts w:ascii="Times New Roman" w:cs="Times New Roman" w:eastAsia="Times New Roman" w:hAnsi="Times New Roman"/>
                <w:sz w:val="10"/>
                <w:szCs w:val="10"/>
                <w:b w:val="1"/>
                <w:bCs w:val="1"/>
                <w:color w:val="FFFFFF"/>
                <w:w w:val="96"/>
              </w:rPr>
              <w:t>Number of securities</w:t>
            </w:r>
          </w:p>
        </w:tc>
        <w:tc>
          <w:tcPr>
            <w:tcW w:w="1120" w:type="dxa"/>
            <w:vAlign w:val="bottom"/>
            <w:tcBorders>
              <w:right w:val="single" w:sz="8" w:color="auto"/>
            </w:tcBorders>
            <w:vMerge w:val="restart"/>
            <w:shd w:val="clear" w:color="auto" w:fill="45556C"/>
          </w:tcPr>
          <w:p>
            <w:pPr>
              <w:jc w:val="center"/>
              <w:spacing w:after="0"/>
              <w:rPr>
                <w:sz w:val="20"/>
                <w:szCs w:val="20"/>
                <w:color w:val="auto"/>
              </w:rPr>
            </w:pPr>
            <w:r>
              <w:rPr>
                <w:rFonts w:ascii="Times New Roman" w:cs="Times New Roman" w:eastAsia="Times New Roman" w:hAnsi="Times New Roman"/>
                <w:sz w:val="10"/>
                <w:szCs w:val="10"/>
                <w:b w:val="1"/>
                <w:bCs w:val="1"/>
                <w:color w:val="FFFFFF"/>
                <w:w w:val="96"/>
              </w:rPr>
              <w:t>Number of securities</w:t>
            </w:r>
          </w:p>
        </w:tc>
        <w:tc>
          <w:tcPr>
            <w:tcW w:w="1120" w:type="dxa"/>
            <w:vAlign w:val="bottom"/>
            <w:tcBorders>
              <w:right w:val="single" w:sz="8" w:color="auto"/>
            </w:tcBorders>
            <w:vMerge w:val="restart"/>
            <w:shd w:val="clear" w:color="auto" w:fill="45556C"/>
          </w:tcPr>
          <w:p>
            <w:pPr>
              <w:jc w:val="center"/>
              <w:spacing w:after="0"/>
              <w:rPr>
                <w:sz w:val="20"/>
                <w:szCs w:val="20"/>
                <w:color w:val="auto"/>
              </w:rPr>
            </w:pPr>
            <w:r>
              <w:rPr>
                <w:rFonts w:ascii="Times New Roman" w:cs="Times New Roman" w:eastAsia="Times New Roman" w:hAnsi="Times New Roman"/>
                <w:sz w:val="10"/>
                <w:szCs w:val="10"/>
                <w:b w:val="1"/>
                <w:bCs w:val="1"/>
                <w:color w:val="FFFFFF"/>
                <w:w w:val="95"/>
              </w:rPr>
              <w:t>plan awards: Number of</w:t>
            </w:r>
          </w:p>
        </w:tc>
        <w:tc>
          <w:tcPr>
            <w:tcW w:w="160" w:type="dxa"/>
            <w:vAlign w:val="bottom"/>
            <w:shd w:val="clear" w:color="auto" w:fill="45556C"/>
          </w:tcPr>
          <w:p>
            <w:pPr>
              <w:spacing w:after="0"/>
              <w:rPr>
                <w:sz w:val="3"/>
                <w:szCs w:val="3"/>
                <w:color w:val="auto"/>
              </w:rPr>
            </w:pPr>
          </w:p>
        </w:tc>
        <w:tc>
          <w:tcPr>
            <w:tcW w:w="660" w:type="dxa"/>
            <w:vAlign w:val="bottom"/>
            <w:vMerge w:val="restart"/>
            <w:shd w:val="clear" w:color="auto" w:fill="45556C"/>
          </w:tcPr>
          <w:p>
            <w:pPr>
              <w:jc w:val="center"/>
              <w:ind w:left="59"/>
              <w:spacing w:after="0"/>
              <w:rPr>
                <w:sz w:val="20"/>
                <w:szCs w:val="20"/>
                <w:color w:val="auto"/>
              </w:rPr>
            </w:pPr>
            <w:r>
              <w:rPr>
                <w:rFonts w:ascii="Times New Roman" w:cs="Times New Roman" w:eastAsia="Times New Roman" w:hAnsi="Times New Roman"/>
                <w:sz w:val="10"/>
                <w:szCs w:val="10"/>
                <w:b w:val="1"/>
                <w:bCs w:val="1"/>
                <w:color w:val="FFFFFF"/>
                <w:w w:val="93"/>
              </w:rPr>
              <w:t>Option</w:t>
            </w:r>
          </w:p>
        </w:tc>
        <w:tc>
          <w:tcPr>
            <w:tcW w:w="300" w:type="dxa"/>
            <w:vAlign w:val="bottom"/>
            <w:tcBorders>
              <w:right w:val="single" w:sz="8" w:color="auto"/>
            </w:tcBorders>
            <w:shd w:val="clear" w:color="auto" w:fill="45556C"/>
          </w:tcPr>
          <w:p>
            <w:pPr>
              <w:spacing w:after="0"/>
              <w:rPr>
                <w:sz w:val="3"/>
                <w:szCs w:val="3"/>
                <w:color w:val="auto"/>
              </w:rPr>
            </w:pPr>
          </w:p>
        </w:tc>
        <w:tc>
          <w:tcPr>
            <w:tcW w:w="1120" w:type="dxa"/>
            <w:vAlign w:val="bottom"/>
            <w:tcBorders>
              <w:right w:val="single" w:sz="8" w:color="auto"/>
            </w:tcBorders>
            <w:shd w:val="clear" w:color="auto" w:fill="45556C"/>
          </w:tcPr>
          <w:p>
            <w:pPr>
              <w:spacing w:after="0"/>
              <w:rPr>
                <w:sz w:val="3"/>
                <w:szCs w:val="3"/>
                <w:color w:val="auto"/>
              </w:rPr>
            </w:pPr>
          </w:p>
        </w:tc>
        <w:tc>
          <w:tcPr>
            <w:tcW w:w="1100" w:type="dxa"/>
            <w:vAlign w:val="bottom"/>
            <w:tcBorders>
              <w:right w:val="single" w:sz="8" w:color="auto"/>
            </w:tcBorders>
            <w:vMerge w:val="restart"/>
            <w:shd w:val="clear" w:color="auto" w:fill="45556C"/>
          </w:tcPr>
          <w:p>
            <w:pPr>
              <w:jc w:val="center"/>
              <w:spacing w:after="0"/>
              <w:rPr>
                <w:sz w:val="20"/>
                <w:szCs w:val="20"/>
                <w:color w:val="auto"/>
              </w:rPr>
            </w:pPr>
            <w:r>
              <w:rPr>
                <w:rFonts w:ascii="Times New Roman" w:cs="Times New Roman" w:eastAsia="Times New Roman" w:hAnsi="Times New Roman"/>
                <w:sz w:val="10"/>
                <w:szCs w:val="10"/>
                <w:b w:val="1"/>
                <w:bCs w:val="1"/>
                <w:color w:val="FFFFFF"/>
                <w:w w:val="94"/>
              </w:rPr>
              <w:t>Number of shares or units</w:t>
            </w:r>
          </w:p>
        </w:tc>
        <w:tc>
          <w:tcPr>
            <w:tcW w:w="1120" w:type="dxa"/>
            <w:vAlign w:val="bottom"/>
            <w:tcBorders>
              <w:right w:val="single" w:sz="8" w:color="auto"/>
            </w:tcBorders>
            <w:vMerge w:val="restart"/>
            <w:shd w:val="clear" w:color="auto" w:fill="45556C"/>
          </w:tcPr>
          <w:p>
            <w:pPr>
              <w:jc w:val="center"/>
              <w:spacing w:after="0"/>
              <w:rPr>
                <w:sz w:val="20"/>
                <w:szCs w:val="20"/>
                <w:color w:val="auto"/>
              </w:rPr>
            </w:pPr>
            <w:r>
              <w:rPr>
                <w:rFonts w:ascii="Times New Roman" w:cs="Times New Roman" w:eastAsia="Times New Roman" w:hAnsi="Times New Roman"/>
                <w:sz w:val="10"/>
                <w:szCs w:val="10"/>
                <w:b w:val="1"/>
                <w:bCs w:val="1"/>
                <w:color w:val="FFFFFF"/>
                <w:w w:val="96"/>
              </w:rPr>
              <w:t>Market value of shares or</w:t>
            </w:r>
          </w:p>
        </w:tc>
        <w:tc>
          <w:tcPr>
            <w:tcW w:w="1120" w:type="dxa"/>
            <w:vAlign w:val="bottom"/>
            <w:tcBorders>
              <w:right w:val="single" w:sz="8" w:color="auto"/>
            </w:tcBorders>
            <w:vMerge w:val="restart"/>
            <w:shd w:val="clear" w:color="auto" w:fill="45556C"/>
          </w:tcPr>
          <w:p>
            <w:pPr>
              <w:jc w:val="center"/>
              <w:spacing w:after="0"/>
              <w:rPr>
                <w:sz w:val="20"/>
                <w:szCs w:val="20"/>
                <w:color w:val="auto"/>
              </w:rPr>
            </w:pPr>
            <w:r>
              <w:rPr>
                <w:rFonts w:ascii="Times New Roman" w:cs="Times New Roman" w:eastAsia="Times New Roman" w:hAnsi="Times New Roman"/>
                <w:sz w:val="10"/>
                <w:szCs w:val="10"/>
                <w:b w:val="1"/>
                <w:bCs w:val="1"/>
                <w:color w:val="FFFFFF"/>
                <w:w w:val="93"/>
              </w:rPr>
              <w:t>incentive</w:t>
            </w:r>
          </w:p>
        </w:tc>
        <w:tc>
          <w:tcPr>
            <w:tcW w:w="40" w:type="dxa"/>
            <w:vAlign w:val="bottom"/>
            <w:shd w:val="clear" w:color="auto" w:fill="45556C"/>
          </w:tcPr>
          <w:p>
            <w:pPr>
              <w:spacing w:after="0"/>
              <w:rPr>
                <w:sz w:val="3"/>
                <w:szCs w:val="3"/>
                <w:color w:val="auto"/>
              </w:rPr>
            </w:pPr>
          </w:p>
        </w:tc>
        <w:tc>
          <w:tcPr>
            <w:tcW w:w="1080" w:type="dxa"/>
            <w:vAlign w:val="bottom"/>
            <w:tcBorders>
              <w:right w:val="single" w:sz="8" w:color="auto"/>
            </w:tcBorders>
            <w:vMerge w:val="continue"/>
            <w:shd w:val="clear" w:color="auto" w:fill="45556C"/>
          </w:tcPr>
          <w:p>
            <w:pPr>
              <w:spacing w:after="0"/>
              <w:rPr>
                <w:sz w:val="3"/>
                <w:szCs w:val="3"/>
                <w:color w:val="auto"/>
              </w:rPr>
            </w:pPr>
          </w:p>
        </w:tc>
        <w:tc>
          <w:tcPr>
            <w:tcW w:w="0" w:type="dxa"/>
            <w:vAlign w:val="bottom"/>
          </w:tcPr>
          <w:p>
            <w:pPr>
              <w:spacing w:after="0"/>
              <w:rPr>
                <w:sz w:val="1"/>
                <w:szCs w:val="1"/>
                <w:color w:val="auto"/>
              </w:rPr>
            </w:pPr>
          </w:p>
        </w:tc>
      </w:tr>
      <w:tr>
        <w:trPr>
          <w:trHeight w:val="90"/>
        </w:trPr>
        <w:tc>
          <w:tcPr>
            <w:tcW w:w="1160" w:type="dxa"/>
            <w:vAlign w:val="bottom"/>
            <w:tcBorders>
              <w:left w:val="single" w:sz="8" w:color="auto"/>
              <w:right w:val="single" w:sz="8" w:color="auto"/>
            </w:tcBorders>
            <w:shd w:val="clear" w:color="auto" w:fill="45556C"/>
          </w:tcPr>
          <w:p>
            <w:pPr>
              <w:spacing w:after="0"/>
              <w:rPr>
                <w:sz w:val="7"/>
                <w:szCs w:val="7"/>
                <w:color w:val="auto"/>
              </w:rPr>
            </w:pPr>
          </w:p>
        </w:tc>
        <w:tc>
          <w:tcPr>
            <w:tcW w:w="1140" w:type="dxa"/>
            <w:vAlign w:val="bottom"/>
            <w:tcBorders>
              <w:right w:val="single" w:sz="8" w:color="auto"/>
            </w:tcBorders>
            <w:vMerge w:val="continue"/>
            <w:shd w:val="clear" w:color="auto" w:fill="45556C"/>
          </w:tcPr>
          <w:p>
            <w:pPr>
              <w:spacing w:after="0"/>
              <w:rPr>
                <w:sz w:val="7"/>
                <w:szCs w:val="7"/>
                <w:color w:val="auto"/>
              </w:rPr>
            </w:pPr>
          </w:p>
        </w:tc>
        <w:tc>
          <w:tcPr>
            <w:tcW w:w="1120" w:type="dxa"/>
            <w:vAlign w:val="bottom"/>
            <w:tcBorders>
              <w:right w:val="single" w:sz="8" w:color="auto"/>
            </w:tcBorders>
            <w:vMerge w:val="continue"/>
            <w:shd w:val="clear" w:color="auto" w:fill="45556C"/>
          </w:tcPr>
          <w:p>
            <w:pPr>
              <w:spacing w:after="0"/>
              <w:rPr>
                <w:sz w:val="7"/>
                <w:szCs w:val="7"/>
                <w:color w:val="auto"/>
              </w:rPr>
            </w:pPr>
          </w:p>
        </w:tc>
        <w:tc>
          <w:tcPr>
            <w:tcW w:w="1120" w:type="dxa"/>
            <w:vAlign w:val="bottom"/>
            <w:tcBorders>
              <w:right w:val="single" w:sz="8" w:color="auto"/>
            </w:tcBorders>
            <w:vMerge w:val="continue"/>
            <w:shd w:val="clear" w:color="auto" w:fill="45556C"/>
          </w:tcPr>
          <w:p>
            <w:pPr>
              <w:spacing w:after="0"/>
              <w:rPr>
                <w:sz w:val="7"/>
                <w:szCs w:val="7"/>
                <w:color w:val="auto"/>
              </w:rPr>
            </w:pPr>
          </w:p>
        </w:tc>
        <w:tc>
          <w:tcPr>
            <w:tcW w:w="160" w:type="dxa"/>
            <w:vAlign w:val="bottom"/>
            <w:shd w:val="clear" w:color="auto" w:fill="45556C"/>
          </w:tcPr>
          <w:p>
            <w:pPr>
              <w:spacing w:after="0"/>
              <w:rPr>
                <w:sz w:val="7"/>
                <w:szCs w:val="7"/>
                <w:color w:val="auto"/>
              </w:rPr>
            </w:pPr>
          </w:p>
        </w:tc>
        <w:tc>
          <w:tcPr>
            <w:tcW w:w="660" w:type="dxa"/>
            <w:vAlign w:val="bottom"/>
            <w:vMerge w:val="continue"/>
            <w:shd w:val="clear" w:color="auto" w:fill="45556C"/>
          </w:tcPr>
          <w:p>
            <w:pPr>
              <w:spacing w:after="0"/>
              <w:rPr>
                <w:sz w:val="7"/>
                <w:szCs w:val="7"/>
                <w:color w:val="auto"/>
              </w:rPr>
            </w:pPr>
          </w:p>
        </w:tc>
        <w:tc>
          <w:tcPr>
            <w:tcW w:w="300" w:type="dxa"/>
            <w:vAlign w:val="bottom"/>
            <w:tcBorders>
              <w:right w:val="single" w:sz="8" w:color="auto"/>
            </w:tcBorders>
            <w:shd w:val="clear" w:color="auto" w:fill="45556C"/>
          </w:tcPr>
          <w:p>
            <w:pPr>
              <w:spacing w:after="0"/>
              <w:rPr>
                <w:sz w:val="7"/>
                <w:szCs w:val="7"/>
                <w:color w:val="auto"/>
              </w:rPr>
            </w:pPr>
          </w:p>
        </w:tc>
        <w:tc>
          <w:tcPr>
            <w:tcW w:w="1120" w:type="dxa"/>
            <w:vAlign w:val="bottom"/>
            <w:tcBorders>
              <w:right w:val="single" w:sz="8" w:color="auto"/>
            </w:tcBorders>
            <w:shd w:val="clear" w:color="auto" w:fill="45556C"/>
          </w:tcPr>
          <w:p>
            <w:pPr>
              <w:spacing w:after="0"/>
              <w:rPr>
                <w:sz w:val="7"/>
                <w:szCs w:val="7"/>
                <w:color w:val="auto"/>
              </w:rPr>
            </w:pPr>
          </w:p>
        </w:tc>
        <w:tc>
          <w:tcPr>
            <w:tcW w:w="1100" w:type="dxa"/>
            <w:vAlign w:val="bottom"/>
            <w:tcBorders>
              <w:right w:val="single" w:sz="8" w:color="auto"/>
            </w:tcBorders>
            <w:vMerge w:val="continue"/>
            <w:shd w:val="clear" w:color="auto" w:fill="45556C"/>
          </w:tcPr>
          <w:p>
            <w:pPr>
              <w:spacing w:after="0"/>
              <w:rPr>
                <w:sz w:val="7"/>
                <w:szCs w:val="7"/>
                <w:color w:val="auto"/>
              </w:rPr>
            </w:pPr>
          </w:p>
        </w:tc>
        <w:tc>
          <w:tcPr>
            <w:tcW w:w="1120" w:type="dxa"/>
            <w:vAlign w:val="bottom"/>
            <w:tcBorders>
              <w:right w:val="single" w:sz="8" w:color="auto"/>
            </w:tcBorders>
            <w:vMerge w:val="continue"/>
            <w:shd w:val="clear" w:color="auto" w:fill="45556C"/>
          </w:tcPr>
          <w:p>
            <w:pPr>
              <w:spacing w:after="0"/>
              <w:rPr>
                <w:sz w:val="7"/>
                <w:szCs w:val="7"/>
                <w:color w:val="auto"/>
              </w:rPr>
            </w:pPr>
          </w:p>
        </w:tc>
        <w:tc>
          <w:tcPr>
            <w:tcW w:w="1120" w:type="dxa"/>
            <w:vAlign w:val="bottom"/>
            <w:tcBorders>
              <w:right w:val="single" w:sz="8" w:color="auto"/>
            </w:tcBorders>
            <w:vMerge w:val="continue"/>
            <w:shd w:val="clear" w:color="auto" w:fill="45556C"/>
          </w:tcPr>
          <w:p>
            <w:pPr>
              <w:spacing w:after="0"/>
              <w:rPr>
                <w:sz w:val="7"/>
                <w:szCs w:val="7"/>
                <w:color w:val="auto"/>
              </w:rPr>
            </w:pPr>
          </w:p>
        </w:tc>
        <w:tc>
          <w:tcPr>
            <w:tcW w:w="40" w:type="dxa"/>
            <w:vAlign w:val="bottom"/>
            <w:shd w:val="clear" w:color="auto" w:fill="45556C"/>
          </w:tcPr>
          <w:p>
            <w:pPr>
              <w:spacing w:after="0"/>
              <w:rPr>
                <w:sz w:val="7"/>
                <w:szCs w:val="7"/>
                <w:color w:val="auto"/>
              </w:rPr>
            </w:pPr>
          </w:p>
        </w:tc>
        <w:tc>
          <w:tcPr>
            <w:tcW w:w="1080" w:type="dxa"/>
            <w:vAlign w:val="bottom"/>
            <w:tcBorders>
              <w:right w:val="single" w:sz="8" w:color="auto"/>
            </w:tcBorders>
            <w:shd w:val="clear" w:color="auto" w:fill="45556C"/>
          </w:tcPr>
          <w:p>
            <w:pPr>
              <w:jc w:val="center"/>
              <w:ind w:right="12"/>
              <w:spacing w:after="0" w:line="90" w:lineRule="exact"/>
              <w:rPr>
                <w:sz w:val="20"/>
                <w:szCs w:val="20"/>
                <w:color w:val="auto"/>
              </w:rPr>
            </w:pPr>
            <w:r>
              <w:rPr>
                <w:rFonts w:ascii="Times New Roman" w:cs="Times New Roman" w:eastAsia="Times New Roman" w:hAnsi="Times New Roman"/>
                <w:sz w:val="10"/>
                <w:szCs w:val="10"/>
                <w:b w:val="1"/>
                <w:bCs w:val="1"/>
                <w:color w:val="FFFFFF"/>
                <w:w w:val="95"/>
              </w:rPr>
              <w:t>plan awards: Market or</w:t>
            </w:r>
          </w:p>
        </w:tc>
        <w:tc>
          <w:tcPr>
            <w:tcW w:w="0" w:type="dxa"/>
            <w:vAlign w:val="bottom"/>
          </w:tcPr>
          <w:p>
            <w:pPr>
              <w:spacing w:after="0"/>
              <w:rPr>
                <w:sz w:val="1"/>
                <w:szCs w:val="1"/>
                <w:color w:val="auto"/>
              </w:rPr>
            </w:pPr>
          </w:p>
        </w:tc>
      </w:tr>
      <w:tr>
        <w:trPr>
          <w:trHeight w:val="99"/>
        </w:trPr>
        <w:tc>
          <w:tcPr>
            <w:tcW w:w="1160" w:type="dxa"/>
            <w:vAlign w:val="bottom"/>
            <w:tcBorders>
              <w:left w:val="single" w:sz="8" w:color="auto"/>
              <w:right w:val="single" w:sz="8" w:color="auto"/>
            </w:tcBorders>
            <w:vMerge w:val="restart"/>
            <w:shd w:val="clear" w:color="auto" w:fill="45556C"/>
          </w:tcPr>
          <w:p>
            <w:pPr>
              <w:ind w:left="440"/>
              <w:spacing w:after="0"/>
              <w:rPr>
                <w:sz w:val="20"/>
                <w:szCs w:val="20"/>
                <w:color w:val="auto"/>
              </w:rPr>
            </w:pPr>
            <w:r>
              <w:rPr>
                <w:rFonts w:ascii="Times New Roman" w:cs="Times New Roman" w:eastAsia="Times New Roman" w:hAnsi="Times New Roman"/>
                <w:sz w:val="10"/>
                <w:szCs w:val="10"/>
                <w:b w:val="1"/>
                <w:bCs w:val="1"/>
                <w:color w:val="FFFFFF"/>
              </w:rPr>
              <w:t>Name</w:t>
            </w:r>
          </w:p>
        </w:tc>
        <w:tc>
          <w:tcPr>
            <w:tcW w:w="1140" w:type="dxa"/>
            <w:vAlign w:val="bottom"/>
            <w:tcBorders>
              <w:right w:val="single" w:sz="8" w:color="auto"/>
            </w:tcBorders>
            <w:shd w:val="clear" w:color="auto" w:fill="45556C"/>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FFFFFF"/>
                <w:w w:val="94"/>
              </w:rPr>
              <w:t>underlying unexercised</w:t>
            </w:r>
          </w:p>
        </w:tc>
        <w:tc>
          <w:tcPr>
            <w:tcW w:w="1120" w:type="dxa"/>
            <w:vAlign w:val="bottom"/>
            <w:tcBorders>
              <w:right w:val="single" w:sz="8" w:color="auto"/>
            </w:tcBorders>
            <w:shd w:val="clear" w:color="auto" w:fill="45556C"/>
          </w:tcPr>
          <w:p>
            <w:pPr>
              <w:jc w:val="center"/>
              <w:ind w:right="1"/>
              <w:spacing w:after="0" w:line="99" w:lineRule="exact"/>
              <w:rPr>
                <w:sz w:val="20"/>
                <w:szCs w:val="20"/>
                <w:color w:val="auto"/>
              </w:rPr>
            </w:pPr>
            <w:r>
              <w:rPr>
                <w:rFonts w:ascii="Times New Roman" w:cs="Times New Roman" w:eastAsia="Times New Roman" w:hAnsi="Times New Roman"/>
                <w:sz w:val="10"/>
                <w:szCs w:val="10"/>
                <w:b w:val="1"/>
                <w:bCs w:val="1"/>
                <w:color w:val="FFFFFF"/>
                <w:w w:val="94"/>
              </w:rPr>
              <w:t>underlying</w:t>
            </w:r>
          </w:p>
        </w:tc>
        <w:tc>
          <w:tcPr>
            <w:tcW w:w="1120" w:type="dxa"/>
            <w:vAlign w:val="bottom"/>
            <w:tcBorders>
              <w:right w:val="single" w:sz="8" w:color="auto"/>
            </w:tcBorders>
            <w:shd w:val="clear" w:color="auto" w:fill="45556C"/>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FFFFFF"/>
                <w:w w:val="94"/>
              </w:rPr>
              <w:t>securities</w:t>
            </w:r>
          </w:p>
        </w:tc>
        <w:tc>
          <w:tcPr>
            <w:tcW w:w="160" w:type="dxa"/>
            <w:vAlign w:val="bottom"/>
            <w:shd w:val="clear" w:color="auto" w:fill="45556C"/>
          </w:tcPr>
          <w:p>
            <w:pPr>
              <w:spacing w:after="0"/>
              <w:rPr>
                <w:sz w:val="8"/>
                <w:szCs w:val="8"/>
                <w:color w:val="auto"/>
              </w:rPr>
            </w:pPr>
          </w:p>
        </w:tc>
        <w:tc>
          <w:tcPr>
            <w:tcW w:w="660" w:type="dxa"/>
            <w:vAlign w:val="bottom"/>
            <w:shd w:val="clear" w:color="auto" w:fill="45556C"/>
          </w:tcPr>
          <w:p>
            <w:pPr>
              <w:jc w:val="center"/>
              <w:ind w:left="59"/>
              <w:spacing w:after="0" w:line="99" w:lineRule="exact"/>
              <w:rPr>
                <w:sz w:val="20"/>
                <w:szCs w:val="20"/>
                <w:color w:val="auto"/>
              </w:rPr>
            </w:pPr>
            <w:r>
              <w:rPr>
                <w:rFonts w:ascii="Times New Roman" w:cs="Times New Roman" w:eastAsia="Times New Roman" w:hAnsi="Times New Roman"/>
                <w:sz w:val="10"/>
                <w:szCs w:val="10"/>
                <w:b w:val="1"/>
                <w:bCs w:val="1"/>
                <w:color w:val="FFFFFF"/>
                <w:w w:val="96"/>
              </w:rPr>
              <w:t>exercise price</w:t>
            </w:r>
          </w:p>
        </w:tc>
        <w:tc>
          <w:tcPr>
            <w:tcW w:w="300" w:type="dxa"/>
            <w:vAlign w:val="bottom"/>
            <w:tcBorders>
              <w:right w:val="single" w:sz="8" w:color="auto"/>
            </w:tcBorders>
            <w:shd w:val="clear" w:color="auto" w:fill="45556C"/>
          </w:tcPr>
          <w:p>
            <w:pPr>
              <w:spacing w:after="0"/>
              <w:rPr>
                <w:sz w:val="8"/>
                <w:szCs w:val="8"/>
                <w:color w:val="auto"/>
              </w:rPr>
            </w:pPr>
          </w:p>
        </w:tc>
        <w:tc>
          <w:tcPr>
            <w:tcW w:w="1120" w:type="dxa"/>
            <w:vAlign w:val="bottom"/>
            <w:tcBorders>
              <w:right w:val="single" w:sz="8" w:color="auto"/>
            </w:tcBorders>
            <w:vMerge w:val="restart"/>
            <w:shd w:val="clear" w:color="auto" w:fill="45556C"/>
          </w:tcPr>
          <w:p>
            <w:pPr>
              <w:jc w:val="center"/>
              <w:spacing w:after="0"/>
              <w:rPr>
                <w:sz w:val="20"/>
                <w:szCs w:val="20"/>
                <w:color w:val="auto"/>
              </w:rPr>
            </w:pPr>
            <w:r>
              <w:rPr>
                <w:rFonts w:ascii="Times New Roman" w:cs="Times New Roman" w:eastAsia="Times New Roman" w:hAnsi="Times New Roman"/>
                <w:sz w:val="10"/>
                <w:szCs w:val="10"/>
                <w:b w:val="1"/>
                <w:bCs w:val="1"/>
                <w:color w:val="FFFFFF"/>
                <w:w w:val="94"/>
              </w:rPr>
              <w:t>Option expiration date</w:t>
            </w:r>
          </w:p>
        </w:tc>
        <w:tc>
          <w:tcPr>
            <w:tcW w:w="1100" w:type="dxa"/>
            <w:vAlign w:val="bottom"/>
            <w:tcBorders>
              <w:right w:val="single" w:sz="8" w:color="auto"/>
            </w:tcBorders>
            <w:shd w:val="clear" w:color="auto" w:fill="45556C"/>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FFFFFF"/>
                <w:w w:val="95"/>
              </w:rPr>
              <w:t>of stock that have not</w:t>
            </w:r>
          </w:p>
        </w:tc>
        <w:tc>
          <w:tcPr>
            <w:tcW w:w="1120" w:type="dxa"/>
            <w:vAlign w:val="bottom"/>
            <w:tcBorders>
              <w:right w:val="single" w:sz="8" w:color="auto"/>
            </w:tcBorders>
            <w:shd w:val="clear" w:color="auto" w:fill="45556C"/>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FFFFFF"/>
                <w:w w:val="95"/>
              </w:rPr>
              <w:t>units of stock that have</w:t>
            </w:r>
          </w:p>
        </w:tc>
        <w:tc>
          <w:tcPr>
            <w:tcW w:w="1120" w:type="dxa"/>
            <w:vAlign w:val="bottom"/>
            <w:tcBorders>
              <w:right w:val="single" w:sz="8" w:color="auto"/>
            </w:tcBorders>
            <w:shd w:val="clear" w:color="auto" w:fill="45556C"/>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FFFFFF"/>
                <w:w w:val="95"/>
              </w:rPr>
              <w:t>plan awards: Number of</w:t>
            </w:r>
          </w:p>
        </w:tc>
        <w:tc>
          <w:tcPr>
            <w:tcW w:w="40" w:type="dxa"/>
            <w:vAlign w:val="bottom"/>
            <w:shd w:val="clear" w:color="auto" w:fill="45556C"/>
          </w:tcPr>
          <w:p>
            <w:pPr>
              <w:spacing w:after="0"/>
              <w:rPr>
                <w:sz w:val="8"/>
                <w:szCs w:val="8"/>
                <w:color w:val="auto"/>
              </w:rPr>
            </w:pPr>
          </w:p>
        </w:tc>
        <w:tc>
          <w:tcPr>
            <w:tcW w:w="1080" w:type="dxa"/>
            <w:vAlign w:val="bottom"/>
            <w:tcBorders>
              <w:right w:val="single" w:sz="8" w:color="auto"/>
            </w:tcBorders>
            <w:shd w:val="clear" w:color="auto" w:fill="45556C"/>
          </w:tcPr>
          <w:p>
            <w:pPr>
              <w:jc w:val="center"/>
              <w:ind w:right="32"/>
              <w:spacing w:after="0" w:line="99" w:lineRule="exact"/>
              <w:rPr>
                <w:sz w:val="20"/>
                <w:szCs w:val="20"/>
                <w:color w:val="auto"/>
              </w:rPr>
            </w:pPr>
            <w:r>
              <w:rPr>
                <w:rFonts w:ascii="Times New Roman" w:cs="Times New Roman" w:eastAsia="Times New Roman" w:hAnsi="Times New Roman"/>
                <w:sz w:val="10"/>
                <w:szCs w:val="10"/>
                <w:b w:val="1"/>
                <w:bCs w:val="1"/>
                <w:color w:val="FFFFFF"/>
                <w:w w:val="97"/>
              </w:rPr>
              <w:t>payout value of</w:t>
            </w:r>
          </w:p>
        </w:tc>
        <w:tc>
          <w:tcPr>
            <w:tcW w:w="0" w:type="dxa"/>
            <w:vAlign w:val="bottom"/>
          </w:tcPr>
          <w:p>
            <w:pPr>
              <w:spacing w:after="0"/>
              <w:rPr>
                <w:sz w:val="1"/>
                <w:szCs w:val="1"/>
                <w:color w:val="auto"/>
              </w:rPr>
            </w:pPr>
          </w:p>
        </w:tc>
      </w:tr>
      <w:tr>
        <w:trPr>
          <w:trHeight w:val="54"/>
        </w:trPr>
        <w:tc>
          <w:tcPr>
            <w:tcW w:w="1160" w:type="dxa"/>
            <w:vAlign w:val="bottom"/>
            <w:tcBorders>
              <w:left w:val="single" w:sz="8" w:color="auto"/>
              <w:right w:val="single" w:sz="8" w:color="auto"/>
            </w:tcBorders>
            <w:vMerge w:val="continue"/>
            <w:shd w:val="clear" w:color="auto" w:fill="45556C"/>
          </w:tcPr>
          <w:p>
            <w:pPr>
              <w:spacing w:after="0"/>
              <w:rPr>
                <w:sz w:val="4"/>
                <w:szCs w:val="4"/>
                <w:color w:val="auto"/>
              </w:rPr>
            </w:pPr>
          </w:p>
        </w:tc>
        <w:tc>
          <w:tcPr>
            <w:tcW w:w="1140" w:type="dxa"/>
            <w:vAlign w:val="bottom"/>
            <w:tcBorders>
              <w:right w:val="single" w:sz="8" w:color="auto"/>
            </w:tcBorders>
            <w:vMerge w:val="restart"/>
            <w:shd w:val="clear" w:color="auto" w:fill="45556C"/>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FFFFFF"/>
                <w:w w:val="96"/>
              </w:rPr>
              <w:t>options</w:t>
            </w:r>
          </w:p>
        </w:tc>
        <w:tc>
          <w:tcPr>
            <w:tcW w:w="1120" w:type="dxa"/>
            <w:vAlign w:val="bottom"/>
            <w:tcBorders>
              <w:right w:val="single" w:sz="8" w:color="auto"/>
            </w:tcBorders>
            <w:shd w:val="clear" w:color="auto" w:fill="45556C"/>
          </w:tcPr>
          <w:p>
            <w:pPr>
              <w:jc w:val="center"/>
              <w:ind w:right="1"/>
              <w:spacing w:after="0" w:line="54" w:lineRule="exact"/>
              <w:rPr>
                <w:sz w:val="20"/>
                <w:szCs w:val="20"/>
                <w:color w:val="auto"/>
              </w:rPr>
            </w:pPr>
            <w:r>
              <w:rPr>
                <w:rFonts w:ascii="Times New Roman" w:cs="Times New Roman" w:eastAsia="Times New Roman" w:hAnsi="Times New Roman"/>
                <w:sz w:val="6"/>
                <w:szCs w:val="6"/>
                <w:b w:val="1"/>
                <w:bCs w:val="1"/>
                <w:color w:val="FFFFFF"/>
              </w:rPr>
              <w:t>unexercised</w:t>
            </w:r>
          </w:p>
        </w:tc>
        <w:tc>
          <w:tcPr>
            <w:tcW w:w="1120" w:type="dxa"/>
            <w:vAlign w:val="bottom"/>
            <w:tcBorders>
              <w:right w:val="single" w:sz="8" w:color="auto"/>
            </w:tcBorders>
            <w:shd w:val="clear" w:color="auto" w:fill="45556C"/>
          </w:tcPr>
          <w:p>
            <w:pPr>
              <w:jc w:val="center"/>
              <w:spacing w:after="0" w:line="54" w:lineRule="exact"/>
              <w:rPr>
                <w:sz w:val="20"/>
                <w:szCs w:val="20"/>
                <w:color w:val="auto"/>
              </w:rPr>
            </w:pPr>
            <w:r>
              <w:rPr>
                <w:rFonts w:ascii="Times New Roman" w:cs="Times New Roman" w:eastAsia="Times New Roman" w:hAnsi="Times New Roman"/>
                <w:sz w:val="6"/>
                <w:szCs w:val="6"/>
                <w:b w:val="1"/>
                <w:bCs w:val="1"/>
                <w:color w:val="FFFFFF"/>
              </w:rPr>
              <w:t>underlying</w:t>
            </w:r>
          </w:p>
        </w:tc>
        <w:tc>
          <w:tcPr>
            <w:tcW w:w="160" w:type="dxa"/>
            <w:vAlign w:val="bottom"/>
            <w:shd w:val="clear" w:color="auto" w:fill="45556C"/>
          </w:tcPr>
          <w:p>
            <w:pPr>
              <w:spacing w:after="0"/>
              <w:rPr>
                <w:sz w:val="4"/>
                <w:szCs w:val="4"/>
                <w:color w:val="auto"/>
              </w:rPr>
            </w:pPr>
          </w:p>
        </w:tc>
        <w:tc>
          <w:tcPr>
            <w:tcW w:w="660" w:type="dxa"/>
            <w:vAlign w:val="bottom"/>
            <w:shd w:val="clear" w:color="auto" w:fill="45556C"/>
          </w:tcPr>
          <w:p>
            <w:pPr>
              <w:jc w:val="center"/>
              <w:ind w:left="59"/>
              <w:spacing w:after="0" w:line="54" w:lineRule="exact"/>
              <w:rPr>
                <w:sz w:val="20"/>
                <w:szCs w:val="20"/>
                <w:color w:val="auto"/>
              </w:rPr>
            </w:pPr>
            <w:r>
              <w:rPr>
                <w:rFonts w:ascii="Times New Roman" w:cs="Times New Roman" w:eastAsia="Times New Roman" w:hAnsi="Times New Roman"/>
                <w:sz w:val="6"/>
                <w:szCs w:val="6"/>
                <w:b w:val="1"/>
                <w:bCs w:val="1"/>
                <w:color w:val="FFFFFF"/>
                <w:vertAlign w:val="subscript"/>
              </w:rPr>
              <w:t>($)</w:t>
            </w:r>
            <w:r>
              <w:rPr>
                <w:rFonts w:ascii="Times New Roman" w:cs="Times New Roman" w:eastAsia="Times New Roman" w:hAnsi="Times New Roman"/>
                <w:sz w:val="4"/>
                <w:szCs w:val="4"/>
                <w:b w:val="1"/>
                <w:bCs w:val="1"/>
                <w:color w:val="FFFFFF"/>
              </w:rPr>
              <w:t>(1)</w:t>
            </w:r>
          </w:p>
        </w:tc>
        <w:tc>
          <w:tcPr>
            <w:tcW w:w="300" w:type="dxa"/>
            <w:vAlign w:val="bottom"/>
            <w:tcBorders>
              <w:right w:val="single" w:sz="8" w:color="auto"/>
            </w:tcBorders>
            <w:shd w:val="clear" w:color="auto" w:fill="45556C"/>
          </w:tcPr>
          <w:p>
            <w:pPr>
              <w:spacing w:after="0"/>
              <w:rPr>
                <w:sz w:val="4"/>
                <w:szCs w:val="4"/>
                <w:color w:val="auto"/>
              </w:rPr>
            </w:pPr>
          </w:p>
        </w:tc>
        <w:tc>
          <w:tcPr>
            <w:tcW w:w="1120" w:type="dxa"/>
            <w:vAlign w:val="bottom"/>
            <w:tcBorders>
              <w:right w:val="single" w:sz="8" w:color="auto"/>
            </w:tcBorders>
            <w:vMerge w:val="continue"/>
            <w:shd w:val="clear" w:color="auto" w:fill="45556C"/>
          </w:tcPr>
          <w:p>
            <w:pPr>
              <w:spacing w:after="0"/>
              <w:rPr>
                <w:sz w:val="4"/>
                <w:szCs w:val="4"/>
                <w:color w:val="auto"/>
              </w:rPr>
            </w:pPr>
          </w:p>
        </w:tc>
        <w:tc>
          <w:tcPr>
            <w:tcW w:w="1100" w:type="dxa"/>
            <w:vAlign w:val="bottom"/>
            <w:tcBorders>
              <w:right w:val="single" w:sz="8" w:color="auto"/>
            </w:tcBorders>
            <w:vMerge w:val="restart"/>
            <w:shd w:val="clear" w:color="auto" w:fill="45556C"/>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FFFFFF"/>
                <w:w w:val="97"/>
              </w:rPr>
              <w:t>vested</w:t>
            </w:r>
          </w:p>
        </w:tc>
        <w:tc>
          <w:tcPr>
            <w:tcW w:w="1120" w:type="dxa"/>
            <w:vAlign w:val="bottom"/>
            <w:tcBorders>
              <w:right w:val="single" w:sz="8" w:color="auto"/>
            </w:tcBorders>
            <w:vMerge w:val="restart"/>
            <w:shd w:val="clear" w:color="auto" w:fill="45556C"/>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FFFFFF"/>
                <w:w w:val="97"/>
              </w:rPr>
              <w:t>not vested</w:t>
            </w:r>
          </w:p>
        </w:tc>
        <w:tc>
          <w:tcPr>
            <w:tcW w:w="1120" w:type="dxa"/>
            <w:vAlign w:val="bottom"/>
            <w:tcBorders>
              <w:right w:val="single" w:sz="8" w:color="auto"/>
            </w:tcBorders>
            <w:shd w:val="clear" w:color="auto" w:fill="45556C"/>
          </w:tcPr>
          <w:p>
            <w:pPr>
              <w:jc w:val="center"/>
              <w:spacing w:after="0" w:line="54" w:lineRule="exact"/>
              <w:rPr>
                <w:sz w:val="20"/>
                <w:szCs w:val="20"/>
                <w:color w:val="auto"/>
              </w:rPr>
            </w:pPr>
            <w:r>
              <w:rPr>
                <w:rFonts w:ascii="Times New Roman" w:cs="Times New Roman" w:eastAsia="Times New Roman" w:hAnsi="Times New Roman"/>
                <w:sz w:val="6"/>
                <w:szCs w:val="6"/>
                <w:b w:val="1"/>
                <w:bCs w:val="1"/>
                <w:color w:val="FFFFFF"/>
              </w:rPr>
              <w:t>unearned</w:t>
            </w:r>
          </w:p>
        </w:tc>
        <w:tc>
          <w:tcPr>
            <w:tcW w:w="40" w:type="dxa"/>
            <w:vAlign w:val="bottom"/>
            <w:shd w:val="clear" w:color="auto" w:fill="45556C"/>
          </w:tcPr>
          <w:p>
            <w:pPr>
              <w:spacing w:after="0"/>
              <w:rPr>
                <w:sz w:val="4"/>
                <w:szCs w:val="4"/>
                <w:color w:val="auto"/>
              </w:rPr>
            </w:pPr>
          </w:p>
        </w:tc>
        <w:tc>
          <w:tcPr>
            <w:tcW w:w="1080" w:type="dxa"/>
            <w:vAlign w:val="bottom"/>
            <w:tcBorders>
              <w:right w:val="single" w:sz="8" w:color="auto"/>
            </w:tcBorders>
            <w:vMerge w:val="restart"/>
            <w:shd w:val="clear" w:color="auto" w:fill="45556C"/>
          </w:tcPr>
          <w:p>
            <w:pPr>
              <w:jc w:val="center"/>
              <w:ind w:right="32"/>
              <w:spacing w:after="0" w:line="99" w:lineRule="exact"/>
              <w:rPr>
                <w:sz w:val="20"/>
                <w:szCs w:val="20"/>
                <w:color w:val="auto"/>
              </w:rPr>
            </w:pPr>
            <w:r>
              <w:rPr>
                <w:rFonts w:ascii="Times New Roman" w:cs="Times New Roman" w:eastAsia="Times New Roman" w:hAnsi="Times New Roman"/>
                <w:sz w:val="10"/>
                <w:szCs w:val="10"/>
                <w:b w:val="1"/>
                <w:bCs w:val="1"/>
                <w:color w:val="FFFFFF"/>
                <w:w w:val="98"/>
              </w:rPr>
              <w:t>unearned</w:t>
            </w:r>
          </w:p>
        </w:tc>
        <w:tc>
          <w:tcPr>
            <w:tcW w:w="0" w:type="dxa"/>
            <w:vAlign w:val="bottom"/>
          </w:tcPr>
          <w:p>
            <w:pPr>
              <w:spacing w:after="0"/>
              <w:rPr>
                <w:sz w:val="1"/>
                <w:szCs w:val="1"/>
                <w:color w:val="auto"/>
              </w:rPr>
            </w:pPr>
          </w:p>
        </w:tc>
      </w:tr>
      <w:tr>
        <w:trPr>
          <w:trHeight w:val="45"/>
        </w:trPr>
        <w:tc>
          <w:tcPr>
            <w:tcW w:w="1160" w:type="dxa"/>
            <w:vAlign w:val="bottom"/>
            <w:tcBorders>
              <w:left w:val="single" w:sz="8" w:color="auto"/>
              <w:right w:val="single" w:sz="8" w:color="auto"/>
            </w:tcBorders>
            <w:shd w:val="clear" w:color="auto" w:fill="45556C"/>
          </w:tcPr>
          <w:p>
            <w:pPr>
              <w:spacing w:after="0"/>
              <w:rPr>
                <w:sz w:val="3"/>
                <w:szCs w:val="3"/>
                <w:color w:val="auto"/>
              </w:rPr>
            </w:pPr>
          </w:p>
        </w:tc>
        <w:tc>
          <w:tcPr>
            <w:tcW w:w="1140" w:type="dxa"/>
            <w:vAlign w:val="bottom"/>
            <w:tcBorders>
              <w:right w:val="single" w:sz="8" w:color="auto"/>
            </w:tcBorders>
            <w:vMerge w:val="continue"/>
            <w:shd w:val="clear" w:color="auto" w:fill="45556C"/>
          </w:tcPr>
          <w:p>
            <w:pPr>
              <w:spacing w:after="0"/>
              <w:rPr>
                <w:sz w:val="3"/>
                <w:szCs w:val="3"/>
                <w:color w:val="auto"/>
              </w:rPr>
            </w:pPr>
          </w:p>
        </w:tc>
        <w:tc>
          <w:tcPr>
            <w:tcW w:w="1120" w:type="dxa"/>
            <w:vAlign w:val="bottom"/>
            <w:tcBorders>
              <w:right w:val="single" w:sz="8" w:color="auto"/>
            </w:tcBorders>
            <w:vMerge w:val="restart"/>
            <w:shd w:val="clear" w:color="auto" w:fill="45556C"/>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FFFFFF"/>
                <w:w w:val="96"/>
              </w:rPr>
              <w:t>options</w:t>
            </w:r>
          </w:p>
        </w:tc>
        <w:tc>
          <w:tcPr>
            <w:tcW w:w="1120" w:type="dxa"/>
            <w:vAlign w:val="bottom"/>
            <w:tcBorders>
              <w:right w:val="single" w:sz="8" w:color="auto"/>
            </w:tcBorders>
            <w:vMerge w:val="restart"/>
            <w:shd w:val="clear" w:color="auto" w:fill="45556C"/>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FFFFFF"/>
                <w:w w:val="94"/>
              </w:rPr>
              <w:t>unexercised</w:t>
            </w:r>
          </w:p>
        </w:tc>
        <w:tc>
          <w:tcPr>
            <w:tcW w:w="160" w:type="dxa"/>
            <w:vAlign w:val="bottom"/>
            <w:shd w:val="clear" w:color="auto" w:fill="45556C"/>
          </w:tcPr>
          <w:p>
            <w:pPr>
              <w:spacing w:after="0"/>
              <w:rPr>
                <w:sz w:val="3"/>
                <w:szCs w:val="3"/>
                <w:color w:val="auto"/>
              </w:rPr>
            </w:pPr>
          </w:p>
        </w:tc>
        <w:tc>
          <w:tcPr>
            <w:tcW w:w="660" w:type="dxa"/>
            <w:vAlign w:val="bottom"/>
            <w:shd w:val="clear" w:color="auto" w:fill="45556C"/>
          </w:tcPr>
          <w:p>
            <w:pPr>
              <w:spacing w:after="0"/>
              <w:rPr>
                <w:sz w:val="3"/>
                <w:szCs w:val="3"/>
                <w:color w:val="auto"/>
              </w:rPr>
            </w:pPr>
          </w:p>
        </w:tc>
        <w:tc>
          <w:tcPr>
            <w:tcW w:w="300" w:type="dxa"/>
            <w:vAlign w:val="bottom"/>
            <w:tcBorders>
              <w:right w:val="single" w:sz="8" w:color="auto"/>
            </w:tcBorders>
            <w:shd w:val="clear" w:color="auto" w:fill="45556C"/>
          </w:tcPr>
          <w:p>
            <w:pPr>
              <w:spacing w:after="0"/>
              <w:rPr>
                <w:sz w:val="3"/>
                <w:szCs w:val="3"/>
                <w:color w:val="auto"/>
              </w:rPr>
            </w:pPr>
          </w:p>
        </w:tc>
        <w:tc>
          <w:tcPr>
            <w:tcW w:w="1120" w:type="dxa"/>
            <w:vAlign w:val="bottom"/>
            <w:tcBorders>
              <w:right w:val="single" w:sz="8" w:color="auto"/>
            </w:tcBorders>
            <w:shd w:val="clear" w:color="auto" w:fill="45556C"/>
          </w:tcPr>
          <w:p>
            <w:pPr>
              <w:spacing w:after="0"/>
              <w:rPr>
                <w:sz w:val="3"/>
                <w:szCs w:val="3"/>
                <w:color w:val="auto"/>
              </w:rPr>
            </w:pPr>
          </w:p>
        </w:tc>
        <w:tc>
          <w:tcPr>
            <w:tcW w:w="1100" w:type="dxa"/>
            <w:vAlign w:val="bottom"/>
            <w:tcBorders>
              <w:right w:val="single" w:sz="8" w:color="auto"/>
            </w:tcBorders>
            <w:vMerge w:val="continue"/>
            <w:shd w:val="clear" w:color="auto" w:fill="45556C"/>
          </w:tcPr>
          <w:p>
            <w:pPr>
              <w:spacing w:after="0"/>
              <w:rPr>
                <w:sz w:val="3"/>
                <w:szCs w:val="3"/>
                <w:color w:val="auto"/>
              </w:rPr>
            </w:pPr>
          </w:p>
        </w:tc>
        <w:tc>
          <w:tcPr>
            <w:tcW w:w="1120" w:type="dxa"/>
            <w:vAlign w:val="bottom"/>
            <w:tcBorders>
              <w:right w:val="single" w:sz="8" w:color="auto"/>
            </w:tcBorders>
            <w:vMerge w:val="continue"/>
            <w:shd w:val="clear" w:color="auto" w:fill="45556C"/>
          </w:tcPr>
          <w:p>
            <w:pPr>
              <w:spacing w:after="0"/>
              <w:rPr>
                <w:sz w:val="3"/>
                <w:szCs w:val="3"/>
                <w:color w:val="auto"/>
              </w:rPr>
            </w:pPr>
          </w:p>
        </w:tc>
        <w:tc>
          <w:tcPr>
            <w:tcW w:w="1120" w:type="dxa"/>
            <w:vAlign w:val="bottom"/>
            <w:tcBorders>
              <w:right w:val="single" w:sz="8" w:color="auto"/>
            </w:tcBorders>
            <w:vMerge w:val="restart"/>
            <w:shd w:val="clear" w:color="auto" w:fill="45556C"/>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FFFFFF"/>
                <w:w w:val="94"/>
              </w:rPr>
              <w:t>shares, units or other</w:t>
            </w:r>
          </w:p>
        </w:tc>
        <w:tc>
          <w:tcPr>
            <w:tcW w:w="40" w:type="dxa"/>
            <w:vAlign w:val="bottom"/>
            <w:shd w:val="clear" w:color="auto" w:fill="45556C"/>
          </w:tcPr>
          <w:p>
            <w:pPr>
              <w:spacing w:after="0"/>
              <w:rPr>
                <w:sz w:val="3"/>
                <w:szCs w:val="3"/>
                <w:color w:val="auto"/>
              </w:rPr>
            </w:pPr>
          </w:p>
        </w:tc>
        <w:tc>
          <w:tcPr>
            <w:tcW w:w="1080" w:type="dxa"/>
            <w:vAlign w:val="bottom"/>
            <w:tcBorders>
              <w:right w:val="single" w:sz="8" w:color="auto"/>
            </w:tcBorders>
            <w:vMerge w:val="continue"/>
            <w:shd w:val="clear" w:color="auto" w:fill="45556C"/>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1160" w:type="dxa"/>
            <w:vAlign w:val="bottom"/>
            <w:tcBorders>
              <w:left w:val="single" w:sz="8" w:color="auto"/>
              <w:right w:val="single" w:sz="8" w:color="auto"/>
            </w:tcBorders>
            <w:shd w:val="clear" w:color="auto" w:fill="45556C"/>
          </w:tcPr>
          <w:p>
            <w:pPr>
              <w:spacing w:after="0"/>
              <w:rPr>
                <w:sz w:val="3"/>
                <w:szCs w:val="3"/>
                <w:color w:val="auto"/>
              </w:rPr>
            </w:pPr>
          </w:p>
        </w:tc>
        <w:tc>
          <w:tcPr>
            <w:tcW w:w="1140" w:type="dxa"/>
            <w:vAlign w:val="bottom"/>
            <w:tcBorders>
              <w:right w:val="single" w:sz="8" w:color="auto"/>
            </w:tcBorders>
            <w:vMerge w:val="restart"/>
            <w:shd w:val="clear" w:color="auto" w:fill="45556C"/>
          </w:tcPr>
          <w:p>
            <w:pPr>
              <w:jc w:val="center"/>
              <w:spacing w:after="0" w:line="92" w:lineRule="exact"/>
              <w:rPr>
                <w:sz w:val="20"/>
                <w:szCs w:val="20"/>
                <w:color w:val="auto"/>
              </w:rPr>
            </w:pPr>
            <w:r>
              <w:rPr>
                <w:rFonts w:ascii="Times New Roman" w:cs="Times New Roman" w:eastAsia="Times New Roman" w:hAnsi="Times New Roman"/>
                <w:sz w:val="10"/>
                <w:szCs w:val="10"/>
                <w:b w:val="1"/>
                <w:bCs w:val="1"/>
                <w:color w:val="FFFFFF"/>
                <w:w w:val="94"/>
              </w:rPr>
              <w:t>(#) exercisable</w:t>
            </w:r>
          </w:p>
        </w:tc>
        <w:tc>
          <w:tcPr>
            <w:tcW w:w="1120" w:type="dxa"/>
            <w:vAlign w:val="bottom"/>
            <w:tcBorders>
              <w:right w:val="single" w:sz="8" w:color="auto"/>
            </w:tcBorders>
            <w:vMerge w:val="continue"/>
            <w:shd w:val="clear" w:color="auto" w:fill="45556C"/>
          </w:tcPr>
          <w:p>
            <w:pPr>
              <w:spacing w:after="0"/>
              <w:rPr>
                <w:sz w:val="3"/>
                <w:szCs w:val="3"/>
                <w:color w:val="auto"/>
              </w:rPr>
            </w:pPr>
          </w:p>
        </w:tc>
        <w:tc>
          <w:tcPr>
            <w:tcW w:w="1120" w:type="dxa"/>
            <w:vAlign w:val="bottom"/>
            <w:tcBorders>
              <w:right w:val="single" w:sz="8" w:color="auto"/>
            </w:tcBorders>
            <w:vMerge w:val="continue"/>
            <w:shd w:val="clear" w:color="auto" w:fill="45556C"/>
          </w:tcPr>
          <w:p>
            <w:pPr>
              <w:spacing w:after="0"/>
              <w:rPr>
                <w:sz w:val="3"/>
                <w:szCs w:val="3"/>
                <w:color w:val="auto"/>
              </w:rPr>
            </w:pPr>
          </w:p>
        </w:tc>
        <w:tc>
          <w:tcPr>
            <w:tcW w:w="160" w:type="dxa"/>
            <w:vAlign w:val="bottom"/>
            <w:shd w:val="clear" w:color="auto" w:fill="45556C"/>
          </w:tcPr>
          <w:p>
            <w:pPr>
              <w:spacing w:after="0"/>
              <w:rPr>
                <w:sz w:val="3"/>
                <w:szCs w:val="3"/>
                <w:color w:val="auto"/>
              </w:rPr>
            </w:pPr>
          </w:p>
        </w:tc>
        <w:tc>
          <w:tcPr>
            <w:tcW w:w="660" w:type="dxa"/>
            <w:vAlign w:val="bottom"/>
            <w:shd w:val="clear" w:color="auto" w:fill="45556C"/>
          </w:tcPr>
          <w:p>
            <w:pPr>
              <w:spacing w:after="0"/>
              <w:rPr>
                <w:sz w:val="3"/>
                <w:szCs w:val="3"/>
                <w:color w:val="auto"/>
              </w:rPr>
            </w:pPr>
          </w:p>
        </w:tc>
        <w:tc>
          <w:tcPr>
            <w:tcW w:w="300" w:type="dxa"/>
            <w:vAlign w:val="bottom"/>
            <w:tcBorders>
              <w:right w:val="single" w:sz="8" w:color="auto"/>
            </w:tcBorders>
            <w:shd w:val="clear" w:color="auto" w:fill="45556C"/>
          </w:tcPr>
          <w:p>
            <w:pPr>
              <w:spacing w:after="0"/>
              <w:rPr>
                <w:sz w:val="3"/>
                <w:szCs w:val="3"/>
                <w:color w:val="auto"/>
              </w:rPr>
            </w:pPr>
          </w:p>
        </w:tc>
        <w:tc>
          <w:tcPr>
            <w:tcW w:w="1120" w:type="dxa"/>
            <w:vAlign w:val="bottom"/>
            <w:tcBorders>
              <w:right w:val="single" w:sz="8" w:color="auto"/>
            </w:tcBorders>
            <w:shd w:val="clear" w:color="auto" w:fill="45556C"/>
          </w:tcPr>
          <w:p>
            <w:pPr>
              <w:spacing w:after="0"/>
              <w:rPr>
                <w:sz w:val="3"/>
                <w:szCs w:val="3"/>
                <w:color w:val="auto"/>
              </w:rPr>
            </w:pPr>
          </w:p>
        </w:tc>
        <w:tc>
          <w:tcPr>
            <w:tcW w:w="1100" w:type="dxa"/>
            <w:vAlign w:val="bottom"/>
            <w:tcBorders>
              <w:right w:val="single" w:sz="8" w:color="auto"/>
            </w:tcBorders>
            <w:vMerge w:val="restart"/>
            <w:shd w:val="clear" w:color="auto" w:fill="45556C"/>
          </w:tcPr>
          <w:p>
            <w:pPr>
              <w:jc w:val="center"/>
              <w:spacing w:after="0" w:line="92" w:lineRule="exact"/>
              <w:rPr>
                <w:sz w:val="20"/>
                <w:szCs w:val="20"/>
                <w:color w:val="auto"/>
              </w:rPr>
            </w:pPr>
            <w:r>
              <w:rPr>
                <w:rFonts w:ascii="Times New Roman" w:cs="Times New Roman" w:eastAsia="Times New Roman" w:hAnsi="Times New Roman"/>
                <w:sz w:val="10"/>
                <w:szCs w:val="10"/>
                <w:b w:val="1"/>
                <w:bCs w:val="1"/>
                <w:color w:val="FFFFFF"/>
                <w:w w:val="85"/>
              </w:rPr>
              <w:t>(#)</w:t>
            </w:r>
          </w:p>
        </w:tc>
        <w:tc>
          <w:tcPr>
            <w:tcW w:w="1120" w:type="dxa"/>
            <w:vAlign w:val="bottom"/>
            <w:tcBorders>
              <w:right w:val="single" w:sz="8" w:color="auto"/>
            </w:tcBorders>
            <w:vMerge w:val="restart"/>
            <w:shd w:val="clear" w:color="auto" w:fill="45556C"/>
          </w:tcPr>
          <w:p>
            <w:pPr>
              <w:jc w:val="center"/>
              <w:spacing w:after="0" w:line="92" w:lineRule="exact"/>
              <w:rPr>
                <w:sz w:val="20"/>
                <w:szCs w:val="20"/>
                <w:color w:val="auto"/>
              </w:rPr>
            </w:pPr>
            <w:r>
              <w:rPr>
                <w:rFonts w:ascii="Times New Roman" w:cs="Times New Roman" w:eastAsia="Times New Roman" w:hAnsi="Times New Roman"/>
                <w:sz w:val="10"/>
                <w:szCs w:val="10"/>
                <w:b w:val="1"/>
                <w:bCs w:val="1"/>
                <w:color w:val="FFFFFF"/>
                <w:w w:val="85"/>
              </w:rPr>
              <w:t>($)</w:t>
            </w:r>
          </w:p>
        </w:tc>
        <w:tc>
          <w:tcPr>
            <w:tcW w:w="1120" w:type="dxa"/>
            <w:vAlign w:val="bottom"/>
            <w:tcBorders>
              <w:right w:val="single" w:sz="8" w:color="auto"/>
            </w:tcBorders>
            <w:vMerge w:val="continue"/>
            <w:shd w:val="clear" w:color="auto" w:fill="45556C"/>
          </w:tcPr>
          <w:p>
            <w:pPr>
              <w:spacing w:after="0"/>
              <w:rPr>
                <w:sz w:val="3"/>
                <w:szCs w:val="3"/>
                <w:color w:val="auto"/>
              </w:rPr>
            </w:pPr>
          </w:p>
        </w:tc>
        <w:tc>
          <w:tcPr>
            <w:tcW w:w="40" w:type="dxa"/>
            <w:vAlign w:val="bottom"/>
            <w:shd w:val="clear" w:color="auto" w:fill="45556C"/>
          </w:tcPr>
          <w:p>
            <w:pPr>
              <w:spacing w:after="0"/>
              <w:rPr>
                <w:sz w:val="3"/>
                <w:szCs w:val="3"/>
                <w:color w:val="auto"/>
              </w:rPr>
            </w:pPr>
          </w:p>
        </w:tc>
        <w:tc>
          <w:tcPr>
            <w:tcW w:w="1080" w:type="dxa"/>
            <w:vAlign w:val="bottom"/>
            <w:tcBorders>
              <w:right w:val="single" w:sz="8" w:color="auto"/>
            </w:tcBorders>
            <w:vMerge w:val="restart"/>
            <w:shd w:val="clear" w:color="auto" w:fill="45556C"/>
          </w:tcPr>
          <w:p>
            <w:pPr>
              <w:jc w:val="center"/>
              <w:ind w:right="32"/>
              <w:spacing w:after="0" w:line="92" w:lineRule="exact"/>
              <w:rPr>
                <w:sz w:val="20"/>
                <w:szCs w:val="20"/>
                <w:color w:val="auto"/>
              </w:rPr>
            </w:pPr>
            <w:r>
              <w:rPr>
                <w:rFonts w:ascii="Times New Roman" w:cs="Times New Roman" w:eastAsia="Times New Roman" w:hAnsi="Times New Roman"/>
                <w:sz w:val="10"/>
                <w:szCs w:val="10"/>
                <w:b w:val="1"/>
                <w:bCs w:val="1"/>
                <w:color w:val="FFFFFF"/>
                <w:w w:val="97"/>
              </w:rPr>
              <w:t>shares, units or other</w:t>
            </w:r>
          </w:p>
        </w:tc>
        <w:tc>
          <w:tcPr>
            <w:tcW w:w="0" w:type="dxa"/>
            <w:vAlign w:val="bottom"/>
          </w:tcPr>
          <w:p>
            <w:pPr>
              <w:spacing w:after="0"/>
              <w:rPr>
                <w:sz w:val="1"/>
                <w:szCs w:val="1"/>
                <w:color w:val="auto"/>
              </w:rPr>
            </w:pPr>
          </w:p>
        </w:tc>
      </w:tr>
      <w:tr>
        <w:trPr>
          <w:trHeight w:val="47"/>
        </w:trPr>
        <w:tc>
          <w:tcPr>
            <w:tcW w:w="1160" w:type="dxa"/>
            <w:vAlign w:val="bottom"/>
            <w:tcBorders>
              <w:left w:val="single" w:sz="8" w:color="auto"/>
              <w:right w:val="single" w:sz="8" w:color="auto"/>
            </w:tcBorders>
            <w:shd w:val="clear" w:color="auto" w:fill="45556C"/>
          </w:tcPr>
          <w:p>
            <w:pPr>
              <w:spacing w:after="0"/>
              <w:rPr>
                <w:sz w:val="4"/>
                <w:szCs w:val="4"/>
                <w:color w:val="auto"/>
              </w:rPr>
            </w:pPr>
          </w:p>
        </w:tc>
        <w:tc>
          <w:tcPr>
            <w:tcW w:w="1140" w:type="dxa"/>
            <w:vAlign w:val="bottom"/>
            <w:tcBorders>
              <w:right w:val="single" w:sz="8" w:color="auto"/>
            </w:tcBorders>
            <w:vMerge w:val="continue"/>
            <w:shd w:val="clear" w:color="auto" w:fill="45556C"/>
          </w:tcPr>
          <w:p>
            <w:pPr>
              <w:spacing w:after="0"/>
              <w:rPr>
                <w:sz w:val="4"/>
                <w:szCs w:val="4"/>
                <w:color w:val="auto"/>
              </w:rPr>
            </w:pPr>
          </w:p>
        </w:tc>
        <w:tc>
          <w:tcPr>
            <w:tcW w:w="1120" w:type="dxa"/>
            <w:vAlign w:val="bottom"/>
            <w:tcBorders>
              <w:right w:val="single" w:sz="8" w:color="auto"/>
            </w:tcBorders>
            <w:vMerge w:val="restart"/>
            <w:shd w:val="clear" w:color="auto" w:fill="45556C"/>
          </w:tcPr>
          <w:p>
            <w:pPr>
              <w:jc w:val="center"/>
              <w:spacing w:after="0"/>
              <w:rPr>
                <w:sz w:val="20"/>
                <w:szCs w:val="20"/>
                <w:color w:val="auto"/>
              </w:rPr>
            </w:pPr>
            <w:r>
              <w:rPr>
                <w:rFonts w:ascii="Times New Roman" w:cs="Times New Roman" w:eastAsia="Times New Roman" w:hAnsi="Times New Roman"/>
                <w:sz w:val="10"/>
                <w:szCs w:val="10"/>
                <w:b w:val="1"/>
                <w:bCs w:val="1"/>
                <w:color w:val="FFFFFF"/>
                <w:w w:val="96"/>
              </w:rPr>
              <w:t>(#) unexercisable</w:t>
            </w:r>
          </w:p>
        </w:tc>
        <w:tc>
          <w:tcPr>
            <w:tcW w:w="1120" w:type="dxa"/>
            <w:vAlign w:val="bottom"/>
            <w:tcBorders>
              <w:right w:val="single" w:sz="8" w:color="auto"/>
            </w:tcBorders>
            <w:vMerge w:val="restart"/>
            <w:shd w:val="clear" w:color="auto" w:fill="45556C"/>
          </w:tcPr>
          <w:p>
            <w:pPr>
              <w:jc w:val="center"/>
              <w:spacing w:after="0"/>
              <w:rPr>
                <w:sz w:val="20"/>
                <w:szCs w:val="20"/>
                <w:color w:val="auto"/>
              </w:rPr>
            </w:pPr>
            <w:r>
              <w:rPr>
                <w:rFonts w:ascii="Times New Roman" w:cs="Times New Roman" w:eastAsia="Times New Roman" w:hAnsi="Times New Roman"/>
                <w:sz w:val="10"/>
                <w:szCs w:val="10"/>
                <w:b w:val="1"/>
                <w:bCs w:val="1"/>
                <w:color w:val="FFFFFF"/>
                <w:w w:val="93"/>
              </w:rPr>
              <w:t>unearned</w:t>
            </w:r>
          </w:p>
        </w:tc>
        <w:tc>
          <w:tcPr>
            <w:tcW w:w="160" w:type="dxa"/>
            <w:vAlign w:val="bottom"/>
            <w:shd w:val="clear" w:color="auto" w:fill="45556C"/>
          </w:tcPr>
          <w:p>
            <w:pPr>
              <w:spacing w:after="0"/>
              <w:rPr>
                <w:sz w:val="4"/>
                <w:szCs w:val="4"/>
                <w:color w:val="auto"/>
              </w:rPr>
            </w:pPr>
          </w:p>
        </w:tc>
        <w:tc>
          <w:tcPr>
            <w:tcW w:w="660" w:type="dxa"/>
            <w:vAlign w:val="bottom"/>
            <w:shd w:val="clear" w:color="auto" w:fill="45556C"/>
          </w:tcPr>
          <w:p>
            <w:pPr>
              <w:spacing w:after="0"/>
              <w:rPr>
                <w:sz w:val="4"/>
                <w:szCs w:val="4"/>
                <w:color w:val="auto"/>
              </w:rPr>
            </w:pPr>
          </w:p>
        </w:tc>
        <w:tc>
          <w:tcPr>
            <w:tcW w:w="300" w:type="dxa"/>
            <w:vAlign w:val="bottom"/>
            <w:tcBorders>
              <w:right w:val="single" w:sz="8" w:color="auto"/>
            </w:tcBorders>
            <w:shd w:val="clear" w:color="auto" w:fill="45556C"/>
          </w:tcPr>
          <w:p>
            <w:pPr>
              <w:spacing w:after="0"/>
              <w:rPr>
                <w:sz w:val="4"/>
                <w:szCs w:val="4"/>
                <w:color w:val="auto"/>
              </w:rPr>
            </w:pPr>
          </w:p>
        </w:tc>
        <w:tc>
          <w:tcPr>
            <w:tcW w:w="1120" w:type="dxa"/>
            <w:vAlign w:val="bottom"/>
            <w:tcBorders>
              <w:right w:val="single" w:sz="8" w:color="auto"/>
            </w:tcBorders>
            <w:shd w:val="clear" w:color="auto" w:fill="45556C"/>
          </w:tcPr>
          <w:p>
            <w:pPr>
              <w:spacing w:after="0"/>
              <w:rPr>
                <w:sz w:val="4"/>
                <w:szCs w:val="4"/>
                <w:color w:val="auto"/>
              </w:rPr>
            </w:pPr>
          </w:p>
        </w:tc>
        <w:tc>
          <w:tcPr>
            <w:tcW w:w="1100" w:type="dxa"/>
            <w:vAlign w:val="bottom"/>
            <w:tcBorders>
              <w:right w:val="single" w:sz="8" w:color="auto"/>
            </w:tcBorders>
            <w:vMerge w:val="continue"/>
            <w:shd w:val="clear" w:color="auto" w:fill="45556C"/>
          </w:tcPr>
          <w:p>
            <w:pPr>
              <w:spacing w:after="0"/>
              <w:rPr>
                <w:sz w:val="4"/>
                <w:szCs w:val="4"/>
                <w:color w:val="auto"/>
              </w:rPr>
            </w:pPr>
          </w:p>
        </w:tc>
        <w:tc>
          <w:tcPr>
            <w:tcW w:w="1120" w:type="dxa"/>
            <w:vAlign w:val="bottom"/>
            <w:tcBorders>
              <w:right w:val="single" w:sz="8" w:color="auto"/>
            </w:tcBorders>
            <w:vMerge w:val="continue"/>
            <w:shd w:val="clear" w:color="auto" w:fill="45556C"/>
          </w:tcPr>
          <w:p>
            <w:pPr>
              <w:spacing w:after="0"/>
              <w:rPr>
                <w:sz w:val="4"/>
                <w:szCs w:val="4"/>
                <w:color w:val="auto"/>
              </w:rPr>
            </w:pPr>
          </w:p>
        </w:tc>
        <w:tc>
          <w:tcPr>
            <w:tcW w:w="1120" w:type="dxa"/>
            <w:vAlign w:val="bottom"/>
            <w:tcBorders>
              <w:right w:val="single" w:sz="8" w:color="auto"/>
            </w:tcBorders>
            <w:vMerge w:val="restart"/>
            <w:shd w:val="clear" w:color="auto" w:fill="45556C"/>
          </w:tcPr>
          <w:p>
            <w:pPr>
              <w:jc w:val="center"/>
              <w:spacing w:after="0"/>
              <w:rPr>
                <w:sz w:val="20"/>
                <w:szCs w:val="20"/>
                <w:color w:val="auto"/>
              </w:rPr>
            </w:pPr>
            <w:r>
              <w:rPr>
                <w:rFonts w:ascii="Times New Roman" w:cs="Times New Roman" w:eastAsia="Times New Roman" w:hAnsi="Times New Roman"/>
                <w:sz w:val="10"/>
                <w:szCs w:val="10"/>
                <w:b w:val="1"/>
                <w:bCs w:val="1"/>
                <w:color w:val="FFFFFF"/>
                <w:w w:val="95"/>
              </w:rPr>
              <w:t>rights that have not vested</w:t>
            </w:r>
          </w:p>
        </w:tc>
        <w:tc>
          <w:tcPr>
            <w:tcW w:w="40" w:type="dxa"/>
            <w:vAlign w:val="bottom"/>
            <w:shd w:val="clear" w:color="auto" w:fill="45556C"/>
          </w:tcPr>
          <w:p>
            <w:pPr>
              <w:spacing w:after="0"/>
              <w:rPr>
                <w:sz w:val="4"/>
                <w:szCs w:val="4"/>
                <w:color w:val="auto"/>
              </w:rPr>
            </w:pPr>
          </w:p>
        </w:tc>
        <w:tc>
          <w:tcPr>
            <w:tcW w:w="1080" w:type="dxa"/>
            <w:vAlign w:val="bottom"/>
            <w:tcBorders>
              <w:right w:val="single" w:sz="8" w:color="auto"/>
            </w:tcBorders>
            <w:vMerge w:val="continue"/>
            <w:shd w:val="clear" w:color="auto" w:fill="45556C"/>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1160" w:type="dxa"/>
            <w:vAlign w:val="bottom"/>
            <w:tcBorders>
              <w:left w:val="single" w:sz="8" w:color="auto"/>
              <w:right w:val="single" w:sz="8" w:color="auto"/>
            </w:tcBorders>
            <w:shd w:val="clear" w:color="auto" w:fill="45556C"/>
          </w:tcPr>
          <w:p>
            <w:pPr>
              <w:spacing w:after="0"/>
              <w:rPr>
                <w:sz w:val="8"/>
                <w:szCs w:val="8"/>
                <w:color w:val="auto"/>
              </w:rPr>
            </w:pPr>
          </w:p>
        </w:tc>
        <w:tc>
          <w:tcPr>
            <w:tcW w:w="1140" w:type="dxa"/>
            <w:vAlign w:val="bottom"/>
            <w:tcBorders>
              <w:right w:val="single" w:sz="8" w:color="auto"/>
            </w:tcBorders>
            <w:shd w:val="clear" w:color="auto" w:fill="45556C"/>
          </w:tcPr>
          <w:p>
            <w:pPr>
              <w:spacing w:after="0"/>
              <w:rPr>
                <w:sz w:val="8"/>
                <w:szCs w:val="8"/>
                <w:color w:val="auto"/>
              </w:rPr>
            </w:pPr>
          </w:p>
        </w:tc>
        <w:tc>
          <w:tcPr>
            <w:tcW w:w="1120" w:type="dxa"/>
            <w:vAlign w:val="bottom"/>
            <w:tcBorders>
              <w:right w:val="single" w:sz="8" w:color="auto"/>
            </w:tcBorders>
            <w:vMerge w:val="continue"/>
            <w:shd w:val="clear" w:color="auto" w:fill="45556C"/>
          </w:tcPr>
          <w:p>
            <w:pPr>
              <w:spacing w:after="0"/>
              <w:rPr>
                <w:sz w:val="8"/>
                <w:szCs w:val="8"/>
                <w:color w:val="auto"/>
              </w:rPr>
            </w:pPr>
          </w:p>
        </w:tc>
        <w:tc>
          <w:tcPr>
            <w:tcW w:w="1120" w:type="dxa"/>
            <w:vAlign w:val="bottom"/>
            <w:tcBorders>
              <w:right w:val="single" w:sz="8" w:color="auto"/>
            </w:tcBorders>
            <w:vMerge w:val="continue"/>
            <w:shd w:val="clear" w:color="auto" w:fill="45556C"/>
          </w:tcPr>
          <w:p>
            <w:pPr>
              <w:spacing w:after="0"/>
              <w:rPr>
                <w:sz w:val="8"/>
                <w:szCs w:val="8"/>
                <w:color w:val="auto"/>
              </w:rPr>
            </w:pPr>
          </w:p>
        </w:tc>
        <w:tc>
          <w:tcPr>
            <w:tcW w:w="160" w:type="dxa"/>
            <w:vAlign w:val="bottom"/>
            <w:shd w:val="clear" w:color="auto" w:fill="45556C"/>
          </w:tcPr>
          <w:p>
            <w:pPr>
              <w:spacing w:after="0"/>
              <w:rPr>
                <w:sz w:val="8"/>
                <w:szCs w:val="8"/>
                <w:color w:val="auto"/>
              </w:rPr>
            </w:pPr>
          </w:p>
        </w:tc>
        <w:tc>
          <w:tcPr>
            <w:tcW w:w="660" w:type="dxa"/>
            <w:vAlign w:val="bottom"/>
            <w:shd w:val="clear" w:color="auto" w:fill="45556C"/>
          </w:tcPr>
          <w:p>
            <w:pPr>
              <w:spacing w:after="0"/>
              <w:rPr>
                <w:sz w:val="8"/>
                <w:szCs w:val="8"/>
                <w:color w:val="auto"/>
              </w:rPr>
            </w:pPr>
          </w:p>
        </w:tc>
        <w:tc>
          <w:tcPr>
            <w:tcW w:w="300" w:type="dxa"/>
            <w:vAlign w:val="bottom"/>
            <w:tcBorders>
              <w:right w:val="single" w:sz="8" w:color="auto"/>
            </w:tcBorders>
            <w:shd w:val="clear" w:color="auto" w:fill="45556C"/>
          </w:tcPr>
          <w:p>
            <w:pPr>
              <w:spacing w:after="0"/>
              <w:rPr>
                <w:sz w:val="8"/>
                <w:szCs w:val="8"/>
                <w:color w:val="auto"/>
              </w:rPr>
            </w:pPr>
          </w:p>
        </w:tc>
        <w:tc>
          <w:tcPr>
            <w:tcW w:w="1120" w:type="dxa"/>
            <w:vAlign w:val="bottom"/>
            <w:tcBorders>
              <w:right w:val="single" w:sz="8" w:color="auto"/>
            </w:tcBorders>
            <w:shd w:val="clear" w:color="auto" w:fill="45556C"/>
          </w:tcPr>
          <w:p>
            <w:pPr>
              <w:spacing w:after="0"/>
              <w:rPr>
                <w:sz w:val="8"/>
                <w:szCs w:val="8"/>
                <w:color w:val="auto"/>
              </w:rPr>
            </w:pPr>
          </w:p>
        </w:tc>
        <w:tc>
          <w:tcPr>
            <w:tcW w:w="1100" w:type="dxa"/>
            <w:vAlign w:val="bottom"/>
            <w:tcBorders>
              <w:right w:val="single" w:sz="8" w:color="auto"/>
            </w:tcBorders>
            <w:shd w:val="clear" w:color="auto" w:fill="45556C"/>
          </w:tcPr>
          <w:p>
            <w:pPr>
              <w:spacing w:after="0"/>
              <w:rPr>
                <w:sz w:val="8"/>
                <w:szCs w:val="8"/>
                <w:color w:val="auto"/>
              </w:rPr>
            </w:pPr>
          </w:p>
        </w:tc>
        <w:tc>
          <w:tcPr>
            <w:tcW w:w="1120" w:type="dxa"/>
            <w:vAlign w:val="bottom"/>
            <w:tcBorders>
              <w:right w:val="single" w:sz="8" w:color="auto"/>
            </w:tcBorders>
            <w:shd w:val="clear" w:color="auto" w:fill="45556C"/>
          </w:tcPr>
          <w:p>
            <w:pPr>
              <w:spacing w:after="0"/>
              <w:rPr>
                <w:sz w:val="8"/>
                <w:szCs w:val="8"/>
                <w:color w:val="auto"/>
              </w:rPr>
            </w:pPr>
          </w:p>
        </w:tc>
        <w:tc>
          <w:tcPr>
            <w:tcW w:w="1120" w:type="dxa"/>
            <w:vAlign w:val="bottom"/>
            <w:tcBorders>
              <w:right w:val="single" w:sz="8" w:color="auto"/>
            </w:tcBorders>
            <w:vMerge w:val="continue"/>
            <w:shd w:val="clear" w:color="auto" w:fill="45556C"/>
          </w:tcPr>
          <w:p>
            <w:pPr>
              <w:spacing w:after="0"/>
              <w:rPr>
                <w:sz w:val="8"/>
                <w:szCs w:val="8"/>
                <w:color w:val="auto"/>
              </w:rPr>
            </w:pPr>
          </w:p>
        </w:tc>
        <w:tc>
          <w:tcPr>
            <w:tcW w:w="1120" w:type="dxa"/>
            <w:vAlign w:val="bottom"/>
            <w:tcBorders>
              <w:right w:val="single" w:sz="8" w:color="auto"/>
            </w:tcBorders>
            <w:gridSpan w:val="2"/>
            <w:shd w:val="clear" w:color="auto" w:fill="45556C"/>
          </w:tcPr>
          <w:p>
            <w:pPr>
              <w:spacing w:after="0" w:line="98" w:lineRule="exact"/>
              <w:rPr>
                <w:sz w:val="20"/>
                <w:szCs w:val="20"/>
                <w:color w:val="auto"/>
              </w:rPr>
            </w:pPr>
            <w:r>
              <w:rPr>
                <w:rFonts w:ascii="Times New Roman" w:cs="Times New Roman" w:eastAsia="Times New Roman" w:hAnsi="Times New Roman"/>
                <w:sz w:val="10"/>
                <w:szCs w:val="10"/>
                <w:b w:val="1"/>
                <w:bCs w:val="1"/>
                <w:color w:val="FFFFFF"/>
                <w:w w:val="95"/>
              </w:rPr>
              <w:t>rights that have not vested</w:t>
            </w:r>
          </w:p>
        </w:tc>
        <w:tc>
          <w:tcPr>
            <w:tcW w:w="0" w:type="dxa"/>
            <w:vAlign w:val="bottom"/>
          </w:tcPr>
          <w:p>
            <w:pPr>
              <w:spacing w:after="0"/>
              <w:rPr>
                <w:sz w:val="1"/>
                <w:szCs w:val="1"/>
                <w:color w:val="auto"/>
              </w:rPr>
            </w:pPr>
          </w:p>
        </w:tc>
      </w:tr>
      <w:tr>
        <w:trPr>
          <w:trHeight w:val="54"/>
        </w:trPr>
        <w:tc>
          <w:tcPr>
            <w:tcW w:w="1160" w:type="dxa"/>
            <w:vAlign w:val="bottom"/>
            <w:tcBorders>
              <w:left w:val="single" w:sz="8" w:color="auto"/>
              <w:right w:val="single" w:sz="8" w:color="auto"/>
            </w:tcBorders>
            <w:shd w:val="clear" w:color="auto" w:fill="45556C"/>
          </w:tcPr>
          <w:p>
            <w:pPr>
              <w:spacing w:after="0"/>
              <w:rPr>
                <w:sz w:val="4"/>
                <w:szCs w:val="4"/>
                <w:color w:val="auto"/>
              </w:rPr>
            </w:pPr>
          </w:p>
        </w:tc>
        <w:tc>
          <w:tcPr>
            <w:tcW w:w="1140" w:type="dxa"/>
            <w:vAlign w:val="bottom"/>
            <w:tcBorders>
              <w:right w:val="single" w:sz="8" w:color="auto"/>
            </w:tcBorders>
            <w:shd w:val="clear" w:color="auto" w:fill="45556C"/>
          </w:tcPr>
          <w:p>
            <w:pPr>
              <w:spacing w:after="0"/>
              <w:rPr>
                <w:sz w:val="4"/>
                <w:szCs w:val="4"/>
                <w:color w:val="auto"/>
              </w:rPr>
            </w:pPr>
          </w:p>
        </w:tc>
        <w:tc>
          <w:tcPr>
            <w:tcW w:w="1120" w:type="dxa"/>
            <w:vAlign w:val="bottom"/>
            <w:tcBorders>
              <w:right w:val="single" w:sz="8" w:color="auto"/>
            </w:tcBorders>
            <w:shd w:val="clear" w:color="auto" w:fill="45556C"/>
          </w:tcPr>
          <w:p>
            <w:pPr>
              <w:spacing w:after="0"/>
              <w:rPr>
                <w:sz w:val="4"/>
                <w:szCs w:val="4"/>
                <w:color w:val="auto"/>
              </w:rPr>
            </w:pPr>
          </w:p>
        </w:tc>
        <w:tc>
          <w:tcPr>
            <w:tcW w:w="1120" w:type="dxa"/>
            <w:vAlign w:val="bottom"/>
            <w:tcBorders>
              <w:right w:val="single" w:sz="8" w:color="auto"/>
            </w:tcBorders>
            <w:shd w:val="clear" w:color="auto" w:fill="45556C"/>
          </w:tcPr>
          <w:p>
            <w:pPr>
              <w:jc w:val="center"/>
              <w:spacing w:after="0" w:line="54" w:lineRule="exact"/>
              <w:rPr>
                <w:sz w:val="20"/>
                <w:szCs w:val="20"/>
                <w:color w:val="auto"/>
              </w:rPr>
            </w:pPr>
            <w:r>
              <w:rPr>
                <w:rFonts w:ascii="Times New Roman" w:cs="Times New Roman" w:eastAsia="Times New Roman" w:hAnsi="Times New Roman"/>
                <w:sz w:val="6"/>
                <w:szCs w:val="6"/>
                <w:b w:val="1"/>
                <w:bCs w:val="1"/>
                <w:color w:val="FFFFFF"/>
              </w:rPr>
              <w:t>options</w:t>
            </w:r>
          </w:p>
        </w:tc>
        <w:tc>
          <w:tcPr>
            <w:tcW w:w="160" w:type="dxa"/>
            <w:vAlign w:val="bottom"/>
            <w:shd w:val="clear" w:color="auto" w:fill="45556C"/>
          </w:tcPr>
          <w:p>
            <w:pPr>
              <w:spacing w:after="0"/>
              <w:rPr>
                <w:sz w:val="4"/>
                <w:szCs w:val="4"/>
                <w:color w:val="auto"/>
              </w:rPr>
            </w:pPr>
          </w:p>
        </w:tc>
        <w:tc>
          <w:tcPr>
            <w:tcW w:w="660" w:type="dxa"/>
            <w:vAlign w:val="bottom"/>
            <w:shd w:val="clear" w:color="auto" w:fill="45556C"/>
          </w:tcPr>
          <w:p>
            <w:pPr>
              <w:spacing w:after="0"/>
              <w:rPr>
                <w:sz w:val="4"/>
                <w:szCs w:val="4"/>
                <w:color w:val="auto"/>
              </w:rPr>
            </w:pPr>
          </w:p>
        </w:tc>
        <w:tc>
          <w:tcPr>
            <w:tcW w:w="300" w:type="dxa"/>
            <w:vAlign w:val="bottom"/>
            <w:tcBorders>
              <w:right w:val="single" w:sz="8" w:color="auto"/>
            </w:tcBorders>
            <w:shd w:val="clear" w:color="auto" w:fill="45556C"/>
          </w:tcPr>
          <w:p>
            <w:pPr>
              <w:spacing w:after="0"/>
              <w:rPr>
                <w:sz w:val="4"/>
                <w:szCs w:val="4"/>
                <w:color w:val="auto"/>
              </w:rPr>
            </w:pPr>
          </w:p>
        </w:tc>
        <w:tc>
          <w:tcPr>
            <w:tcW w:w="1120" w:type="dxa"/>
            <w:vAlign w:val="bottom"/>
            <w:tcBorders>
              <w:right w:val="single" w:sz="8" w:color="auto"/>
            </w:tcBorders>
            <w:shd w:val="clear" w:color="auto" w:fill="45556C"/>
          </w:tcPr>
          <w:p>
            <w:pPr>
              <w:spacing w:after="0"/>
              <w:rPr>
                <w:sz w:val="4"/>
                <w:szCs w:val="4"/>
                <w:color w:val="auto"/>
              </w:rPr>
            </w:pPr>
          </w:p>
        </w:tc>
        <w:tc>
          <w:tcPr>
            <w:tcW w:w="1100" w:type="dxa"/>
            <w:vAlign w:val="bottom"/>
            <w:tcBorders>
              <w:right w:val="single" w:sz="8" w:color="auto"/>
            </w:tcBorders>
            <w:shd w:val="clear" w:color="auto" w:fill="45556C"/>
          </w:tcPr>
          <w:p>
            <w:pPr>
              <w:spacing w:after="0"/>
              <w:rPr>
                <w:sz w:val="4"/>
                <w:szCs w:val="4"/>
                <w:color w:val="auto"/>
              </w:rPr>
            </w:pPr>
          </w:p>
        </w:tc>
        <w:tc>
          <w:tcPr>
            <w:tcW w:w="1120" w:type="dxa"/>
            <w:vAlign w:val="bottom"/>
            <w:tcBorders>
              <w:right w:val="single" w:sz="8" w:color="auto"/>
            </w:tcBorders>
            <w:shd w:val="clear" w:color="auto" w:fill="45556C"/>
          </w:tcPr>
          <w:p>
            <w:pPr>
              <w:spacing w:after="0"/>
              <w:rPr>
                <w:sz w:val="4"/>
                <w:szCs w:val="4"/>
                <w:color w:val="auto"/>
              </w:rPr>
            </w:pPr>
          </w:p>
        </w:tc>
        <w:tc>
          <w:tcPr>
            <w:tcW w:w="1120" w:type="dxa"/>
            <w:vAlign w:val="bottom"/>
            <w:tcBorders>
              <w:right w:val="single" w:sz="8" w:color="auto"/>
            </w:tcBorders>
            <w:shd w:val="clear" w:color="auto" w:fill="45556C"/>
          </w:tcPr>
          <w:p>
            <w:pPr>
              <w:jc w:val="center"/>
              <w:spacing w:after="0" w:line="54" w:lineRule="exact"/>
              <w:rPr>
                <w:sz w:val="20"/>
                <w:szCs w:val="20"/>
                <w:color w:val="auto"/>
              </w:rPr>
            </w:pPr>
            <w:r>
              <w:rPr>
                <w:rFonts w:ascii="Times New Roman" w:cs="Times New Roman" w:eastAsia="Times New Roman" w:hAnsi="Times New Roman"/>
                <w:sz w:val="6"/>
                <w:szCs w:val="6"/>
                <w:b w:val="1"/>
                <w:bCs w:val="1"/>
                <w:color w:val="FFFFFF"/>
              </w:rPr>
              <w:t>(#)</w:t>
            </w:r>
          </w:p>
        </w:tc>
        <w:tc>
          <w:tcPr>
            <w:tcW w:w="40" w:type="dxa"/>
            <w:vAlign w:val="bottom"/>
            <w:shd w:val="clear" w:color="auto" w:fill="45556C"/>
          </w:tcPr>
          <w:p>
            <w:pPr>
              <w:spacing w:after="0"/>
              <w:rPr>
                <w:sz w:val="4"/>
                <w:szCs w:val="4"/>
                <w:color w:val="auto"/>
              </w:rPr>
            </w:pPr>
          </w:p>
        </w:tc>
        <w:tc>
          <w:tcPr>
            <w:tcW w:w="1080" w:type="dxa"/>
            <w:vAlign w:val="bottom"/>
            <w:tcBorders>
              <w:right w:val="single" w:sz="8" w:color="auto"/>
            </w:tcBorders>
            <w:vMerge w:val="restart"/>
            <w:shd w:val="clear" w:color="auto" w:fill="45556C"/>
          </w:tcPr>
          <w:p>
            <w:pPr>
              <w:jc w:val="center"/>
              <w:ind w:right="32"/>
              <w:spacing w:after="0"/>
              <w:rPr>
                <w:sz w:val="20"/>
                <w:szCs w:val="20"/>
                <w:color w:val="auto"/>
              </w:rPr>
            </w:pPr>
            <w:r>
              <w:rPr>
                <w:rFonts w:ascii="Times New Roman" w:cs="Times New Roman" w:eastAsia="Times New Roman" w:hAnsi="Times New Roman"/>
                <w:sz w:val="10"/>
                <w:szCs w:val="10"/>
                <w:b w:val="1"/>
                <w:bCs w:val="1"/>
                <w:color w:val="FFFFFF"/>
              </w:rPr>
              <w:t>($)</w:t>
            </w:r>
          </w:p>
        </w:tc>
        <w:tc>
          <w:tcPr>
            <w:tcW w:w="0" w:type="dxa"/>
            <w:vAlign w:val="bottom"/>
          </w:tcPr>
          <w:p>
            <w:pPr>
              <w:spacing w:after="0"/>
              <w:rPr>
                <w:sz w:val="1"/>
                <w:szCs w:val="1"/>
                <w:color w:val="auto"/>
              </w:rPr>
            </w:pPr>
          </w:p>
        </w:tc>
      </w:tr>
      <w:tr>
        <w:trPr>
          <w:trHeight w:val="133"/>
        </w:trPr>
        <w:tc>
          <w:tcPr>
            <w:tcW w:w="1160" w:type="dxa"/>
            <w:vAlign w:val="bottom"/>
            <w:tcBorders>
              <w:left w:val="single" w:sz="8" w:color="auto"/>
              <w:bottom w:val="single" w:sz="8" w:color="45556C"/>
              <w:right w:val="single" w:sz="8" w:color="auto"/>
            </w:tcBorders>
            <w:shd w:val="clear" w:color="auto" w:fill="45556C"/>
          </w:tcPr>
          <w:p>
            <w:pPr>
              <w:spacing w:after="0"/>
              <w:rPr>
                <w:sz w:val="11"/>
                <w:szCs w:val="11"/>
                <w:color w:val="auto"/>
              </w:rPr>
            </w:pPr>
          </w:p>
        </w:tc>
        <w:tc>
          <w:tcPr>
            <w:tcW w:w="1140" w:type="dxa"/>
            <w:vAlign w:val="bottom"/>
            <w:tcBorders>
              <w:bottom w:val="single" w:sz="8" w:color="45556C"/>
              <w:right w:val="single" w:sz="8" w:color="auto"/>
            </w:tcBorders>
            <w:shd w:val="clear" w:color="auto" w:fill="45556C"/>
          </w:tcPr>
          <w:p>
            <w:pPr>
              <w:spacing w:after="0"/>
              <w:rPr>
                <w:sz w:val="11"/>
                <w:szCs w:val="11"/>
                <w:color w:val="auto"/>
              </w:rPr>
            </w:pPr>
          </w:p>
        </w:tc>
        <w:tc>
          <w:tcPr>
            <w:tcW w:w="1120" w:type="dxa"/>
            <w:vAlign w:val="bottom"/>
            <w:tcBorders>
              <w:bottom w:val="single" w:sz="8" w:color="45556C"/>
              <w:right w:val="single" w:sz="8" w:color="auto"/>
            </w:tcBorders>
            <w:shd w:val="clear" w:color="auto" w:fill="45556C"/>
          </w:tcPr>
          <w:p>
            <w:pPr>
              <w:spacing w:after="0"/>
              <w:rPr>
                <w:sz w:val="11"/>
                <w:szCs w:val="11"/>
                <w:color w:val="auto"/>
              </w:rPr>
            </w:pPr>
          </w:p>
        </w:tc>
        <w:tc>
          <w:tcPr>
            <w:tcW w:w="1120" w:type="dxa"/>
            <w:vAlign w:val="bottom"/>
            <w:tcBorders>
              <w:bottom w:val="single" w:sz="8" w:color="45556C"/>
              <w:right w:val="single" w:sz="8" w:color="auto"/>
            </w:tcBorders>
            <w:shd w:val="clear" w:color="auto" w:fill="45556C"/>
          </w:tcPr>
          <w:p>
            <w:pPr>
              <w:jc w:val="center"/>
              <w:spacing w:after="0"/>
              <w:rPr>
                <w:sz w:val="20"/>
                <w:szCs w:val="20"/>
                <w:color w:val="auto"/>
              </w:rPr>
            </w:pPr>
            <w:r>
              <w:rPr>
                <w:rFonts w:ascii="Times New Roman" w:cs="Times New Roman" w:eastAsia="Times New Roman" w:hAnsi="Times New Roman"/>
                <w:sz w:val="10"/>
                <w:szCs w:val="10"/>
                <w:b w:val="1"/>
                <w:bCs w:val="1"/>
                <w:color w:val="FFFFFF"/>
              </w:rPr>
              <w:t>(#)</w:t>
            </w:r>
          </w:p>
        </w:tc>
        <w:tc>
          <w:tcPr>
            <w:tcW w:w="160" w:type="dxa"/>
            <w:vAlign w:val="bottom"/>
            <w:tcBorders>
              <w:bottom w:val="single" w:sz="8" w:color="45556C"/>
            </w:tcBorders>
            <w:shd w:val="clear" w:color="auto" w:fill="45556C"/>
          </w:tcPr>
          <w:p>
            <w:pPr>
              <w:spacing w:after="0"/>
              <w:rPr>
                <w:sz w:val="11"/>
                <w:szCs w:val="11"/>
                <w:color w:val="auto"/>
              </w:rPr>
            </w:pPr>
          </w:p>
        </w:tc>
        <w:tc>
          <w:tcPr>
            <w:tcW w:w="660" w:type="dxa"/>
            <w:vAlign w:val="bottom"/>
            <w:tcBorders>
              <w:bottom w:val="single" w:sz="8" w:color="45556C"/>
            </w:tcBorders>
            <w:shd w:val="clear" w:color="auto" w:fill="45556C"/>
          </w:tcPr>
          <w:p>
            <w:pPr>
              <w:spacing w:after="0"/>
              <w:rPr>
                <w:sz w:val="11"/>
                <w:szCs w:val="11"/>
                <w:color w:val="auto"/>
              </w:rPr>
            </w:pPr>
          </w:p>
        </w:tc>
        <w:tc>
          <w:tcPr>
            <w:tcW w:w="300" w:type="dxa"/>
            <w:vAlign w:val="bottom"/>
            <w:tcBorders>
              <w:bottom w:val="single" w:sz="8" w:color="45556C"/>
              <w:right w:val="single" w:sz="8" w:color="auto"/>
            </w:tcBorders>
            <w:shd w:val="clear" w:color="auto" w:fill="45556C"/>
          </w:tcPr>
          <w:p>
            <w:pPr>
              <w:spacing w:after="0"/>
              <w:rPr>
                <w:sz w:val="11"/>
                <w:szCs w:val="11"/>
                <w:color w:val="auto"/>
              </w:rPr>
            </w:pPr>
          </w:p>
        </w:tc>
        <w:tc>
          <w:tcPr>
            <w:tcW w:w="1120" w:type="dxa"/>
            <w:vAlign w:val="bottom"/>
            <w:tcBorders>
              <w:bottom w:val="single" w:sz="8" w:color="45556C"/>
              <w:right w:val="single" w:sz="8" w:color="auto"/>
            </w:tcBorders>
            <w:shd w:val="clear" w:color="auto" w:fill="45556C"/>
          </w:tcPr>
          <w:p>
            <w:pPr>
              <w:spacing w:after="0"/>
              <w:rPr>
                <w:sz w:val="11"/>
                <w:szCs w:val="11"/>
                <w:color w:val="auto"/>
              </w:rPr>
            </w:pPr>
          </w:p>
        </w:tc>
        <w:tc>
          <w:tcPr>
            <w:tcW w:w="1100" w:type="dxa"/>
            <w:vAlign w:val="bottom"/>
            <w:tcBorders>
              <w:bottom w:val="single" w:sz="8" w:color="45556C"/>
              <w:right w:val="single" w:sz="8" w:color="auto"/>
            </w:tcBorders>
            <w:shd w:val="clear" w:color="auto" w:fill="45556C"/>
          </w:tcPr>
          <w:p>
            <w:pPr>
              <w:spacing w:after="0"/>
              <w:rPr>
                <w:sz w:val="11"/>
                <w:szCs w:val="11"/>
                <w:color w:val="auto"/>
              </w:rPr>
            </w:pPr>
          </w:p>
        </w:tc>
        <w:tc>
          <w:tcPr>
            <w:tcW w:w="1120" w:type="dxa"/>
            <w:vAlign w:val="bottom"/>
            <w:tcBorders>
              <w:bottom w:val="single" w:sz="8" w:color="45556C"/>
              <w:right w:val="single" w:sz="8" w:color="auto"/>
            </w:tcBorders>
            <w:shd w:val="clear" w:color="auto" w:fill="45556C"/>
          </w:tcPr>
          <w:p>
            <w:pPr>
              <w:spacing w:after="0"/>
              <w:rPr>
                <w:sz w:val="11"/>
                <w:szCs w:val="11"/>
                <w:color w:val="auto"/>
              </w:rPr>
            </w:pPr>
          </w:p>
        </w:tc>
        <w:tc>
          <w:tcPr>
            <w:tcW w:w="1120" w:type="dxa"/>
            <w:vAlign w:val="bottom"/>
            <w:tcBorders>
              <w:bottom w:val="single" w:sz="8" w:color="45556C"/>
              <w:right w:val="single" w:sz="8" w:color="auto"/>
            </w:tcBorders>
            <w:shd w:val="clear" w:color="auto" w:fill="45556C"/>
          </w:tcPr>
          <w:p>
            <w:pPr>
              <w:spacing w:after="0"/>
              <w:rPr>
                <w:sz w:val="11"/>
                <w:szCs w:val="11"/>
                <w:color w:val="auto"/>
              </w:rPr>
            </w:pPr>
          </w:p>
        </w:tc>
        <w:tc>
          <w:tcPr>
            <w:tcW w:w="40" w:type="dxa"/>
            <w:vAlign w:val="bottom"/>
            <w:tcBorders>
              <w:bottom w:val="single" w:sz="8" w:color="45556C"/>
            </w:tcBorders>
            <w:shd w:val="clear" w:color="auto" w:fill="45556C"/>
          </w:tcPr>
          <w:p>
            <w:pPr>
              <w:spacing w:after="0"/>
              <w:rPr>
                <w:sz w:val="11"/>
                <w:szCs w:val="11"/>
                <w:color w:val="auto"/>
              </w:rPr>
            </w:pPr>
          </w:p>
        </w:tc>
        <w:tc>
          <w:tcPr>
            <w:tcW w:w="1080" w:type="dxa"/>
            <w:vAlign w:val="bottom"/>
            <w:tcBorders>
              <w:bottom w:val="single" w:sz="8" w:color="45556C"/>
              <w:right w:val="single" w:sz="8" w:color="auto"/>
            </w:tcBorders>
            <w:vMerge w:val="continue"/>
            <w:shd w:val="clear" w:color="auto" w:fill="45556C"/>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160" w:type="dxa"/>
            <w:vAlign w:val="bottom"/>
            <w:tcBorders>
              <w:top w:val="single" w:sz="8" w:color="auto"/>
              <w:left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Akshay Naheta</w:t>
            </w:r>
          </w:p>
        </w:tc>
        <w:tc>
          <w:tcPr>
            <w:tcW w:w="1140" w:type="dxa"/>
            <w:vAlign w:val="bottom"/>
            <w:tcBorders>
              <w:top w:val="single" w:sz="8" w:color="auto"/>
            </w:tcBorders>
          </w:tcPr>
          <w:p>
            <w:pPr>
              <w:spacing w:after="0" w:line="126" w:lineRule="exact"/>
              <w:rPr>
                <w:sz w:val="20"/>
                <w:szCs w:val="20"/>
                <w:color w:val="auto"/>
              </w:rPr>
            </w:pPr>
            <w:r>
              <w:rPr>
                <w:rFonts w:ascii="Times New Roman" w:cs="Times New Roman" w:eastAsia="Times New Roman" w:hAnsi="Times New Roman"/>
                <w:sz w:val="10"/>
                <w:szCs w:val="10"/>
                <w:color w:val="auto"/>
              </w:rPr>
              <w:t xml:space="preserve">1,308,757 </w:t>
            </w:r>
            <w:r>
              <w:rPr>
                <w:rFonts w:ascii="Times New Roman" w:cs="Times New Roman" w:eastAsia="Times New Roman" w:hAnsi="Times New Roman"/>
                <w:sz w:val="12"/>
                <w:szCs w:val="12"/>
                <w:color w:val="auto"/>
                <w:vertAlign w:val="superscript"/>
              </w:rPr>
              <w:t>(2)</w:t>
            </w:r>
          </w:p>
        </w:tc>
        <w:tc>
          <w:tcPr>
            <w:tcW w:w="1120" w:type="dxa"/>
            <w:vAlign w:val="bottom"/>
            <w:tcBorders>
              <w:top w:val="single" w:sz="8" w:color="auto"/>
            </w:tcBorders>
          </w:tcPr>
          <w:p>
            <w:pPr>
              <w:jc w:val="right"/>
              <w:ind w:right="961"/>
              <w:spacing w:after="0" w:line="127" w:lineRule="exact"/>
              <w:rPr>
                <w:sz w:val="20"/>
                <w:szCs w:val="20"/>
                <w:color w:val="auto"/>
              </w:rPr>
            </w:pPr>
            <w:r>
              <w:rPr>
                <w:rFonts w:ascii="Times New Roman" w:cs="Times New Roman" w:eastAsia="Times New Roman" w:hAnsi="Times New Roman"/>
                <w:sz w:val="14"/>
                <w:szCs w:val="14"/>
                <w:color w:val="auto"/>
                <w:w w:val="84"/>
                <w:vertAlign w:val="subscript"/>
              </w:rPr>
              <w:t>0</w:t>
            </w:r>
            <w:r>
              <w:rPr>
                <w:rFonts w:ascii="Times New Roman" w:cs="Times New Roman" w:eastAsia="Times New Roman" w:hAnsi="Times New Roman"/>
                <w:sz w:val="5"/>
                <w:szCs w:val="5"/>
                <w:color w:val="auto"/>
                <w:w w:val="84"/>
              </w:rPr>
              <w:t xml:space="preserve"> (2)</w:t>
            </w:r>
          </w:p>
        </w:tc>
        <w:tc>
          <w:tcPr>
            <w:tcW w:w="1120" w:type="dxa"/>
            <w:vAlign w:val="bottom"/>
            <w:tcBorders>
              <w:top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vertAlign w:val="subscript"/>
              </w:rPr>
              <w:t>0</w:t>
            </w:r>
            <w:r>
              <w:rPr>
                <w:rFonts w:ascii="Times New Roman" w:cs="Times New Roman" w:eastAsia="Times New Roman" w:hAnsi="Times New Roman"/>
                <w:sz w:val="5"/>
                <w:szCs w:val="5"/>
                <w:color w:val="auto"/>
              </w:rPr>
              <w:t xml:space="preserve"> (2)</w:t>
            </w:r>
          </w:p>
        </w:tc>
        <w:tc>
          <w:tcPr>
            <w:tcW w:w="1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w w:val="97"/>
              </w:rPr>
              <w:t>10.00</w:t>
            </w:r>
          </w:p>
        </w:tc>
        <w:tc>
          <w:tcPr>
            <w:tcW w:w="1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line="126" w:lineRule="exact"/>
              <w:rPr>
                <w:sz w:val="20"/>
                <w:szCs w:val="20"/>
                <w:color w:val="auto"/>
              </w:rPr>
            </w:pPr>
            <w:r>
              <w:rPr>
                <w:rFonts w:ascii="Times New Roman" w:cs="Times New Roman" w:eastAsia="Times New Roman" w:hAnsi="Times New Roman"/>
                <w:sz w:val="10"/>
                <w:szCs w:val="10"/>
                <w:color w:val="auto"/>
              </w:rPr>
              <w:t xml:space="preserve">815,282 </w:t>
            </w:r>
            <w:r>
              <w:rPr>
                <w:rFonts w:ascii="Times New Roman" w:cs="Times New Roman" w:eastAsia="Times New Roman" w:hAnsi="Times New Roman"/>
                <w:sz w:val="12"/>
                <w:szCs w:val="12"/>
                <w:color w:val="auto"/>
                <w:vertAlign w:val="superscript"/>
              </w:rPr>
              <w:t>(6)</w:t>
            </w:r>
          </w:p>
        </w:tc>
        <w:tc>
          <w:tcPr>
            <w:tcW w:w="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Borders>
              <w:top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8,185,431</w:t>
            </w:r>
          </w:p>
        </w:tc>
        <w:tc>
          <w:tcPr>
            <w:tcW w:w="0" w:type="dxa"/>
            <w:vAlign w:val="bottom"/>
          </w:tcPr>
          <w:p>
            <w:pPr>
              <w:spacing w:after="0"/>
              <w:rPr>
                <w:sz w:val="1"/>
                <w:szCs w:val="1"/>
                <w:color w:val="auto"/>
              </w:rPr>
            </w:pPr>
          </w:p>
        </w:tc>
      </w:tr>
      <w:tr>
        <w:trPr>
          <w:trHeight w:val="135"/>
        </w:trPr>
        <w:tc>
          <w:tcPr>
            <w:tcW w:w="1160" w:type="dxa"/>
            <w:vAlign w:val="bottom"/>
            <w:tcBorders>
              <w:left w:val="single" w:sz="8" w:color="auto"/>
              <w:right w:val="single" w:sz="8" w:color="E2E8F0"/>
            </w:tcBorders>
            <w:shd w:val="clear" w:color="auto" w:fill="E2E8F0"/>
          </w:tcPr>
          <w:p>
            <w:pPr>
              <w:ind w:left="20"/>
              <w:spacing w:after="0"/>
              <w:rPr>
                <w:sz w:val="20"/>
                <w:szCs w:val="20"/>
                <w:color w:val="auto"/>
              </w:rPr>
            </w:pPr>
            <w:r>
              <w:rPr>
                <w:rFonts w:ascii="Times New Roman" w:cs="Times New Roman" w:eastAsia="Times New Roman" w:hAnsi="Times New Roman"/>
                <w:sz w:val="10"/>
                <w:szCs w:val="10"/>
                <w:color w:val="auto"/>
              </w:rPr>
              <w:t>Karen Alexander</w:t>
            </w:r>
          </w:p>
        </w:tc>
        <w:tc>
          <w:tcPr>
            <w:tcW w:w="1140" w:type="dxa"/>
            <w:vAlign w:val="bottom"/>
            <w:tcBorders>
              <w:right w:val="single" w:sz="8" w:color="E2E8F0"/>
            </w:tcBorders>
            <w:shd w:val="clear" w:color="auto" w:fill="E2E8F0"/>
          </w:tcPr>
          <w:p>
            <w:pPr>
              <w:spacing w:after="0" w:line="135" w:lineRule="exact"/>
              <w:rPr>
                <w:sz w:val="20"/>
                <w:szCs w:val="20"/>
                <w:color w:val="auto"/>
              </w:rPr>
            </w:pPr>
            <w:r>
              <w:rPr>
                <w:rFonts w:ascii="Times New Roman" w:cs="Times New Roman" w:eastAsia="Times New Roman" w:hAnsi="Times New Roman"/>
                <w:sz w:val="10"/>
                <w:szCs w:val="10"/>
                <w:color w:val="auto"/>
              </w:rPr>
              <w:t>26,510</w:t>
            </w:r>
            <w:r>
              <w:rPr>
                <w:rFonts w:ascii="Times New Roman" w:cs="Times New Roman" w:eastAsia="Times New Roman" w:hAnsi="Times New Roman"/>
                <w:sz w:val="12"/>
                <w:szCs w:val="12"/>
                <w:color w:val="auto"/>
                <w:vertAlign w:val="superscript"/>
              </w:rPr>
              <w:t>(3)</w:t>
            </w:r>
          </w:p>
        </w:tc>
        <w:tc>
          <w:tcPr>
            <w:tcW w:w="1120" w:type="dxa"/>
            <w:vAlign w:val="bottom"/>
            <w:tcBorders>
              <w:right w:val="single" w:sz="8" w:color="E2E8F0"/>
            </w:tcBorders>
            <w:shd w:val="clear" w:color="auto" w:fill="E2E8F0"/>
          </w:tcPr>
          <w:p>
            <w:pPr>
              <w:jc w:val="right"/>
              <w:ind w:right="961"/>
              <w:spacing w:after="0" w:line="135" w:lineRule="exact"/>
              <w:rPr>
                <w:sz w:val="20"/>
                <w:szCs w:val="20"/>
                <w:color w:val="auto"/>
              </w:rPr>
            </w:pPr>
            <w:r>
              <w:rPr>
                <w:rFonts w:ascii="Times New Roman" w:cs="Times New Roman" w:eastAsia="Times New Roman" w:hAnsi="Times New Roman"/>
                <w:sz w:val="15"/>
                <w:szCs w:val="15"/>
                <w:color w:val="auto"/>
                <w:w w:val="73"/>
                <w:vertAlign w:val="subscript"/>
              </w:rPr>
              <w:t>0</w:t>
            </w:r>
            <w:r>
              <w:rPr>
                <w:rFonts w:ascii="Times New Roman" w:cs="Times New Roman" w:eastAsia="Times New Roman" w:hAnsi="Times New Roman"/>
                <w:sz w:val="6"/>
                <w:szCs w:val="6"/>
                <w:color w:val="auto"/>
                <w:w w:val="73"/>
              </w:rPr>
              <w:t xml:space="preserve"> (3)</w:t>
            </w:r>
          </w:p>
        </w:tc>
        <w:tc>
          <w:tcPr>
            <w:tcW w:w="1120" w:type="dxa"/>
            <w:vAlign w:val="bottom"/>
            <w:tcBorders>
              <w:right w:val="single" w:sz="8" w:color="E2E8F0"/>
            </w:tcBorders>
            <w:shd w:val="clear" w:color="auto" w:fill="E2E8F0"/>
          </w:tcPr>
          <w:p>
            <w:pPr>
              <w:spacing w:after="0" w:line="135" w:lineRule="exact"/>
              <w:rPr>
                <w:sz w:val="20"/>
                <w:szCs w:val="20"/>
                <w:color w:val="auto"/>
              </w:rPr>
            </w:pPr>
            <w:r>
              <w:rPr>
                <w:rFonts w:ascii="Times New Roman" w:cs="Times New Roman" w:eastAsia="Times New Roman" w:hAnsi="Times New Roman"/>
                <w:sz w:val="15"/>
                <w:szCs w:val="15"/>
                <w:color w:val="auto"/>
                <w:vertAlign w:val="subscript"/>
              </w:rPr>
              <w:t>0</w:t>
            </w:r>
            <w:r>
              <w:rPr>
                <w:rFonts w:ascii="Times New Roman" w:cs="Times New Roman" w:eastAsia="Times New Roman" w:hAnsi="Times New Roman"/>
                <w:sz w:val="6"/>
                <w:szCs w:val="6"/>
                <w:color w:val="auto"/>
              </w:rPr>
              <w:t xml:space="preserve"> (3)</w:t>
            </w:r>
          </w:p>
        </w:tc>
        <w:tc>
          <w:tcPr>
            <w:tcW w:w="160" w:type="dxa"/>
            <w:vAlign w:val="bottom"/>
            <w:shd w:val="clear" w:color="auto" w:fill="E2E8F0"/>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shd w:val="clear" w:color="auto" w:fill="E2E8F0"/>
          </w:tcPr>
          <w:p>
            <w:pPr>
              <w:spacing w:after="0"/>
              <w:rPr>
                <w:sz w:val="11"/>
                <w:szCs w:val="11"/>
                <w:color w:val="auto"/>
              </w:rPr>
            </w:pPr>
          </w:p>
        </w:tc>
        <w:tc>
          <w:tcPr>
            <w:tcW w:w="300" w:type="dxa"/>
            <w:vAlign w:val="bottom"/>
            <w:tcBorders>
              <w:right w:val="single" w:sz="8" w:color="E2E8F0"/>
            </w:tcBorders>
            <w:shd w:val="clear" w:color="auto" w:fill="E2E8F0"/>
          </w:tcPr>
          <w:p>
            <w:pPr>
              <w:jc w:val="right"/>
              <w:ind w:right="12"/>
              <w:spacing w:after="0"/>
              <w:rPr>
                <w:sz w:val="20"/>
                <w:szCs w:val="20"/>
                <w:color w:val="auto"/>
              </w:rPr>
            </w:pPr>
            <w:r>
              <w:rPr>
                <w:rFonts w:ascii="Times New Roman" w:cs="Times New Roman" w:eastAsia="Times New Roman" w:hAnsi="Times New Roman"/>
                <w:sz w:val="10"/>
                <w:szCs w:val="10"/>
                <w:color w:val="auto"/>
                <w:w w:val="97"/>
              </w:rPr>
              <w:t>10.00</w:t>
            </w:r>
          </w:p>
        </w:tc>
        <w:tc>
          <w:tcPr>
            <w:tcW w:w="1120" w:type="dxa"/>
            <w:vAlign w:val="bottom"/>
            <w:tcBorders>
              <w:right w:val="single" w:sz="8" w:color="E2E8F0"/>
            </w:tcBorders>
            <w:shd w:val="clear" w:color="auto" w:fill="E2E8F0"/>
          </w:tcPr>
          <w:p>
            <w:pPr>
              <w:spacing w:after="0"/>
              <w:rPr>
                <w:sz w:val="11"/>
                <w:szCs w:val="11"/>
                <w:color w:val="auto"/>
              </w:rPr>
            </w:pPr>
          </w:p>
        </w:tc>
        <w:tc>
          <w:tcPr>
            <w:tcW w:w="1100" w:type="dxa"/>
            <w:vAlign w:val="bottom"/>
            <w:tcBorders>
              <w:right w:val="single" w:sz="8" w:color="E2E8F0"/>
            </w:tcBorders>
            <w:shd w:val="clear" w:color="auto" w:fill="E2E8F0"/>
          </w:tcPr>
          <w:p>
            <w:pPr>
              <w:spacing w:after="0"/>
              <w:rPr>
                <w:sz w:val="11"/>
                <w:szCs w:val="11"/>
                <w:color w:val="auto"/>
              </w:rPr>
            </w:pPr>
          </w:p>
        </w:tc>
        <w:tc>
          <w:tcPr>
            <w:tcW w:w="1120" w:type="dxa"/>
            <w:vAlign w:val="bottom"/>
            <w:tcBorders>
              <w:right w:val="single" w:sz="8" w:color="E2E8F0"/>
            </w:tcBorders>
            <w:shd w:val="clear" w:color="auto" w:fill="E2E8F0"/>
          </w:tcPr>
          <w:p>
            <w:pPr>
              <w:spacing w:after="0"/>
              <w:rPr>
                <w:sz w:val="11"/>
                <w:szCs w:val="11"/>
                <w:color w:val="auto"/>
              </w:rPr>
            </w:pPr>
          </w:p>
        </w:tc>
        <w:tc>
          <w:tcPr>
            <w:tcW w:w="1120" w:type="dxa"/>
            <w:vAlign w:val="bottom"/>
            <w:tcBorders>
              <w:right w:val="single" w:sz="8" w:color="E2E8F0"/>
            </w:tcBorders>
            <w:shd w:val="clear" w:color="auto" w:fill="E2E8F0"/>
          </w:tcPr>
          <w:p>
            <w:pPr>
              <w:spacing w:after="0" w:line="135" w:lineRule="exact"/>
              <w:rPr>
                <w:sz w:val="20"/>
                <w:szCs w:val="20"/>
                <w:color w:val="auto"/>
              </w:rPr>
            </w:pPr>
            <w:r>
              <w:rPr>
                <w:rFonts w:ascii="Times New Roman" w:cs="Times New Roman" w:eastAsia="Times New Roman" w:hAnsi="Times New Roman"/>
                <w:sz w:val="10"/>
                <w:szCs w:val="10"/>
                <w:color w:val="auto"/>
              </w:rPr>
              <w:t>50,299</w:t>
            </w:r>
            <w:r>
              <w:rPr>
                <w:rFonts w:ascii="Times New Roman" w:cs="Times New Roman" w:eastAsia="Times New Roman" w:hAnsi="Times New Roman"/>
                <w:sz w:val="12"/>
                <w:szCs w:val="12"/>
                <w:color w:val="auto"/>
                <w:vertAlign w:val="superscript"/>
              </w:rPr>
              <w:t>(7)</w:t>
            </w:r>
          </w:p>
        </w:tc>
        <w:tc>
          <w:tcPr>
            <w:tcW w:w="40" w:type="dxa"/>
            <w:vAlign w:val="bottom"/>
            <w:shd w:val="clear" w:color="auto" w:fill="E2E8F0"/>
          </w:tcPr>
          <w:p>
            <w:pPr>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Borders>
              <w:right w:val="single" w:sz="8" w:color="auto"/>
            </w:tcBorders>
            <w:shd w:val="clear" w:color="auto" w:fill="E2E8F0"/>
          </w:tcPr>
          <w:p>
            <w:pPr>
              <w:jc w:val="right"/>
              <w:ind w:right="12"/>
              <w:spacing w:after="0"/>
              <w:rPr>
                <w:sz w:val="20"/>
                <w:szCs w:val="20"/>
                <w:color w:val="auto"/>
              </w:rPr>
            </w:pPr>
            <w:r>
              <w:rPr>
                <w:rFonts w:ascii="Times New Roman" w:cs="Times New Roman" w:eastAsia="Times New Roman" w:hAnsi="Times New Roman"/>
                <w:sz w:val="10"/>
                <w:szCs w:val="10"/>
                <w:color w:val="auto"/>
              </w:rPr>
              <w:t>504,299</w:t>
            </w:r>
          </w:p>
        </w:tc>
        <w:tc>
          <w:tcPr>
            <w:tcW w:w="0" w:type="dxa"/>
            <w:vAlign w:val="bottom"/>
          </w:tcPr>
          <w:p>
            <w:pPr>
              <w:spacing w:after="0"/>
              <w:rPr>
                <w:sz w:val="1"/>
                <w:szCs w:val="1"/>
                <w:color w:val="auto"/>
              </w:rPr>
            </w:pPr>
          </w:p>
        </w:tc>
      </w:tr>
      <w:tr>
        <w:trPr>
          <w:trHeight w:val="135"/>
        </w:trPr>
        <w:tc>
          <w:tcPr>
            <w:tcW w:w="11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Marc D’Annunzio</w:t>
            </w:r>
          </w:p>
        </w:tc>
        <w:tc>
          <w:tcPr>
            <w:tcW w:w="1140" w:type="dxa"/>
            <w:vAlign w:val="bottom"/>
          </w:tcPr>
          <w:p>
            <w:pPr>
              <w:spacing w:after="0" w:line="135" w:lineRule="exact"/>
              <w:rPr>
                <w:sz w:val="20"/>
                <w:szCs w:val="20"/>
                <w:color w:val="auto"/>
              </w:rPr>
            </w:pPr>
            <w:r>
              <w:rPr>
                <w:rFonts w:ascii="Times New Roman" w:cs="Times New Roman" w:eastAsia="Times New Roman" w:hAnsi="Times New Roman"/>
                <w:sz w:val="10"/>
                <w:szCs w:val="10"/>
                <w:color w:val="auto"/>
              </w:rPr>
              <w:t>132,550</w:t>
            </w:r>
            <w:r>
              <w:rPr>
                <w:rFonts w:ascii="Times New Roman" w:cs="Times New Roman" w:eastAsia="Times New Roman" w:hAnsi="Times New Roman"/>
                <w:sz w:val="12"/>
                <w:szCs w:val="12"/>
                <w:color w:val="auto"/>
                <w:vertAlign w:val="superscript"/>
              </w:rPr>
              <w:t>(4)</w:t>
            </w:r>
          </w:p>
        </w:tc>
        <w:tc>
          <w:tcPr>
            <w:tcW w:w="1120" w:type="dxa"/>
            <w:vAlign w:val="bottom"/>
          </w:tcPr>
          <w:p>
            <w:pPr>
              <w:jc w:val="right"/>
              <w:ind w:right="961"/>
              <w:spacing w:after="0" w:line="135" w:lineRule="exact"/>
              <w:rPr>
                <w:sz w:val="20"/>
                <w:szCs w:val="20"/>
                <w:color w:val="auto"/>
              </w:rPr>
            </w:pPr>
            <w:r>
              <w:rPr>
                <w:rFonts w:ascii="Times New Roman" w:cs="Times New Roman" w:eastAsia="Times New Roman" w:hAnsi="Times New Roman"/>
                <w:sz w:val="15"/>
                <w:szCs w:val="15"/>
                <w:color w:val="auto"/>
                <w:w w:val="73"/>
                <w:vertAlign w:val="subscript"/>
              </w:rPr>
              <w:t>0</w:t>
            </w:r>
            <w:r>
              <w:rPr>
                <w:rFonts w:ascii="Times New Roman" w:cs="Times New Roman" w:eastAsia="Times New Roman" w:hAnsi="Times New Roman"/>
                <w:sz w:val="6"/>
                <w:szCs w:val="6"/>
                <w:color w:val="auto"/>
                <w:w w:val="73"/>
              </w:rPr>
              <w:t xml:space="preserve"> (4)</w:t>
            </w:r>
          </w:p>
        </w:tc>
        <w:tc>
          <w:tcPr>
            <w:tcW w:w="1120" w:type="dxa"/>
            <w:vAlign w:val="bottom"/>
          </w:tcPr>
          <w:p>
            <w:pPr>
              <w:spacing w:after="0" w:line="135" w:lineRule="exact"/>
              <w:rPr>
                <w:sz w:val="20"/>
                <w:szCs w:val="20"/>
                <w:color w:val="auto"/>
              </w:rPr>
            </w:pPr>
            <w:r>
              <w:rPr>
                <w:rFonts w:ascii="Times New Roman" w:cs="Times New Roman" w:eastAsia="Times New Roman" w:hAnsi="Times New Roman"/>
                <w:sz w:val="15"/>
                <w:szCs w:val="15"/>
                <w:color w:val="auto"/>
                <w:vertAlign w:val="subscript"/>
              </w:rPr>
              <w:t>0</w:t>
            </w:r>
            <w:r>
              <w:rPr>
                <w:rFonts w:ascii="Times New Roman" w:cs="Times New Roman" w:eastAsia="Times New Roman" w:hAnsi="Times New Roman"/>
                <w:sz w:val="6"/>
                <w:szCs w:val="6"/>
                <w:color w:val="auto"/>
              </w:rPr>
              <w:t xml:space="preserve"> (4)</w:t>
            </w:r>
          </w:p>
        </w:tc>
        <w:tc>
          <w:tcPr>
            <w:tcW w:w="160" w:type="dxa"/>
            <w:vAlign w:val="bottom"/>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Pr>
          <w:p>
            <w:pPr>
              <w:spacing w:after="0"/>
              <w:rPr>
                <w:sz w:val="11"/>
                <w:szCs w:val="11"/>
                <w:color w:val="auto"/>
              </w:rPr>
            </w:pP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97"/>
              </w:rPr>
              <w:t>10.00</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line="135" w:lineRule="exact"/>
              <w:rPr>
                <w:sz w:val="20"/>
                <w:szCs w:val="20"/>
                <w:color w:val="auto"/>
              </w:rPr>
            </w:pPr>
            <w:r>
              <w:rPr>
                <w:rFonts w:ascii="Times New Roman" w:cs="Times New Roman" w:eastAsia="Times New Roman" w:hAnsi="Times New Roman"/>
                <w:sz w:val="10"/>
                <w:szCs w:val="10"/>
                <w:color w:val="auto"/>
              </w:rPr>
              <w:t xml:space="preserve">50,299 </w:t>
            </w:r>
            <w:r>
              <w:rPr>
                <w:rFonts w:ascii="Times New Roman" w:cs="Times New Roman" w:eastAsia="Times New Roman" w:hAnsi="Times New Roman"/>
                <w:sz w:val="12"/>
                <w:szCs w:val="12"/>
                <w:color w:val="auto"/>
                <w:vertAlign w:val="superscript"/>
              </w:rPr>
              <w:t>(8)</w:t>
            </w:r>
          </w:p>
        </w:tc>
        <w:tc>
          <w:tcPr>
            <w:tcW w:w="40" w:type="dxa"/>
            <w:vAlign w:val="bottom"/>
          </w:tcPr>
          <w:p>
            <w:pPr>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504,299</w:t>
            </w:r>
          </w:p>
        </w:tc>
        <w:tc>
          <w:tcPr>
            <w:tcW w:w="0" w:type="dxa"/>
            <w:vAlign w:val="bottom"/>
          </w:tcPr>
          <w:p>
            <w:pPr>
              <w:spacing w:after="0"/>
              <w:rPr>
                <w:sz w:val="1"/>
                <w:szCs w:val="1"/>
                <w:color w:val="auto"/>
              </w:rPr>
            </w:pPr>
          </w:p>
        </w:tc>
      </w:tr>
      <w:tr>
        <w:trPr>
          <w:trHeight w:val="135"/>
        </w:trPr>
        <w:tc>
          <w:tcPr>
            <w:tcW w:w="1160" w:type="dxa"/>
            <w:vAlign w:val="bottom"/>
            <w:tcBorders>
              <w:left w:val="single" w:sz="8" w:color="auto"/>
              <w:bottom w:val="single" w:sz="8" w:color="auto"/>
              <w:right w:val="single" w:sz="8" w:color="E2E8F0"/>
            </w:tcBorders>
            <w:shd w:val="clear" w:color="auto" w:fill="E2E8F0"/>
          </w:tcPr>
          <w:p>
            <w:pPr>
              <w:ind w:left="20"/>
              <w:spacing w:after="0" w:line="135" w:lineRule="exact"/>
              <w:rPr>
                <w:sz w:val="20"/>
                <w:szCs w:val="20"/>
                <w:color w:val="auto"/>
              </w:rPr>
            </w:pPr>
            <w:r>
              <w:rPr>
                <w:rFonts w:ascii="Times New Roman" w:cs="Times New Roman" w:eastAsia="Times New Roman" w:hAnsi="Times New Roman"/>
                <w:sz w:val="10"/>
                <w:szCs w:val="10"/>
                <w:color w:val="auto"/>
              </w:rPr>
              <w:t xml:space="preserve">Andrew A. Main </w:t>
            </w:r>
            <w:r>
              <w:rPr>
                <w:rFonts w:ascii="Times New Roman" w:cs="Times New Roman" w:eastAsia="Times New Roman" w:hAnsi="Times New Roman"/>
                <w:sz w:val="12"/>
                <w:szCs w:val="12"/>
                <w:color w:val="auto"/>
                <w:vertAlign w:val="superscript"/>
              </w:rPr>
              <w:t>(5)</w:t>
            </w:r>
          </w:p>
        </w:tc>
        <w:tc>
          <w:tcPr>
            <w:tcW w:w="1140" w:type="dxa"/>
            <w:vAlign w:val="bottom"/>
            <w:tcBorders>
              <w:bottom w:val="single" w:sz="8" w:color="auto"/>
              <w:right w:val="single" w:sz="8" w:color="E2E8F0"/>
            </w:tcBorders>
            <w:shd w:val="clear" w:color="auto" w:fill="E2E8F0"/>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1120" w:type="dxa"/>
            <w:vAlign w:val="bottom"/>
            <w:tcBorders>
              <w:bottom w:val="single" w:sz="8" w:color="auto"/>
              <w:right w:val="single" w:sz="8" w:color="E2E8F0"/>
            </w:tcBorders>
            <w:shd w:val="clear" w:color="auto" w:fill="E2E8F0"/>
          </w:tcPr>
          <w:p>
            <w:pPr>
              <w:jc w:val="center"/>
              <w:ind w:right="1"/>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tcBorders>
              <w:bottom w:val="single" w:sz="8" w:color="auto"/>
              <w:right w:val="single" w:sz="8" w:color="E2E8F0"/>
            </w:tcBorders>
            <w:shd w:val="clear" w:color="auto" w:fill="E2E8F0"/>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auto"/>
            </w:tcBorders>
            <w:shd w:val="clear" w:color="auto" w:fill="E2E8F0"/>
          </w:tcPr>
          <w:p>
            <w:pPr>
              <w:spacing w:after="0"/>
              <w:rPr>
                <w:sz w:val="11"/>
                <w:szCs w:val="11"/>
                <w:color w:val="auto"/>
              </w:rPr>
            </w:pPr>
          </w:p>
        </w:tc>
        <w:tc>
          <w:tcPr>
            <w:tcW w:w="660" w:type="dxa"/>
            <w:vAlign w:val="bottom"/>
            <w:tcBorders>
              <w:bottom w:val="single" w:sz="8" w:color="auto"/>
            </w:tcBorders>
            <w:shd w:val="clear" w:color="auto" w:fill="E2E8F0"/>
          </w:tcPr>
          <w:p>
            <w:pPr>
              <w:jc w:val="center"/>
              <w:ind w:left="59"/>
              <w:spacing w:after="0"/>
              <w:rPr>
                <w:sz w:val="20"/>
                <w:szCs w:val="20"/>
                <w:color w:val="auto"/>
              </w:rPr>
            </w:pPr>
            <w:r>
              <w:rPr>
                <w:rFonts w:ascii="Times New Roman" w:cs="Times New Roman" w:eastAsia="Times New Roman" w:hAnsi="Times New Roman"/>
                <w:sz w:val="10"/>
                <w:szCs w:val="10"/>
                <w:color w:val="auto"/>
              </w:rPr>
              <w:t>-</w:t>
            </w:r>
          </w:p>
        </w:tc>
        <w:tc>
          <w:tcPr>
            <w:tcW w:w="1420" w:type="dxa"/>
            <w:vAlign w:val="bottom"/>
            <w:tcBorders>
              <w:bottom w:val="single" w:sz="8" w:color="auto"/>
              <w:right w:val="single" w:sz="8" w:color="E2E8F0"/>
            </w:tcBorders>
            <w:gridSpan w:val="2"/>
            <w:shd w:val="clear" w:color="auto" w:fill="E2E8F0"/>
          </w:tcPr>
          <w:p>
            <w:pPr>
              <w:jc w:val="right"/>
              <w:ind w:right="532"/>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tcBorders>
              <w:bottom w:val="single" w:sz="8" w:color="auto"/>
              <w:right w:val="single" w:sz="8" w:color="E2E8F0"/>
            </w:tcBorders>
            <w:shd w:val="clear" w:color="auto" w:fill="E2E8F0"/>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1120" w:type="dxa"/>
            <w:vAlign w:val="bottom"/>
            <w:tcBorders>
              <w:bottom w:val="single" w:sz="8" w:color="auto"/>
              <w:right w:val="single" w:sz="8" w:color="E2E8F0"/>
            </w:tcBorders>
            <w:shd w:val="clear" w:color="auto" w:fill="E2E8F0"/>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tcBorders>
              <w:bottom w:val="single" w:sz="8" w:color="auto"/>
              <w:right w:val="single" w:sz="8" w:color="E2E8F0"/>
            </w:tcBorders>
            <w:shd w:val="clear" w:color="auto" w:fill="E2E8F0"/>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auto"/>
            </w:tcBorders>
            <w:shd w:val="clear" w:color="auto" w:fill="E2E8F0"/>
          </w:tcPr>
          <w:p>
            <w:pPr>
              <w:spacing w:after="0"/>
              <w:rPr>
                <w:sz w:val="11"/>
                <w:szCs w:val="11"/>
                <w:color w:val="auto"/>
              </w:rPr>
            </w:pPr>
          </w:p>
        </w:tc>
        <w:tc>
          <w:tcPr>
            <w:tcW w:w="1080" w:type="dxa"/>
            <w:vAlign w:val="bottom"/>
            <w:tcBorders>
              <w:bottom w:val="single" w:sz="8" w:color="auto"/>
              <w:right w:val="single" w:sz="8" w:color="auto"/>
            </w:tcBorders>
            <w:shd w:val="clear" w:color="auto" w:fill="E2E8F0"/>
          </w:tcPr>
          <w:p>
            <w:pPr>
              <w:jc w:val="center"/>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Each Option granted pursuant to the Option Program has an exercise price per share equal to $10.00.</w:t>
      </w:r>
    </w:p>
    <w:p>
      <w:pPr>
        <w:spacing w:after="0" w:line="8" w:lineRule="exact"/>
        <w:rPr>
          <w:rFonts w:ascii="Times New Roman" w:cs="Times New Roman" w:eastAsia="Times New Roman" w:hAnsi="Times New Roman"/>
          <w:sz w:val="10"/>
          <w:szCs w:val="10"/>
          <w:color w:val="auto"/>
        </w:rPr>
      </w:pPr>
    </w:p>
    <w:p>
      <w:pPr>
        <w:jc w:val="both"/>
        <w:ind w:left="420" w:hanging="212"/>
        <w:spacing w:after="0" w:line="225" w:lineRule="auto"/>
        <w:tabs>
          <w:tab w:leader="none" w:pos="415" w:val="left"/>
        </w:tabs>
        <w:numPr>
          <w:ilvl w:val="0"/>
          <w:numId w:val="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 xml:space="preserve">On July 29, 2025, Mr. Naheta was granted 1,342,282 Options pursuant to the Option Program, contingent on the Company’s stockholders’ approval, which was obtained on October 31, 2025. The Options are a commitment by Mr. Naheta to exercise a predetermined number of Options every quarter for eight quarters (the “Committed Options”) at an exercise price per share equal to $10.00. If Mr. Naheta does not exercise the Committed Options in any quarter, then all remaining Options will be forfeited. One-eighth of the Options will become exercisable each quarter (each, a “Quarterly Tranche”). The Committed Options will be exercisable over a two-day period in the applicable quarter (the “Exercise Period”); </w:t>
      </w:r>
      <w:r>
        <w:rPr>
          <w:rFonts w:ascii="Times New Roman" w:cs="Times New Roman" w:eastAsia="Times New Roman" w:hAnsi="Times New Roman"/>
          <w:sz w:val="10"/>
          <w:szCs w:val="10"/>
          <w:i w:val="1"/>
          <w:iCs w:val="1"/>
          <w:color w:val="auto"/>
        </w:rPr>
        <w:t>provided</w:t>
      </w:r>
      <w:r>
        <w:rPr>
          <w:rFonts w:ascii="Times New Roman" w:cs="Times New Roman" w:eastAsia="Times New Roman" w:hAnsi="Times New Roman"/>
          <w:sz w:val="10"/>
          <w:szCs w:val="10"/>
          <w:color w:val="auto"/>
        </w:rPr>
        <w:t>, that if the Exercise Period for a Quarterly Tranche occurs during a blackout period, then such Exercise Period shall instead be the next quarterly Exercise Period. If Mr. Naheta exercises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581660</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89" w:right="299" w:bottom="1440" w:gutter="0" w:footer="0" w:header="0"/>
        </w:sectPr>
      </w:pPr>
    </w:p>
    <w:bookmarkStart w:id="3" w:name="page4"/>
    <w:bookmarkEnd w:id="3"/>
    <w:p>
      <w:pPr>
        <w:jc w:val="both"/>
        <w:ind w:left="420"/>
        <w:spacing w:after="0" w:line="230" w:lineRule="auto"/>
        <w:rPr>
          <w:sz w:val="20"/>
          <w:szCs w:val="20"/>
          <w:color w:val="auto"/>
        </w:rPr>
      </w:pPr>
      <w:r>
        <w:rPr>
          <w:rFonts w:ascii="Times New Roman" w:cs="Times New Roman" w:eastAsia="Times New Roman" w:hAnsi="Times New Roman"/>
          <w:sz w:val="10"/>
          <w:szCs w:val="10"/>
          <w:color w:val="auto"/>
        </w:rPr>
        <w:t>the Committed Option portion, the remainder of that Quarterly Tranche (the “Optional Exercise Options”) will become exercisable for a period of one year. The Optional Exercise Option portion of any Quarterly Tranche will expire at the end of such one-year period. Notwithstanding the foregoing exercise schedule, following the first quarter after stockholder approval of the Options, any portion of the Options may be exercised earlier than the applicable quarter, provided that shares of Common Stock acquired on exercise of the Optional Exercise Options will be subject to a lock-up period so that the shares acquired on exercise may not be sold or transferred until the originally-scheduled exercise date. On November 12, 2025, the Mr. Naheta previously exercised his Committed Options for the first Quarterly Tranche in full, comprising 33,557 Options.</w:t>
      </w:r>
    </w:p>
    <w:p>
      <w:pPr>
        <w:spacing w:after="0" w:line="1" w:lineRule="exact"/>
        <w:rPr>
          <w:sz w:val="20"/>
          <w:szCs w:val="20"/>
          <w:color w:val="auto"/>
        </w:rPr>
      </w:pPr>
    </w:p>
    <w:p>
      <w:pPr>
        <w:jc w:val="both"/>
        <w:ind w:left="420" w:hanging="212"/>
        <w:spacing w:after="0" w:line="222" w:lineRule="auto"/>
        <w:tabs>
          <w:tab w:leader="none" w:pos="415"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 xml:space="preserve">On July 29, 2025, Ms. Alexander was granted 26,846 Options pursuant to the Option Program, contingent on the Company’s stockholders’ approval, which was obtained on October 31, 2025. The Options are a commitment by Ms. Alexander to exercise the Committed Options at an exercise price per share equal to $10.00. If Ms. Alexander does not exercise the Committed Options in any quarter, then all remaining Options will be forfeited. One-eighth of the Options will become exercisable in each Quarterly Tranche. The Committed Options will be exercisable over a two-day Exercise Period in the applicable quarter; </w:t>
      </w:r>
      <w:r>
        <w:rPr>
          <w:rFonts w:ascii="Times New Roman" w:cs="Times New Roman" w:eastAsia="Times New Roman" w:hAnsi="Times New Roman"/>
          <w:sz w:val="10"/>
          <w:szCs w:val="10"/>
          <w:i w:val="1"/>
          <w:iCs w:val="1"/>
          <w:color w:val="auto"/>
        </w:rPr>
        <w:t>provided</w:t>
      </w:r>
      <w:r>
        <w:rPr>
          <w:rFonts w:ascii="Times New Roman" w:cs="Times New Roman" w:eastAsia="Times New Roman" w:hAnsi="Times New Roman"/>
          <w:sz w:val="10"/>
          <w:szCs w:val="10"/>
          <w:color w:val="auto"/>
        </w:rPr>
        <w:t>, that if the Exercise Period for a Quarterly Tranche occurs during a blackout period, then such Exercise Period shall instead be the next quarterly Exercise Period. If Ms. Alexander exercises the Committed Option portion, the Optional Exercise Options will become exercisable for a period of one year. The Optional Exercise Option portion of any Quarterly Tranche will expire at the end of such one-year period. Notwithstanding the foregoing exercise schedule, following the first quarter after stockholder approval of the Options, any portion of the Options may be exercised earlier than the applicable quarter, provided that shares of Common Stock acquired on exercise of the Optional Exercise Options will be subject to a lock-up period so that the shares acquired on exercise may not be sold or transferred until the originally-scheduled exercise date.</w:t>
      </w:r>
    </w:p>
    <w:p>
      <w:pPr>
        <w:jc w:val="both"/>
        <w:ind w:left="420" w:hanging="212"/>
        <w:spacing w:after="0" w:line="225" w:lineRule="auto"/>
        <w:tabs>
          <w:tab w:leader="none" w:pos="415"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 xml:space="preserve">On July 29, 2025, Mr. D’Annunzio was granted 134,228 Options pursuant to the Option Program, contingent on the Company’s stockholders’ approval, which was obtained on October 31, 2025. The Options are a commitment by Mr. D’Annunzio to exercise the Committed Options at an exercise price per share equal to $10.00. If Mr. D’Annunzio does not exercise the Committed Options in any quarter, then all remaining Options will be forfeited. One-eighth of the Options will become exercisable in each Quarterly Tranche. The Committed Options will be exercisable over a two-day Exercise Period in the applicable quarter; </w:t>
      </w:r>
      <w:r>
        <w:rPr>
          <w:rFonts w:ascii="Times New Roman" w:cs="Times New Roman" w:eastAsia="Times New Roman" w:hAnsi="Times New Roman"/>
          <w:sz w:val="10"/>
          <w:szCs w:val="10"/>
          <w:i w:val="1"/>
          <w:iCs w:val="1"/>
          <w:color w:val="auto"/>
        </w:rPr>
        <w:t>provided</w:t>
      </w:r>
      <w:r>
        <w:rPr>
          <w:rFonts w:ascii="Times New Roman" w:cs="Times New Roman" w:eastAsia="Times New Roman" w:hAnsi="Times New Roman"/>
          <w:sz w:val="10"/>
          <w:szCs w:val="10"/>
          <w:color w:val="auto"/>
        </w:rPr>
        <w:t>, that if the Exercise Period for a Quarterly Tranche occurs during a blackout period, then such Exercise Period shall instead be the next quarterly Exercise Period. If Mr. D’Annunzio exercises the Committed Option portion, the Optional Exercise Options will become exercisable for a period of one year. The Optional Exercise Option portion of any Quarterly Tranche will expire at the end of such one-year period. Notwithstanding the foregoing exercise schedule, following the first quarter after stockholder approval of the Options, any portion of the Options may be exercised earlier than the applicable quarter, provided that shares of Common Stock acquired on exercise of the Optional Exercise Options will be subject to a lock-up period so that the shares acquired on exercise may not be sold or transferred until the originally-scheduled exercise date.</w:t>
      </w:r>
    </w:p>
    <w:p>
      <w:pPr>
        <w:spacing w:after="0" w:line="1" w:lineRule="exact"/>
        <w:rPr>
          <w:rFonts w:ascii="Times New Roman" w:cs="Times New Roman" w:eastAsia="Times New Roman" w:hAnsi="Times New Roman"/>
          <w:sz w:val="10"/>
          <w:szCs w:val="10"/>
          <w:color w:val="auto"/>
        </w:rPr>
      </w:pPr>
    </w:p>
    <w:p>
      <w:pPr>
        <w:jc w:val="both"/>
        <w:ind w:left="420" w:hanging="212"/>
        <w:spacing w:after="0" w:line="225" w:lineRule="auto"/>
        <w:tabs>
          <w:tab w:leader="none" w:pos="415"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Mr. Main resigned as Co-Chief Executive Officer and President of the Company, and as a member of our Board, effective August 11, 2025. In connection with Mr. Main’s departure, the Company and Mr. Main mutually agreed to terminate Mr. Main’s Executive Employment Agreement with the Company (the “Employment Agreement”), and entered into a release agreement (the “Release Agreement”), pursuant to which Mr. Main is entitled to receive the severance payments and benefits that he would otherwise be afforded upon an involuntary termination by the Company without “Cause”, as set forth in Section 9(a) of the Employment Agreement, subject to Mr. Main’s execution and non-revocation of a general release of claims against the Company (the “Severance Benefits”). The Severance Benefits included a full accelerated vesting of Mr. Main’s unvested restricted stock units (“RSUs”) and any unvested performance-based restricted stock units (“PRSUs”) for which actual performance achievement has already been certified as of the Separation Date, and (ii) Mr. Main’s unvested PRSUs will remain outstanding and eligible to vest based on actual performance achieved after completion of the performance period in accordance with the terms of such grants.</w:t>
      </w:r>
    </w:p>
    <w:p>
      <w:pPr>
        <w:ind w:left="420" w:hanging="212"/>
        <w:spacing w:after="0" w:line="225" w:lineRule="auto"/>
        <w:tabs>
          <w:tab w:leader="none" w:pos="420"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803,861unvested performance-based PSUs from a grant on March 18, 2025.</w:t>
      </w:r>
    </w:p>
    <w:p>
      <w:pPr>
        <w:ind w:left="420" w:hanging="212"/>
        <w:spacing w:after="0" w:line="225" w:lineRule="auto"/>
        <w:tabs>
          <w:tab w:leader="none" w:pos="420"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17,105 unvested time-based RSUs from a grant on March 20, 2025.</w:t>
      </w:r>
    </w:p>
    <w:p>
      <w:pPr>
        <w:ind w:left="420" w:hanging="212"/>
        <w:spacing w:after="0" w:line="236" w:lineRule="auto"/>
        <w:tabs>
          <w:tab w:leader="none" w:pos="420"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17,105 unvested time-based RSUs from a grant on March 20,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Equity Compensation Plan Information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section below entitled “Pay Versus Performance” is inserted into the Proxy Statement and replaces the previous section under “Equity Compensation Plan Information—Pay Versus Performance” in its entirety as follows: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45556C"/>
        </w:rPr>
        <w:t>Pay Versus Performance</w:t>
      </w:r>
    </w:p>
    <w:p>
      <w:pPr>
        <w:spacing w:after="0" w:line="211" w:lineRule="exact"/>
        <w:rPr>
          <w:sz w:val="20"/>
          <w:szCs w:val="20"/>
          <w:color w:val="auto"/>
        </w:rPr>
      </w:pPr>
    </w:p>
    <w:p>
      <w:pPr>
        <w:jc w:val="both"/>
        <w:ind w:left="60" w:firstLine="367"/>
        <w:spacing w:after="0" w:line="260" w:lineRule="auto"/>
        <w:rPr>
          <w:sz w:val="20"/>
          <w:szCs w:val="20"/>
          <w:color w:val="auto"/>
        </w:rPr>
      </w:pPr>
      <w:r>
        <w:rPr>
          <w:rFonts w:ascii="Times New Roman" w:cs="Times New Roman" w:eastAsia="Times New Roman" w:hAnsi="Times New Roman"/>
          <w:sz w:val="12"/>
          <w:szCs w:val="12"/>
          <w:color w:val="auto"/>
        </w:rPr>
        <w:t>As required by Section 953(a) of the Dodd-Frank Wall Street Reform and Consumer Protection Act and Item 402(v) of Regulation S-K, we are providing the following information regarding the “compensation actually paid” (as defined in Item 402(v) of Regulation S-K) to the Principal Executive Officer or “PEO” and to the Non-PEO NEOs (on an average basis) for 2025, 2024 and 2023. The amounts set forth below under the headings “Compensation Actually Paid to PEO” and “Average Compensation Actually Paid to Non-PEO NEOs” have been calculated in a manner consistent with Item 402(v) of Regulation S-K. Use of the term “compensation actually paid” is required by the SEC’s rules and as a result of the calculation methodology required by the SEC, such amounts differ from compensation actually received by the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677545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89" w:right="29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111"/>
        </w:trPr>
        <w:tc>
          <w:tcPr>
            <w:tcW w:w="480" w:type="dxa"/>
            <w:vAlign w:val="bottom"/>
            <w:tcBorders>
              <w:top w:val="single" w:sz="8" w:color="auto"/>
              <w:left w:val="single" w:sz="8" w:color="auto"/>
              <w:right w:val="single" w:sz="8" w:color="auto"/>
            </w:tcBorders>
          </w:tcPr>
          <w:p>
            <w:pPr>
              <w:ind w:left="140"/>
              <w:spacing w:after="0" w:line="111" w:lineRule="exact"/>
              <w:rPr>
                <w:sz w:val="20"/>
                <w:szCs w:val="20"/>
                <w:color w:val="auto"/>
              </w:rPr>
            </w:pPr>
            <w:r>
              <w:rPr>
                <w:rFonts w:ascii="Times New Roman" w:cs="Times New Roman" w:eastAsia="Times New Roman" w:hAnsi="Times New Roman"/>
                <w:sz w:val="10"/>
                <w:szCs w:val="10"/>
                <w:b w:val="1"/>
                <w:bCs w:val="1"/>
                <w:color w:val="auto"/>
              </w:rPr>
              <w:t>Year</w:t>
            </w:r>
          </w:p>
        </w:tc>
        <w:tc>
          <w:tcPr>
            <w:tcW w:w="1040" w:type="dxa"/>
            <w:vAlign w:val="bottom"/>
            <w:tcBorders>
              <w:top w:val="single" w:sz="8" w:color="auto"/>
              <w:right w:val="single" w:sz="8" w:color="auto"/>
            </w:tcBorders>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8"/>
              </w:rPr>
              <w:t>Summary</w:t>
            </w:r>
          </w:p>
        </w:tc>
        <w:tc>
          <w:tcPr>
            <w:tcW w:w="1040" w:type="dxa"/>
            <w:vAlign w:val="bottom"/>
            <w:tcBorders>
              <w:top w:val="single" w:sz="8" w:color="auto"/>
              <w:right w:val="single" w:sz="8" w:color="auto"/>
            </w:tcBorders>
          </w:tcPr>
          <w:p>
            <w:pPr>
              <w:jc w:val="center"/>
              <w:spacing w:after="0" w:line="111" w:lineRule="exact"/>
              <w:rPr>
                <w:sz w:val="20"/>
                <w:szCs w:val="20"/>
                <w:color w:val="auto"/>
              </w:rPr>
            </w:pPr>
            <w:r>
              <w:rPr>
                <w:rFonts w:ascii="Times New Roman" w:cs="Times New Roman" w:eastAsia="Times New Roman" w:hAnsi="Times New Roman"/>
                <w:sz w:val="10"/>
                <w:szCs w:val="10"/>
                <w:b w:val="1"/>
                <w:bCs w:val="1"/>
                <w:color w:val="auto"/>
                <w:w w:val="97"/>
              </w:rPr>
              <w:t>Compensation Actually</w:t>
            </w:r>
          </w:p>
        </w:tc>
        <w:tc>
          <w:tcPr>
            <w:tcW w:w="1100" w:type="dxa"/>
            <w:vAlign w:val="bottom"/>
            <w:tcBorders>
              <w:top w:val="single" w:sz="8" w:color="auto"/>
              <w:right w:val="single" w:sz="8" w:color="auto"/>
            </w:tcBorders>
          </w:tcPr>
          <w:p>
            <w:pPr>
              <w:jc w:val="center"/>
              <w:spacing w:after="0" w:line="111" w:lineRule="exact"/>
              <w:rPr>
                <w:sz w:val="20"/>
                <w:szCs w:val="20"/>
                <w:color w:val="auto"/>
              </w:rPr>
            </w:pPr>
            <w:r>
              <w:rPr>
                <w:rFonts w:ascii="Times New Roman" w:cs="Times New Roman" w:eastAsia="Times New Roman" w:hAnsi="Times New Roman"/>
                <w:sz w:val="10"/>
                <w:szCs w:val="10"/>
                <w:b w:val="1"/>
                <w:bCs w:val="1"/>
                <w:color w:val="auto"/>
                <w:w w:val="95"/>
              </w:rPr>
              <w:t>Summary Compensation</w:t>
            </w:r>
          </w:p>
        </w:tc>
        <w:tc>
          <w:tcPr>
            <w:tcW w:w="1080" w:type="dxa"/>
            <w:vAlign w:val="bottom"/>
            <w:tcBorders>
              <w:top w:val="single" w:sz="8" w:color="auto"/>
              <w:right w:val="single" w:sz="8" w:color="auto"/>
            </w:tcBorders>
          </w:tcPr>
          <w:p>
            <w:pPr>
              <w:jc w:val="center"/>
              <w:spacing w:after="0" w:line="111" w:lineRule="exact"/>
              <w:rPr>
                <w:sz w:val="20"/>
                <w:szCs w:val="20"/>
                <w:color w:val="auto"/>
              </w:rPr>
            </w:pPr>
            <w:r>
              <w:rPr>
                <w:rFonts w:ascii="Times New Roman" w:cs="Times New Roman" w:eastAsia="Times New Roman" w:hAnsi="Times New Roman"/>
                <w:sz w:val="10"/>
                <w:szCs w:val="10"/>
                <w:b w:val="1"/>
                <w:bCs w:val="1"/>
                <w:color w:val="auto"/>
                <w:w w:val="95"/>
              </w:rPr>
              <w:t>Compensation Actually</w:t>
            </w:r>
          </w:p>
        </w:tc>
        <w:tc>
          <w:tcPr>
            <w:tcW w:w="1100" w:type="dxa"/>
            <w:vAlign w:val="bottom"/>
            <w:tcBorders>
              <w:top w:val="single" w:sz="8" w:color="auto"/>
              <w:right w:val="single" w:sz="8" w:color="auto"/>
            </w:tcBorders>
          </w:tcPr>
          <w:p>
            <w:pPr>
              <w:jc w:val="center"/>
              <w:spacing w:after="0" w:line="111" w:lineRule="exact"/>
              <w:rPr>
                <w:sz w:val="20"/>
                <w:szCs w:val="20"/>
                <w:color w:val="auto"/>
              </w:rPr>
            </w:pPr>
            <w:r>
              <w:rPr>
                <w:rFonts w:ascii="Times New Roman" w:cs="Times New Roman" w:eastAsia="Times New Roman" w:hAnsi="Times New Roman"/>
                <w:sz w:val="10"/>
                <w:szCs w:val="10"/>
                <w:b w:val="1"/>
                <w:bCs w:val="1"/>
                <w:color w:val="auto"/>
                <w:w w:val="95"/>
              </w:rPr>
              <w:t>Summary Compensation</w:t>
            </w:r>
          </w:p>
        </w:tc>
        <w:tc>
          <w:tcPr>
            <w:tcW w:w="1100" w:type="dxa"/>
            <w:vAlign w:val="bottom"/>
            <w:tcBorders>
              <w:top w:val="single" w:sz="8" w:color="auto"/>
              <w:right w:val="single" w:sz="8" w:color="auto"/>
            </w:tcBorders>
          </w:tcPr>
          <w:p>
            <w:pPr>
              <w:jc w:val="center"/>
              <w:ind w:right="15"/>
              <w:spacing w:after="0" w:line="111" w:lineRule="exact"/>
              <w:rPr>
                <w:sz w:val="20"/>
                <w:szCs w:val="20"/>
                <w:color w:val="auto"/>
              </w:rPr>
            </w:pPr>
            <w:r>
              <w:rPr>
                <w:rFonts w:ascii="Times New Roman" w:cs="Times New Roman" w:eastAsia="Times New Roman" w:hAnsi="Times New Roman"/>
                <w:sz w:val="10"/>
                <w:szCs w:val="10"/>
                <w:b w:val="1"/>
                <w:bCs w:val="1"/>
                <w:color w:val="auto"/>
                <w:w w:val="95"/>
              </w:rPr>
              <w:t>Compensation Actually</w:t>
            </w:r>
          </w:p>
        </w:tc>
        <w:tc>
          <w:tcPr>
            <w:tcW w:w="1100" w:type="dxa"/>
            <w:vAlign w:val="bottom"/>
            <w:tcBorders>
              <w:top w:val="single" w:sz="8" w:color="auto"/>
              <w:right w:val="single" w:sz="8" w:color="auto"/>
            </w:tcBorders>
          </w:tcPr>
          <w:p>
            <w:pPr>
              <w:jc w:val="center"/>
              <w:ind w:right="15"/>
              <w:spacing w:after="0" w:line="111" w:lineRule="exact"/>
              <w:rPr>
                <w:sz w:val="20"/>
                <w:szCs w:val="20"/>
                <w:color w:val="auto"/>
              </w:rPr>
            </w:pPr>
            <w:r>
              <w:rPr>
                <w:rFonts w:ascii="Times New Roman" w:cs="Times New Roman" w:eastAsia="Times New Roman" w:hAnsi="Times New Roman"/>
                <w:sz w:val="10"/>
                <w:szCs w:val="10"/>
                <w:b w:val="1"/>
                <w:bCs w:val="1"/>
                <w:color w:val="auto"/>
                <w:w w:val="94"/>
              </w:rPr>
              <w:t>Average Summary</w:t>
            </w:r>
          </w:p>
        </w:tc>
        <w:tc>
          <w:tcPr>
            <w:tcW w:w="1060" w:type="dxa"/>
            <w:vAlign w:val="bottom"/>
            <w:tcBorders>
              <w:top w:val="single" w:sz="8" w:color="auto"/>
              <w:right w:val="single" w:sz="8" w:color="auto"/>
            </w:tcBorders>
          </w:tcPr>
          <w:p>
            <w:pPr>
              <w:jc w:val="center"/>
              <w:spacing w:after="0" w:line="111" w:lineRule="exact"/>
              <w:rPr>
                <w:sz w:val="20"/>
                <w:szCs w:val="20"/>
                <w:color w:val="auto"/>
              </w:rPr>
            </w:pPr>
            <w:r>
              <w:rPr>
                <w:rFonts w:ascii="Times New Roman" w:cs="Times New Roman" w:eastAsia="Times New Roman" w:hAnsi="Times New Roman"/>
                <w:sz w:val="10"/>
                <w:szCs w:val="10"/>
                <w:b w:val="1"/>
                <w:bCs w:val="1"/>
                <w:color w:val="auto"/>
                <w:w w:val="94"/>
              </w:rPr>
              <w:t>Average Compensation</w:t>
            </w:r>
          </w:p>
        </w:tc>
        <w:tc>
          <w:tcPr>
            <w:tcW w:w="1180" w:type="dxa"/>
            <w:vAlign w:val="bottom"/>
            <w:tcBorders>
              <w:top w:val="single" w:sz="8" w:color="auto"/>
              <w:right w:val="single" w:sz="8" w:color="auto"/>
            </w:tcBorders>
          </w:tcPr>
          <w:p>
            <w:pPr>
              <w:jc w:val="center"/>
              <w:spacing w:after="0" w:line="111" w:lineRule="exact"/>
              <w:rPr>
                <w:sz w:val="20"/>
                <w:szCs w:val="20"/>
                <w:color w:val="auto"/>
              </w:rPr>
            </w:pPr>
            <w:r>
              <w:rPr>
                <w:rFonts w:ascii="Times New Roman" w:cs="Times New Roman" w:eastAsia="Times New Roman" w:hAnsi="Times New Roman"/>
                <w:sz w:val="10"/>
                <w:szCs w:val="10"/>
                <w:b w:val="1"/>
                <w:bCs w:val="1"/>
                <w:color w:val="auto"/>
                <w:w w:val="95"/>
              </w:rPr>
              <w:t>Value of Initial Fixed $100</w:t>
            </w:r>
          </w:p>
        </w:tc>
        <w:tc>
          <w:tcPr>
            <w:tcW w:w="1040" w:type="dxa"/>
            <w:vAlign w:val="bottom"/>
            <w:tcBorders>
              <w:top w:val="single" w:sz="8" w:color="auto"/>
              <w:right w:val="single" w:sz="8" w:color="auto"/>
            </w:tcBorders>
          </w:tcPr>
          <w:p>
            <w:pPr>
              <w:ind w:left="140"/>
              <w:spacing w:after="0" w:line="111" w:lineRule="exact"/>
              <w:rPr>
                <w:sz w:val="20"/>
                <w:szCs w:val="20"/>
                <w:color w:val="auto"/>
              </w:rPr>
            </w:pPr>
            <w:r>
              <w:rPr>
                <w:rFonts w:ascii="Times New Roman" w:cs="Times New Roman" w:eastAsia="Times New Roman" w:hAnsi="Times New Roman"/>
                <w:sz w:val="10"/>
                <w:szCs w:val="10"/>
                <w:b w:val="1"/>
                <w:bCs w:val="1"/>
                <w:color w:val="auto"/>
              </w:rPr>
              <w:t>Net Loss (million)</w:t>
            </w:r>
          </w:p>
        </w:tc>
        <w:tc>
          <w:tcPr>
            <w:tcW w:w="0" w:type="dxa"/>
            <w:vAlign w:val="bottom"/>
          </w:tcPr>
          <w:p>
            <w:pPr>
              <w:spacing w:after="0"/>
              <w:rPr>
                <w:sz w:val="1"/>
                <w:szCs w:val="1"/>
                <w:color w:val="auto"/>
              </w:rPr>
            </w:pPr>
          </w:p>
        </w:tc>
      </w:tr>
      <w:tr>
        <w:trPr>
          <w:trHeight w:val="141"/>
        </w:trPr>
        <w:tc>
          <w:tcPr>
            <w:tcW w:w="480" w:type="dxa"/>
            <w:vAlign w:val="bottom"/>
            <w:tcBorders>
              <w:left w:val="single" w:sz="8" w:color="auto"/>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Compensation Table</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Paid to PEO Akshay</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Table Total for PEO</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Paid to PEO Andrew</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Table Total for PEO</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Paid to PEO Gavin</w:t>
            </w:r>
          </w:p>
        </w:tc>
        <w:tc>
          <w:tcPr>
            <w:tcW w:w="1100" w:type="dxa"/>
            <w:vAlign w:val="bottom"/>
            <w:tcBorders>
              <w:right w:val="single" w:sz="8" w:color="auto"/>
            </w:tcBorders>
          </w:tcPr>
          <w:p>
            <w:pPr>
              <w:jc w:val="center"/>
              <w:ind w:right="15"/>
              <w:spacing w:after="0"/>
              <w:rPr>
                <w:sz w:val="20"/>
                <w:szCs w:val="20"/>
                <w:color w:val="auto"/>
              </w:rPr>
            </w:pPr>
            <w:r>
              <w:rPr>
                <w:rFonts w:ascii="Times New Roman" w:cs="Times New Roman" w:eastAsia="Times New Roman" w:hAnsi="Times New Roman"/>
                <w:sz w:val="10"/>
                <w:szCs w:val="10"/>
                <w:b w:val="1"/>
                <w:bCs w:val="1"/>
                <w:color w:val="auto"/>
                <w:w w:val="94"/>
              </w:rPr>
              <w:t>Compensation Table</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Actually Paid to Non-</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Investment Based On Total</w:t>
            </w:r>
          </w:p>
        </w:tc>
        <w:tc>
          <w:tcPr>
            <w:tcW w:w="104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0"/>
                <w:szCs w:val="10"/>
                <w:b w:val="1"/>
                <w:bCs w:val="1"/>
                <w:color w:val="auto"/>
                <w:w w:val="85"/>
              </w:rPr>
              <w:t>($)</w:t>
            </w:r>
            <w:r>
              <w:rPr>
                <w:rFonts w:ascii="Times New Roman" w:cs="Times New Roman" w:eastAsia="Times New Roman" w:hAnsi="Times New Roman"/>
                <w:sz w:val="15"/>
                <w:szCs w:val="15"/>
                <w:b w:val="1"/>
                <w:bCs w:val="1"/>
                <w:color w:val="auto"/>
                <w:w w:val="85"/>
                <w:vertAlign w:val="superscript"/>
              </w:rPr>
              <w:t>(6)</w:t>
            </w:r>
          </w:p>
        </w:tc>
        <w:tc>
          <w:tcPr>
            <w:tcW w:w="0" w:type="dxa"/>
            <w:vAlign w:val="bottom"/>
          </w:tcPr>
          <w:p>
            <w:pPr>
              <w:spacing w:after="0"/>
              <w:rPr>
                <w:sz w:val="1"/>
                <w:szCs w:val="1"/>
                <w:color w:val="auto"/>
              </w:rPr>
            </w:pPr>
          </w:p>
        </w:tc>
      </w:tr>
      <w:tr>
        <w:trPr>
          <w:trHeight w:val="90"/>
        </w:trPr>
        <w:tc>
          <w:tcPr>
            <w:tcW w:w="480" w:type="dxa"/>
            <w:vAlign w:val="bottom"/>
            <w:tcBorders>
              <w:left w:val="single" w:sz="8" w:color="auto"/>
              <w:right w:val="single" w:sz="8" w:color="auto"/>
            </w:tcBorders>
          </w:tcPr>
          <w:p>
            <w:pPr>
              <w:spacing w:after="0"/>
              <w:rPr>
                <w:sz w:val="7"/>
                <w:szCs w:val="7"/>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Total for PEO</w:t>
            </w:r>
          </w:p>
        </w:tc>
        <w:tc>
          <w:tcPr>
            <w:tcW w:w="104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w w:val="98"/>
              </w:rPr>
              <w:t>Naheta</w:t>
            </w:r>
          </w:p>
        </w:tc>
        <w:tc>
          <w:tcPr>
            <w:tcW w:w="110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w w:val="93"/>
              </w:rPr>
              <w:t>Andrew Main</w:t>
            </w:r>
          </w:p>
        </w:tc>
        <w:tc>
          <w:tcPr>
            <w:tcW w:w="108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w w:val="96"/>
              </w:rPr>
              <w:t>Main</w:t>
            </w:r>
          </w:p>
        </w:tc>
        <w:tc>
          <w:tcPr>
            <w:tcW w:w="110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w w:val="95"/>
              </w:rPr>
              <w:t>Gavin Michael</w:t>
            </w:r>
          </w:p>
        </w:tc>
        <w:tc>
          <w:tcPr>
            <w:tcW w:w="110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w w:val="98"/>
              </w:rPr>
              <w:t>Michael</w:t>
            </w:r>
          </w:p>
        </w:tc>
        <w:tc>
          <w:tcPr>
            <w:tcW w:w="110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w w:val="96"/>
              </w:rPr>
              <w:t>Total for Non-PEO NEOs</w:t>
            </w:r>
          </w:p>
        </w:tc>
        <w:tc>
          <w:tcPr>
            <w:tcW w:w="106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w w:val="94"/>
              </w:rPr>
              <w:t>PEO NEOs</w:t>
            </w:r>
          </w:p>
        </w:tc>
        <w:tc>
          <w:tcPr>
            <w:tcW w:w="1180" w:type="dxa"/>
            <w:vAlign w:val="bottom"/>
            <w:tcBorders>
              <w:right w:val="single" w:sz="8" w:color="auto"/>
            </w:tcBorders>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w w:val="95"/>
              </w:rPr>
              <w:t>Shareholder Return</w:t>
            </w:r>
          </w:p>
        </w:tc>
        <w:tc>
          <w:tcPr>
            <w:tcW w:w="10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right w:val="single" w:sz="8" w:color="auto"/>
            </w:tcBorders>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vertAlign w:val="subscript"/>
              </w:rPr>
              <w:t>($)</w:t>
            </w:r>
            <w:r>
              <w:rPr>
                <w:rFonts w:ascii="Times New Roman" w:cs="Times New Roman" w:eastAsia="Times New Roman" w:hAnsi="Times New Roman"/>
                <w:sz w:val="6"/>
                <w:szCs w:val="6"/>
                <w:b w:val="1"/>
                <w:bCs w:val="1"/>
                <w:color w:val="auto"/>
              </w:rPr>
              <w:t>(2)</w:t>
            </w:r>
          </w:p>
        </w:tc>
        <w:tc>
          <w:tcPr>
            <w:tcW w:w="110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vertAlign w:val="subscript"/>
              </w:rPr>
              <w:t>($)</w:t>
            </w:r>
            <w:r>
              <w:rPr>
                <w:rFonts w:ascii="Times New Roman" w:cs="Times New Roman" w:eastAsia="Times New Roman" w:hAnsi="Times New Roman"/>
                <w:sz w:val="6"/>
                <w:szCs w:val="6"/>
                <w:b w:val="1"/>
                <w:bCs w:val="1"/>
                <w:color w:val="auto"/>
              </w:rPr>
              <w:t>(1)</w:t>
            </w:r>
          </w:p>
        </w:tc>
        <w:tc>
          <w:tcPr>
            <w:tcW w:w="108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vertAlign w:val="subscript"/>
              </w:rPr>
              <w:t>($)</w:t>
            </w:r>
            <w:r>
              <w:rPr>
                <w:rFonts w:ascii="Times New Roman" w:cs="Times New Roman" w:eastAsia="Times New Roman" w:hAnsi="Times New Roman"/>
                <w:sz w:val="6"/>
                <w:szCs w:val="6"/>
                <w:b w:val="1"/>
                <w:bCs w:val="1"/>
                <w:color w:val="auto"/>
              </w:rPr>
              <w:t>(2)</w:t>
            </w:r>
          </w:p>
        </w:tc>
        <w:tc>
          <w:tcPr>
            <w:tcW w:w="1100" w:type="dxa"/>
            <w:vAlign w:val="bottom"/>
            <w:tcBorders>
              <w:right w:val="single" w:sz="8" w:color="auto"/>
            </w:tcBorders>
          </w:tcPr>
          <w:p>
            <w:pPr>
              <w:jc w:val="center"/>
              <w:ind w:right="395"/>
              <w:spacing w:after="0" w:line="108" w:lineRule="exact"/>
              <w:rPr>
                <w:sz w:val="20"/>
                <w:szCs w:val="20"/>
                <w:color w:val="auto"/>
              </w:rPr>
            </w:pPr>
            <w:r>
              <w:rPr>
                <w:rFonts w:ascii="Times New Roman" w:cs="Times New Roman" w:eastAsia="Times New Roman" w:hAnsi="Times New Roman"/>
                <w:sz w:val="12"/>
                <w:szCs w:val="12"/>
                <w:b w:val="1"/>
                <w:bCs w:val="1"/>
                <w:color w:val="auto"/>
                <w:vertAlign w:val="subscript"/>
              </w:rPr>
              <w:t>($)</w:t>
            </w:r>
            <w:r>
              <w:rPr>
                <w:rFonts w:ascii="Times New Roman" w:cs="Times New Roman" w:eastAsia="Times New Roman" w:hAnsi="Times New Roman"/>
                <w:sz w:val="6"/>
                <w:szCs w:val="6"/>
                <w:b w:val="1"/>
                <w:bCs w:val="1"/>
                <w:color w:val="auto"/>
              </w:rPr>
              <w:t>(1)</w:t>
            </w:r>
          </w:p>
        </w:tc>
        <w:tc>
          <w:tcPr>
            <w:tcW w:w="1100" w:type="dxa"/>
            <w:vAlign w:val="bottom"/>
            <w:tcBorders>
              <w:right w:val="single" w:sz="8" w:color="auto"/>
            </w:tcBorders>
          </w:tcPr>
          <w:p>
            <w:pPr>
              <w:jc w:val="center"/>
              <w:ind w:right="15"/>
              <w:spacing w:after="0" w:line="108" w:lineRule="exact"/>
              <w:rPr>
                <w:sz w:val="20"/>
                <w:szCs w:val="20"/>
                <w:color w:val="auto"/>
              </w:rPr>
            </w:pPr>
            <w:r>
              <w:rPr>
                <w:rFonts w:ascii="Times New Roman" w:cs="Times New Roman" w:eastAsia="Times New Roman" w:hAnsi="Times New Roman"/>
                <w:sz w:val="12"/>
                <w:szCs w:val="12"/>
                <w:b w:val="1"/>
                <w:bCs w:val="1"/>
                <w:color w:val="auto"/>
                <w:vertAlign w:val="subscript"/>
              </w:rPr>
              <w:t>($)</w:t>
            </w:r>
            <w:r>
              <w:rPr>
                <w:rFonts w:ascii="Times New Roman" w:cs="Times New Roman" w:eastAsia="Times New Roman" w:hAnsi="Times New Roman"/>
                <w:sz w:val="6"/>
                <w:szCs w:val="6"/>
                <w:b w:val="1"/>
                <w:bCs w:val="1"/>
                <w:color w:val="auto"/>
              </w:rPr>
              <w:t>(2)</w:t>
            </w:r>
          </w:p>
        </w:tc>
        <w:tc>
          <w:tcPr>
            <w:tcW w:w="1100" w:type="dxa"/>
            <w:vAlign w:val="bottom"/>
            <w:tcBorders>
              <w:right w:val="single" w:sz="8" w:color="auto"/>
            </w:tcBorders>
          </w:tcPr>
          <w:p>
            <w:pPr>
              <w:jc w:val="center"/>
              <w:ind w:right="15"/>
              <w:spacing w:after="0" w:line="108" w:lineRule="exact"/>
              <w:rPr>
                <w:sz w:val="20"/>
                <w:szCs w:val="20"/>
                <w:color w:val="auto"/>
              </w:rPr>
            </w:pPr>
            <w:r>
              <w:rPr>
                <w:rFonts w:ascii="Times New Roman" w:cs="Times New Roman" w:eastAsia="Times New Roman" w:hAnsi="Times New Roman"/>
                <w:sz w:val="12"/>
                <w:szCs w:val="12"/>
                <w:b w:val="1"/>
                <w:bCs w:val="1"/>
                <w:color w:val="auto"/>
                <w:vertAlign w:val="subscript"/>
              </w:rPr>
              <w:t>($)</w:t>
            </w:r>
            <w:r>
              <w:rPr>
                <w:rFonts w:ascii="Times New Roman" w:cs="Times New Roman" w:eastAsia="Times New Roman" w:hAnsi="Times New Roman"/>
                <w:sz w:val="6"/>
                <w:szCs w:val="6"/>
                <w:b w:val="1"/>
                <w:bCs w:val="1"/>
                <w:color w:val="auto"/>
              </w:rPr>
              <w:t>(3)</w:t>
            </w:r>
          </w:p>
        </w:tc>
        <w:tc>
          <w:tcPr>
            <w:tcW w:w="106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vertAlign w:val="subscript"/>
              </w:rPr>
              <w:t>($)</w:t>
            </w:r>
            <w:r>
              <w:rPr>
                <w:rFonts w:ascii="Times New Roman" w:cs="Times New Roman" w:eastAsia="Times New Roman" w:hAnsi="Times New Roman"/>
                <w:sz w:val="6"/>
                <w:szCs w:val="6"/>
                <w:b w:val="1"/>
                <w:bCs w:val="1"/>
                <w:color w:val="auto"/>
              </w:rPr>
              <w:t>(4)</w:t>
            </w:r>
          </w:p>
        </w:tc>
        <w:tc>
          <w:tcPr>
            <w:tcW w:w="118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vertAlign w:val="subscript"/>
              </w:rPr>
              <w:t>($)</w:t>
            </w:r>
            <w:r>
              <w:rPr>
                <w:rFonts w:ascii="Times New Roman" w:cs="Times New Roman" w:eastAsia="Times New Roman" w:hAnsi="Times New Roman"/>
                <w:sz w:val="6"/>
                <w:szCs w:val="6"/>
                <w:b w:val="1"/>
                <w:bCs w:val="1"/>
                <w:color w:val="auto"/>
              </w:rPr>
              <w:t>(5)</w:t>
            </w:r>
          </w:p>
        </w:tc>
        <w:tc>
          <w:tcPr>
            <w:tcW w:w="1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480" w:type="dxa"/>
            <w:vAlign w:val="bottom"/>
            <w:tcBorders>
              <w:left w:val="single" w:sz="8" w:color="auto"/>
              <w:right w:val="single" w:sz="8" w:color="auto"/>
            </w:tcBorders>
          </w:tcPr>
          <w:p>
            <w:pPr>
              <w:spacing w:after="0"/>
              <w:rPr>
                <w:sz w:val="7"/>
                <w:szCs w:val="7"/>
                <w:color w:val="auto"/>
              </w:rPr>
            </w:pPr>
          </w:p>
        </w:tc>
        <w:tc>
          <w:tcPr>
            <w:tcW w:w="1040" w:type="dxa"/>
            <w:vAlign w:val="bottom"/>
            <w:tcBorders>
              <w:right w:val="single" w:sz="8" w:color="auto"/>
            </w:tcBorders>
          </w:tcPr>
          <w:p>
            <w:pPr>
              <w:jc w:val="center"/>
              <w:spacing w:after="0" w:line="83" w:lineRule="exact"/>
              <w:rPr>
                <w:sz w:val="20"/>
                <w:szCs w:val="20"/>
                <w:color w:val="auto"/>
              </w:rPr>
            </w:pPr>
            <w:r>
              <w:rPr>
                <w:rFonts w:ascii="Times New Roman" w:cs="Times New Roman" w:eastAsia="Times New Roman" w:hAnsi="Times New Roman"/>
                <w:sz w:val="9"/>
                <w:szCs w:val="9"/>
                <w:b w:val="1"/>
                <w:bCs w:val="1"/>
                <w:color w:val="auto"/>
              </w:rPr>
              <w:t>Akshay Naheta</w:t>
            </w:r>
          </w:p>
        </w:tc>
        <w:tc>
          <w:tcPr>
            <w:tcW w:w="104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480" w:type="dxa"/>
            <w:vAlign w:val="bottom"/>
            <w:tcBorders>
              <w:left w:val="single" w:sz="8" w:color="auto"/>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jc w:val="center"/>
              <w:ind w:right="350"/>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4"/>
                <w:szCs w:val="14"/>
                <w:b w:val="1"/>
                <w:bCs w:val="1"/>
                <w:color w:val="auto"/>
                <w:vertAlign w:val="superscript"/>
              </w:rPr>
              <w:t>(1)</w:t>
            </w:r>
          </w:p>
        </w:tc>
        <w:tc>
          <w:tcPr>
            <w:tcW w:w="104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08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0"/>
                <w:szCs w:val="10"/>
                <w:color w:val="auto"/>
              </w:rPr>
              <w:t>2025</w:t>
            </w:r>
          </w:p>
        </w:tc>
        <w:tc>
          <w:tcPr>
            <w:tcW w:w="1040" w:type="dxa"/>
            <w:vAlign w:val="bottom"/>
            <w:tcBorders>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0"/>
                <w:szCs w:val="10"/>
                <w:color w:val="auto"/>
              </w:rPr>
              <w:t>35,217,068</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20,837,384</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6,160,265</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3,937,168</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1100" w:type="dxa"/>
            <w:vAlign w:val="bottom"/>
            <w:tcBorders>
              <w:bottom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0"/>
                <w:szCs w:val="10"/>
                <w:color w:val="auto"/>
                <w:w w:val="99"/>
              </w:rPr>
              <w:t>4,866,176</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2,993,782</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9"/>
              </w:rPr>
              <w:t>44</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88"/>
              </w:rPr>
              <w:t>132.2</w:t>
            </w:r>
          </w:p>
        </w:tc>
        <w:tc>
          <w:tcPr>
            <w:tcW w:w="0" w:type="dxa"/>
            <w:vAlign w:val="bottom"/>
          </w:tcPr>
          <w:p>
            <w:pPr>
              <w:spacing w:after="0"/>
              <w:rPr>
                <w:sz w:val="1"/>
                <w:szCs w:val="1"/>
                <w:color w:val="auto"/>
              </w:rPr>
            </w:pPr>
          </w:p>
        </w:tc>
      </w:tr>
      <w:tr>
        <w:trPr>
          <w:trHeight w:val="142"/>
        </w:trPr>
        <w:tc>
          <w:tcPr>
            <w:tcW w:w="4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0"/>
                <w:szCs w:val="10"/>
                <w:color w:val="auto"/>
              </w:rPr>
              <w:t>2024</w:t>
            </w:r>
          </w:p>
        </w:tc>
        <w:tc>
          <w:tcPr>
            <w:tcW w:w="1040" w:type="dxa"/>
            <w:vAlign w:val="bottom"/>
            <w:tcBorders>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7,341,350</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12,908,963</w:t>
            </w:r>
          </w:p>
        </w:tc>
        <w:tc>
          <w:tcPr>
            <w:tcW w:w="1100" w:type="dxa"/>
            <w:vAlign w:val="bottom"/>
            <w:tcBorders>
              <w:bottom w:val="single" w:sz="8" w:color="auto"/>
              <w:right w:val="single" w:sz="8" w:color="auto"/>
            </w:tcBorders>
          </w:tcPr>
          <w:p>
            <w:pPr>
              <w:jc w:val="right"/>
              <w:ind w:right="255"/>
              <w:spacing w:after="0"/>
              <w:rPr>
                <w:sz w:val="20"/>
                <w:szCs w:val="20"/>
                <w:color w:val="auto"/>
              </w:rPr>
            </w:pPr>
            <w:r>
              <w:rPr>
                <w:rFonts w:ascii="Times New Roman" w:cs="Times New Roman" w:eastAsia="Times New Roman" w:hAnsi="Times New Roman"/>
                <w:sz w:val="10"/>
                <w:szCs w:val="10"/>
                <w:color w:val="auto"/>
              </w:rPr>
              <w:t>3,852,381</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8"/>
              </w:rPr>
              <w:t>(5,021,846)</w:t>
            </w:r>
          </w:p>
        </w:tc>
        <w:tc>
          <w:tcPr>
            <w:tcW w:w="1100" w:type="dxa"/>
            <w:vAlign w:val="bottom"/>
            <w:tcBorders>
              <w:bottom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0"/>
                <w:szCs w:val="10"/>
                <w:color w:val="auto"/>
                <w:w w:val="99"/>
              </w:rPr>
              <w:t>1,123,841</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1,332,676</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9"/>
              </w:rPr>
              <w:t>83</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88"/>
              </w:rPr>
              <w:t>103.4</w:t>
            </w:r>
          </w:p>
        </w:tc>
        <w:tc>
          <w:tcPr>
            <w:tcW w:w="0" w:type="dxa"/>
            <w:vAlign w:val="bottom"/>
          </w:tcPr>
          <w:p>
            <w:pPr>
              <w:spacing w:after="0"/>
              <w:rPr>
                <w:sz w:val="1"/>
                <w:szCs w:val="1"/>
                <w:color w:val="auto"/>
              </w:rPr>
            </w:pPr>
          </w:p>
        </w:tc>
      </w:tr>
      <w:tr>
        <w:trPr>
          <w:trHeight w:val="142"/>
        </w:trPr>
        <w:tc>
          <w:tcPr>
            <w:tcW w:w="4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0"/>
                <w:szCs w:val="10"/>
                <w:color w:val="auto"/>
              </w:rPr>
              <w:t>2023</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1100" w:type="dxa"/>
            <w:vAlign w:val="bottom"/>
            <w:tcBorders>
              <w:bottom w:val="single" w:sz="8" w:color="auto"/>
              <w:right w:val="single" w:sz="8" w:color="auto"/>
            </w:tcBorders>
          </w:tcPr>
          <w:p>
            <w:pPr>
              <w:jc w:val="right"/>
              <w:ind w:right="255"/>
              <w:spacing w:after="0"/>
              <w:rPr>
                <w:sz w:val="20"/>
                <w:szCs w:val="20"/>
                <w:color w:val="auto"/>
              </w:rPr>
            </w:pPr>
            <w:r>
              <w:rPr>
                <w:rFonts w:ascii="Times New Roman" w:cs="Times New Roman" w:eastAsia="Times New Roman" w:hAnsi="Times New Roman"/>
                <w:sz w:val="10"/>
                <w:szCs w:val="10"/>
                <w:color w:val="auto"/>
              </w:rPr>
              <w:t>1,476,142</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10,516,473</w:t>
            </w:r>
          </w:p>
        </w:tc>
        <w:tc>
          <w:tcPr>
            <w:tcW w:w="1100" w:type="dxa"/>
            <w:vAlign w:val="bottom"/>
            <w:tcBorders>
              <w:bottom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0"/>
                <w:szCs w:val="10"/>
                <w:color w:val="auto"/>
                <w:w w:val="98"/>
              </w:rPr>
              <w:t>938,923</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1,912,409</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187</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88"/>
              </w:rPr>
              <w:t>225.8</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00" w:right="240" w:hanging="296"/>
        <w:spacing w:after="0" w:line="217" w:lineRule="auto"/>
        <w:tabs>
          <w:tab w:leader="none" w:pos="300" w:val="left"/>
        </w:tabs>
        <w:numPr>
          <w:ilvl w:val="0"/>
          <w:numId w:val="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Mr. Michael was our PEO for the 2023 and 2024 fiscal years until his resignation effective March 25, 2024. Mr. Main was appointed as our PEO effective March 25, 2024 and served as such until his resignation, effective August 11, 2025. Mr. Naheta was appointed as our co-PEO effective on March 21, 2025 and as sole PEO effective on August 11, 2025. This column represents the amount of total compensation reported for our PEO for each corresponding year (a “Subject Year”) in the “Total” column of the Summary Compensation Table (“total compensation”). Please refer to the Summary Compensation Table in this proxy statement and/or the Summary Compensation Table in the proxy statement for fiscal 2024 and fiscal 2023.</w:t>
      </w:r>
    </w:p>
    <w:p>
      <w:pPr>
        <w:spacing w:after="0" w:line="21" w:lineRule="exact"/>
        <w:rPr>
          <w:rFonts w:ascii="Times New Roman" w:cs="Times New Roman" w:eastAsia="Times New Roman" w:hAnsi="Times New Roman"/>
          <w:sz w:val="10"/>
          <w:szCs w:val="10"/>
          <w:color w:val="auto"/>
        </w:rPr>
      </w:pPr>
    </w:p>
    <w:p>
      <w:pPr>
        <w:ind w:left="300" w:right="20" w:hanging="296"/>
        <w:spacing w:after="0"/>
        <w:tabs>
          <w:tab w:leader="none" w:pos="300" w:val="left"/>
        </w:tabs>
        <w:numPr>
          <w:ilvl w:val="0"/>
          <w:numId w:val="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This column represents the amount of “compensation actually paid” to our PEO as computed in accordance with Item 402(v) of Regulation S-K. In accordance with the requirements of Item 402(v) of Regulation S-K, the amounts disclosed for compensation actually paid reflect the adjustments listed in the table below made to the total compensation amounts reported in the Summary Compensation Table for our PEO by subtracting the value of equity awards reported in the Summary Compensation Table for the applicable Subject Year and adding (or subtracting, as applicable) the following for the applicable Subject Year: (i) the year-end fair value of any equity awards granted in the Subject Year that are outstanding and unvested as of the end of the Subject Year; (ii) for awards that are granted and vest in the Subject Year, the fair value as of the vesting date; (iii) the amount of change as of the end of the Subject Year (from the end of the prior fiscal year) in the fair value of any awards granted in prior years that are outstanding and unvested as of the end of the Subject Year; (iv) for awards granted in prior years that vest in the Subject Year, the amount equal to the change as of the vesting date (from the end of the prior fiscal year) in the fair value; (v) for awards granted in prior years that are determined to fail to meet the applicable vesting conditions during the Subject Year, a deduction for the amount equal to the fair value at the end of the prior fiscal year; and (vi) the dollar value of any dividends or other earnings paid on stock awards in the Subject Year prior to the vesting date that are not otherwise reflected in the fair value of such award or included in any other component of total compensation for the Subject Year.</w:t>
      </w:r>
    </w:p>
    <w:p>
      <w:pPr>
        <w:spacing w:after="0" w:line="200" w:lineRule="exact"/>
        <w:rPr>
          <w:sz w:val="20"/>
          <w:szCs w:val="20"/>
          <w:color w:val="auto"/>
        </w:rPr>
      </w:pPr>
    </w:p>
    <w:p>
      <w:pPr>
        <w:spacing w:after="0" w:line="2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0"/>
          <w:szCs w:val="10"/>
          <w:color w:val="auto"/>
        </w:rPr>
        <w:t>The amounts added or subtracted to determine the adjusted amount for Akshay Naheta: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Plus: Dividends or Other</w:t>
            </w: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60" w:type="dxa"/>
            <w:vAlign w:val="bottom"/>
          </w:tcPr>
          <w:p>
            <w:pPr>
              <w:jc w:val="center"/>
              <w:ind w:right="12"/>
              <w:spacing w:after="0" w:line="96" w:lineRule="exact"/>
              <w:rPr>
                <w:sz w:val="20"/>
                <w:szCs w:val="20"/>
                <w:color w:val="auto"/>
              </w:rPr>
            </w:pPr>
            <w:r>
              <w:rPr>
                <w:rFonts w:ascii="Times New Roman" w:cs="Times New Roman" w:eastAsia="Times New Roman" w:hAnsi="Times New Roman"/>
                <w:sz w:val="10"/>
                <w:szCs w:val="10"/>
                <w:color w:val="auto"/>
                <w:w w:val="96"/>
              </w:rPr>
              <w:t>Earnings Paid on Equity Awards</w:t>
            </w: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3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Plus/ (Less): Year-Over-Year</w:t>
            </w:r>
          </w:p>
        </w:tc>
        <w:tc>
          <w:tcPr>
            <w:tcW w:w="1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6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not Otherwise Reflected in Fair</w:t>
            </w: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80" w:type="dxa"/>
            <w:vAlign w:val="bottom"/>
          </w:tcPr>
          <w:p>
            <w:pPr>
              <w:spacing w:after="0"/>
              <w:rPr>
                <w:sz w:val="8"/>
                <w:szCs w:val="8"/>
                <w:color w:val="auto"/>
              </w:rPr>
            </w:pPr>
          </w:p>
        </w:tc>
        <w:tc>
          <w:tcPr>
            <w:tcW w:w="1360" w:type="dxa"/>
            <w:vAlign w:val="bottom"/>
            <w:vMerge w:val="restart"/>
          </w:tcPr>
          <w:p>
            <w:pPr>
              <w:jc w:val="center"/>
              <w:ind w:left="52"/>
              <w:spacing w:after="0"/>
              <w:rPr>
                <w:sz w:val="20"/>
                <w:szCs w:val="20"/>
                <w:color w:val="auto"/>
              </w:rPr>
            </w:pPr>
            <w:r>
              <w:rPr>
                <w:rFonts w:ascii="Times New Roman" w:cs="Times New Roman" w:eastAsia="Times New Roman" w:hAnsi="Times New Roman"/>
                <w:sz w:val="10"/>
                <w:szCs w:val="10"/>
                <w:color w:val="auto"/>
                <w:w w:val="94"/>
              </w:rPr>
              <w:t>Less: Value of Equity Awards</w:t>
            </w:r>
          </w:p>
        </w:tc>
        <w:tc>
          <w:tcPr>
            <w:tcW w:w="13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Plus: Year End Fair Value of</w:t>
            </w:r>
          </w:p>
        </w:tc>
        <w:tc>
          <w:tcPr>
            <w:tcW w:w="12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Plus: Vesting Date Fair Value of</w:t>
            </w:r>
          </w:p>
        </w:tc>
        <w:tc>
          <w:tcPr>
            <w:tcW w:w="13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Change in Fair Value of</w:t>
            </w:r>
          </w:p>
        </w:tc>
        <w:tc>
          <w:tcPr>
            <w:tcW w:w="13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Plus/ (Less): Change in Value of</w:t>
            </w:r>
          </w:p>
        </w:tc>
        <w:tc>
          <w:tcPr>
            <w:tcW w:w="13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Less: Fair Value at the End of the</w:t>
            </w:r>
          </w:p>
        </w:tc>
        <w:tc>
          <w:tcPr>
            <w:tcW w:w="136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4"/>
              </w:rPr>
              <w:t>Value or Total Compensation in</w:t>
            </w: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5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380" w:type="dxa"/>
            <w:vAlign w:val="bottom"/>
          </w:tcPr>
          <w:p>
            <w:pPr>
              <w:jc w:val="center"/>
              <w:spacing w:after="0" w:line="90" w:lineRule="exact"/>
              <w:rPr>
                <w:sz w:val="20"/>
                <w:szCs w:val="20"/>
                <w:color w:val="auto"/>
              </w:rPr>
            </w:pPr>
            <w:r>
              <w:rPr>
                <w:rFonts w:ascii="Times New Roman" w:cs="Times New Roman" w:eastAsia="Times New Roman" w:hAnsi="Times New Roman"/>
                <w:sz w:val="10"/>
                <w:szCs w:val="10"/>
                <w:color w:val="auto"/>
                <w:w w:val="96"/>
              </w:rPr>
              <w:t>Outstanding and Unvested Equity</w:t>
            </w:r>
          </w:p>
        </w:tc>
        <w:tc>
          <w:tcPr>
            <w:tcW w:w="1280" w:type="dxa"/>
            <w:vAlign w:val="bottom"/>
          </w:tcPr>
          <w:p>
            <w:pPr>
              <w:jc w:val="center"/>
              <w:spacing w:after="0" w:line="90" w:lineRule="exact"/>
              <w:rPr>
                <w:sz w:val="20"/>
                <w:szCs w:val="20"/>
                <w:color w:val="auto"/>
              </w:rPr>
            </w:pPr>
            <w:r>
              <w:rPr>
                <w:rFonts w:ascii="Times New Roman" w:cs="Times New Roman" w:eastAsia="Times New Roman" w:hAnsi="Times New Roman"/>
                <w:sz w:val="10"/>
                <w:szCs w:val="10"/>
                <w:color w:val="auto"/>
                <w:w w:val="94"/>
              </w:rPr>
              <w:t>Equity Awards Granted and</w:t>
            </w:r>
          </w:p>
        </w:tc>
        <w:tc>
          <w:tcPr>
            <w:tcW w:w="1360" w:type="dxa"/>
            <w:vAlign w:val="bottom"/>
          </w:tcPr>
          <w:p>
            <w:pPr>
              <w:jc w:val="center"/>
              <w:spacing w:after="0" w:line="90" w:lineRule="exact"/>
              <w:rPr>
                <w:sz w:val="20"/>
                <w:szCs w:val="20"/>
                <w:color w:val="auto"/>
              </w:rPr>
            </w:pPr>
            <w:r>
              <w:rPr>
                <w:rFonts w:ascii="Times New Roman" w:cs="Times New Roman" w:eastAsia="Times New Roman" w:hAnsi="Times New Roman"/>
                <w:sz w:val="10"/>
                <w:szCs w:val="10"/>
                <w:color w:val="auto"/>
                <w:w w:val="94"/>
              </w:rPr>
              <w:t>Outstanding and Unvested Equity</w:t>
            </w:r>
          </w:p>
        </w:tc>
        <w:tc>
          <w:tcPr>
            <w:tcW w:w="1300" w:type="dxa"/>
            <w:vAlign w:val="bottom"/>
          </w:tcPr>
          <w:p>
            <w:pPr>
              <w:jc w:val="center"/>
              <w:spacing w:after="0" w:line="90" w:lineRule="exact"/>
              <w:rPr>
                <w:sz w:val="20"/>
                <w:szCs w:val="20"/>
                <w:color w:val="auto"/>
              </w:rPr>
            </w:pPr>
            <w:r>
              <w:rPr>
                <w:rFonts w:ascii="Times New Roman" w:cs="Times New Roman" w:eastAsia="Times New Roman" w:hAnsi="Times New Roman"/>
                <w:sz w:val="10"/>
                <w:szCs w:val="10"/>
                <w:color w:val="auto"/>
                <w:w w:val="95"/>
              </w:rPr>
              <w:t>Equity Awards Granted in Prior</w:t>
            </w:r>
          </w:p>
        </w:tc>
        <w:tc>
          <w:tcPr>
            <w:tcW w:w="1340" w:type="dxa"/>
            <w:vAlign w:val="bottom"/>
          </w:tcPr>
          <w:p>
            <w:pPr>
              <w:jc w:val="center"/>
              <w:spacing w:after="0" w:line="90" w:lineRule="exact"/>
              <w:rPr>
                <w:sz w:val="20"/>
                <w:szCs w:val="20"/>
                <w:color w:val="auto"/>
              </w:rPr>
            </w:pPr>
            <w:r>
              <w:rPr>
                <w:rFonts w:ascii="Times New Roman" w:cs="Times New Roman" w:eastAsia="Times New Roman" w:hAnsi="Times New Roman"/>
                <w:sz w:val="10"/>
                <w:szCs w:val="10"/>
                <w:color w:val="auto"/>
                <w:w w:val="95"/>
              </w:rPr>
              <w:t>Prior Year of Equity Awards</w:t>
            </w:r>
          </w:p>
        </w:tc>
        <w:tc>
          <w:tcPr>
            <w:tcW w:w="1360" w:type="dxa"/>
            <w:vAlign w:val="bottom"/>
          </w:tcPr>
          <w:p>
            <w:pPr>
              <w:jc w:val="center"/>
              <w:ind w:right="12"/>
              <w:spacing w:after="0" w:line="90" w:lineRule="exact"/>
              <w:rPr>
                <w:sz w:val="20"/>
                <w:szCs w:val="20"/>
                <w:color w:val="auto"/>
              </w:rPr>
            </w:pPr>
            <w:r>
              <w:rPr>
                <w:rFonts w:ascii="Times New Roman" w:cs="Times New Roman" w:eastAsia="Times New Roman" w:hAnsi="Times New Roman"/>
                <w:sz w:val="10"/>
                <w:szCs w:val="10"/>
                <w:color w:val="auto"/>
                <w:w w:val="96"/>
              </w:rPr>
              <w:t>the Summary Compensation</w:t>
            </w: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580" w:type="dxa"/>
            <w:vAlign w:val="bottom"/>
          </w:tcPr>
          <w:p>
            <w:pPr>
              <w:spacing w:after="0"/>
              <w:rPr>
                <w:sz w:val="8"/>
                <w:szCs w:val="8"/>
                <w:color w:val="auto"/>
              </w:rPr>
            </w:pPr>
          </w:p>
        </w:tc>
        <w:tc>
          <w:tcPr>
            <w:tcW w:w="1360" w:type="dxa"/>
            <w:vAlign w:val="bottom"/>
          </w:tcPr>
          <w:p>
            <w:pPr>
              <w:jc w:val="center"/>
              <w:ind w:left="52"/>
              <w:spacing w:after="0" w:line="99" w:lineRule="exact"/>
              <w:rPr>
                <w:sz w:val="20"/>
                <w:szCs w:val="20"/>
                <w:color w:val="auto"/>
              </w:rPr>
            </w:pPr>
            <w:r>
              <w:rPr>
                <w:rFonts w:ascii="Times New Roman" w:cs="Times New Roman" w:eastAsia="Times New Roman" w:hAnsi="Times New Roman"/>
                <w:sz w:val="10"/>
                <w:szCs w:val="10"/>
                <w:color w:val="auto"/>
                <w:w w:val="95"/>
              </w:rPr>
              <w:t>Reported in the Summary</w:t>
            </w:r>
          </w:p>
        </w:tc>
        <w:tc>
          <w:tcPr>
            <w:tcW w:w="13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Awards Granted During the</w:t>
            </w:r>
          </w:p>
        </w:tc>
        <w:tc>
          <w:tcPr>
            <w:tcW w:w="12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Vested During the Applicable</w:t>
            </w:r>
          </w:p>
        </w:tc>
        <w:tc>
          <w:tcPr>
            <w:tcW w:w="13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Awards at Year End Granted in</w:t>
            </w:r>
          </w:p>
        </w:tc>
        <w:tc>
          <w:tcPr>
            <w:tcW w:w="13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2"/>
              </w:rPr>
              <w:t>Years and Vested During the</w:t>
            </w:r>
          </w:p>
        </w:tc>
        <w:tc>
          <w:tcPr>
            <w:tcW w:w="13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6"/>
              </w:rPr>
              <w:t>Forfeited During the Applicable</w:t>
            </w:r>
          </w:p>
        </w:tc>
        <w:tc>
          <w:tcPr>
            <w:tcW w:w="136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Table for the Applicable Subject</w:t>
            </w: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5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0"/>
                <w:szCs w:val="10"/>
                <w:color w:val="auto"/>
              </w:rPr>
              <w:t>Year</w:t>
            </w:r>
          </w:p>
        </w:tc>
        <w:tc>
          <w:tcPr>
            <w:tcW w:w="136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0"/>
                <w:szCs w:val="10"/>
                <w:color w:val="auto"/>
                <w:w w:val="93"/>
              </w:rPr>
              <w:t>Compensation Table</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Applicable Subject Year</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2"/>
              </w:rPr>
              <w:t>Subject Year</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Prior Years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Applicable Subject Year</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2"/>
              </w:rPr>
              <w:t>Subject Year</w:t>
            </w:r>
          </w:p>
        </w:tc>
        <w:tc>
          <w:tcPr>
            <w:tcW w:w="13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2"/>
              </w:rPr>
              <w:t>Year</w:t>
            </w:r>
          </w:p>
        </w:tc>
        <w:tc>
          <w:tcPr>
            <w:tcW w:w="1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0"/>
                <w:szCs w:val="10"/>
                <w:color w:val="auto"/>
              </w:rPr>
              <w:t>Total Adjusted Equity Value</w:t>
            </w:r>
          </w:p>
        </w:tc>
        <w:tc>
          <w:tcPr>
            <w:tcW w:w="0" w:type="dxa"/>
            <w:vAlign w:val="bottom"/>
          </w:tcPr>
          <w:p>
            <w:pPr>
              <w:spacing w:after="0"/>
              <w:rPr>
                <w:sz w:val="1"/>
                <w:szCs w:val="1"/>
                <w:color w:val="auto"/>
              </w:rPr>
            </w:pPr>
          </w:p>
        </w:tc>
      </w:tr>
      <w:tr>
        <w:trPr>
          <w:trHeight w:val="116"/>
        </w:trPr>
        <w:tc>
          <w:tcPr>
            <w:tcW w:w="58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2025</w:t>
            </w:r>
          </w:p>
        </w:tc>
        <w:tc>
          <w:tcPr>
            <w:tcW w:w="13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$42,199,224</w:t>
            </w:r>
          </w:p>
        </w:tc>
        <w:tc>
          <w:tcPr>
            <w:tcW w:w="1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$12,839,793</w:t>
            </w:r>
          </w:p>
        </w:tc>
        <w:tc>
          <w:tcPr>
            <w:tcW w:w="12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$12,979,674</w:t>
            </w:r>
          </w:p>
        </w:tc>
        <w:tc>
          <w:tcPr>
            <w:tcW w:w="13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w:t>
            </w:r>
          </w:p>
        </w:tc>
        <w:tc>
          <w:tcPr>
            <w:tcW w:w="13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w:t>
            </w:r>
          </w:p>
        </w:tc>
        <w:tc>
          <w:tcPr>
            <w:tcW w:w="12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$(14,379,684)</w:t>
            </w:r>
          </w:p>
        </w:tc>
        <w:tc>
          <w:tcPr>
            <w:tcW w:w="0" w:type="dxa"/>
            <w:vAlign w:val="bottom"/>
          </w:tcPr>
          <w:p>
            <w:pPr>
              <w:spacing w:after="0"/>
              <w:rPr>
                <w:sz w:val="1"/>
                <w:szCs w:val="1"/>
                <w:color w:val="auto"/>
              </w:rPr>
            </w:pPr>
          </w:p>
        </w:tc>
      </w:tr>
      <w:tr>
        <w:trPr>
          <w:trHeight w:val="130"/>
        </w:trPr>
        <w:tc>
          <w:tcPr>
            <w:tcW w:w="58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2024</w:t>
            </w:r>
          </w:p>
        </w:tc>
        <w:tc>
          <w:tcPr>
            <w:tcW w:w="13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3"/>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w:t>
            </w:r>
          </w:p>
        </w:tc>
        <w:tc>
          <w:tcPr>
            <w:tcW w:w="13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w:t>
            </w:r>
          </w:p>
        </w:tc>
        <w:tc>
          <w:tcPr>
            <w:tcW w:w="12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w:t>
            </w:r>
          </w:p>
        </w:tc>
        <w:tc>
          <w:tcPr>
            <w:tcW w:w="0" w:type="dxa"/>
            <w:vAlign w:val="bottom"/>
          </w:tcPr>
          <w:p>
            <w:pPr>
              <w:spacing w:after="0"/>
              <w:rPr>
                <w:sz w:val="1"/>
                <w:szCs w:val="1"/>
                <w:color w:val="auto"/>
              </w:rPr>
            </w:pPr>
          </w:p>
        </w:tc>
      </w:tr>
      <w:tr>
        <w:trPr>
          <w:trHeight w:val="135"/>
        </w:trPr>
        <w:tc>
          <w:tcPr>
            <w:tcW w:w="58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2023</w:t>
            </w:r>
          </w:p>
        </w:tc>
        <w:tc>
          <w:tcPr>
            <w:tcW w:w="136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3"/>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w:t>
            </w:r>
          </w:p>
        </w:tc>
        <w:tc>
          <w:tcPr>
            <w:tcW w:w="13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w:t>
            </w:r>
          </w:p>
        </w:tc>
        <w:tc>
          <w:tcPr>
            <w:tcW w:w="12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w:t>
            </w:r>
          </w:p>
        </w:tc>
        <w:tc>
          <w:tcPr>
            <w:tcW w:w="0" w:type="dxa"/>
            <w:vAlign w:val="bottom"/>
          </w:tcPr>
          <w:p>
            <w:pPr>
              <w:spacing w:after="0"/>
              <w:rPr>
                <w:sz w:val="1"/>
                <w:szCs w:val="1"/>
                <w:color w:val="auto"/>
              </w:rPr>
            </w:pPr>
          </w:p>
        </w:tc>
      </w:tr>
    </w:tbl>
    <w:p>
      <w:pPr>
        <w:spacing w:after="0" w:line="3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0"/>
          <w:szCs w:val="10"/>
          <w:color w:val="auto"/>
        </w:rPr>
        <w:t>The amounts added or subtracted to determine the adjusted amount for Andrew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694690</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02" w:right="2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Plus: Dividends or Other</w:t>
            </w: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6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60" w:type="dxa"/>
            <w:vAlign w:val="bottom"/>
          </w:tcPr>
          <w:p>
            <w:pPr>
              <w:jc w:val="center"/>
              <w:ind w:right="12"/>
              <w:spacing w:after="0" w:line="96" w:lineRule="exact"/>
              <w:rPr>
                <w:sz w:val="20"/>
                <w:szCs w:val="20"/>
                <w:color w:val="auto"/>
              </w:rPr>
            </w:pPr>
            <w:r>
              <w:rPr>
                <w:rFonts w:ascii="Times New Roman" w:cs="Times New Roman" w:eastAsia="Times New Roman" w:hAnsi="Times New Roman"/>
                <w:sz w:val="10"/>
                <w:szCs w:val="10"/>
                <w:color w:val="auto"/>
                <w:w w:val="96"/>
              </w:rPr>
              <w:t>Earnings Paid on Equity Awards</w:t>
            </w: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3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Plus/ (Less): Year-Over-Year</w:t>
            </w:r>
          </w:p>
        </w:tc>
        <w:tc>
          <w:tcPr>
            <w:tcW w:w="1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6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not Otherwise Reflected in Fair</w:t>
            </w: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80" w:type="dxa"/>
            <w:vAlign w:val="bottom"/>
          </w:tcPr>
          <w:p>
            <w:pPr>
              <w:spacing w:after="0"/>
              <w:rPr>
                <w:sz w:val="8"/>
                <w:szCs w:val="8"/>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4"/>
              </w:rPr>
              <w:t>Less: Value of Equity Awards</w:t>
            </w:r>
          </w:p>
        </w:tc>
        <w:tc>
          <w:tcPr>
            <w:tcW w:w="13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Plus: Year End Fair Value of</w:t>
            </w:r>
          </w:p>
        </w:tc>
        <w:tc>
          <w:tcPr>
            <w:tcW w:w="12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Plus: Vesting Date Fair Value of</w:t>
            </w:r>
          </w:p>
        </w:tc>
        <w:tc>
          <w:tcPr>
            <w:tcW w:w="13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Change in Fair Value of</w:t>
            </w:r>
          </w:p>
        </w:tc>
        <w:tc>
          <w:tcPr>
            <w:tcW w:w="13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Plus/ (Less): Change in Value of</w:t>
            </w:r>
          </w:p>
        </w:tc>
        <w:tc>
          <w:tcPr>
            <w:tcW w:w="13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Less: Fair Value at the End of the</w:t>
            </w:r>
          </w:p>
        </w:tc>
        <w:tc>
          <w:tcPr>
            <w:tcW w:w="136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4"/>
              </w:rPr>
              <w:t>Value or Total Compensation in</w:t>
            </w: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8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380" w:type="dxa"/>
            <w:vAlign w:val="bottom"/>
          </w:tcPr>
          <w:p>
            <w:pPr>
              <w:jc w:val="center"/>
              <w:spacing w:after="0" w:line="90" w:lineRule="exact"/>
              <w:rPr>
                <w:sz w:val="20"/>
                <w:szCs w:val="20"/>
                <w:color w:val="auto"/>
              </w:rPr>
            </w:pPr>
            <w:r>
              <w:rPr>
                <w:rFonts w:ascii="Times New Roman" w:cs="Times New Roman" w:eastAsia="Times New Roman" w:hAnsi="Times New Roman"/>
                <w:sz w:val="10"/>
                <w:szCs w:val="10"/>
                <w:color w:val="auto"/>
                <w:w w:val="96"/>
              </w:rPr>
              <w:t>Outstanding and Unvested Equity</w:t>
            </w:r>
          </w:p>
        </w:tc>
        <w:tc>
          <w:tcPr>
            <w:tcW w:w="1280" w:type="dxa"/>
            <w:vAlign w:val="bottom"/>
          </w:tcPr>
          <w:p>
            <w:pPr>
              <w:jc w:val="center"/>
              <w:spacing w:after="0" w:line="90" w:lineRule="exact"/>
              <w:rPr>
                <w:sz w:val="20"/>
                <w:szCs w:val="20"/>
                <w:color w:val="auto"/>
              </w:rPr>
            </w:pPr>
            <w:r>
              <w:rPr>
                <w:rFonts w:ascii="Times New Roman" w:cs="Times New Roman" w:eastAsia="Times New Roman" w:hAnsi="Times New Roman"/>
                <w:sz w:val="10"/>
                <w:szCs w:val="10"/>
                <w:color w:val="auto"/>
                <w:w w:val="94"/>
              </w:rPr>
              <w:t>Equity Awards Granted and</w:t>
            </w:r>
          </w:p>
        </w:tc>
        <w:tc>
          <w:tcPr>
            <w:tcW w:w="1360" w:type="dxa"/>
            <w:vAlign w:val="bottom"/>
          </w:tcPr>
          <w:p>
            <w:pPr>
              <w:jc w:val="center"/>
              <w:spacing w:after="0" w:line="90" w:lineRule="exact"/>
              <w:rPr>
                <w:sz w:val="20"/>
                <w:szCs w:val="20"/>
                <w:color w:val="auto"/>
              </w:rPr>
            </w:pPr>
            <w:r>
              <w:rPr>
                <w:rFonts w:ascii="Times New Roman" w:cs="Times New Roman" w:eastAsia="Times New Roman" w:hAnsi="Times New Roman"/>
                <w:sz w:val="10"/>
                <w:szCs w:val="10"/>
                <w:color w:val="auto"/>
                <w:w w:val="94"/>
              </w:rPr>
              <w:t>Outstanding and Unvested Equity</w:t>
            </w:r>
          </w:p>
        </w:tc>
        <w:tc>
          <w:tcPr>
            <w:tcW w:w="1300" w:type="dxa"/>
            <w:vAlign w:val="bottom"/>
          </w:tcPr>
          <w:p>
            <w:pPr>
              <w:jc w:val="center"/>
              <w:spacing w:after="0" w:line="90" w:lineRule="exact"/>
              <w:rPr>
                <w:sz w:val="20"/>
                <w:szCs w:val="20"/>
                <w:color w:val="auto"/>
              </w:rPr>
            </w:pPr>
            <w:r>
              <w:rPr>
                <w:rFonts w:ascii="Times New Roman" w:cs="Times New Roman" w:eastAsia="Times New Roman" w:hAnsi="Times New Roman"/>
                <w:sz w:val="10"/>
                <w:szCs w:val="10"/>
                <w:color w:val="auto"/>
                <w:w w:val="95"/>
              </w:rPr>
              <w:t>Equity Awards Granted in Prior</w:t>
            </w:r>
          </w:p>
        </w:tc>
        <w:tc>
          <w:tcPr>
            <w:tcW w:w="1340" w:type="dxa"/>
            <w:vAlign w:val="bottom"/>
          </w:tcPr>
          <w:p>
            <w:pPr>
              <w:jc w:val="center"/>
              <w:spacing w:after="0" w:line="90" w:lineRule="exact"/>
              <w:rPr>
                <w:sz w:val="20"/>
                <w:szCs w:val="20"/>
                <w:color w:val="auto"/>
              </w:rPr>
            </w:pPr>
            <w:r>
              <w:rPr>
                <w:rFonts w:ascii="Times New Roman" w:cs="Times New Roman" w:eastAsia="Times New Roman" w:hAnsi="Times New Roman"/>
                <w:sz w:val="10"/>
                <w:szCs w:val="10"/>
                <w:color w:val="auto"/>
                <w:w w:val="95"/>
              </w:rPr>
              <w:t>Prior Year of Equity Awards</w:t>
            </w:r>
          </w:p>
        </w:tc>
        <w:tc>
          <w:tcPr>
            <w:tcW w:w="1360" w:type="dxa"/>
            <w:vAlign w:val="bottom"/>
          </w:tcPr>
          <w:p>
            <w:pPr>
              <w:jc w:val="center"/>
              <w:ind w:right="12"/>
              <w:spacing w:after="0" w:line="90" w:lineRule="exact"/>
              <w:rPr>
                <w:sz w:val="20"/>
                <w:szCs w:val="20"/>
                <w:color w:val="auto"/>
              </w:rPr>
            </w:pPr>
            <w:r>
              <w:rPr>
                <w:rFonts w:ascii="Times New Roman" w:cs="Times New Roman" w:eastAsia="Times New Roman" w:hAnsi="Times New Roman"/>
                <w:sz w:val="10"/>
                <w:szCs w:val="10"/>
                <w:color w:val="auto"/>
                <w:w w:val="96"/>
              </w:rPr>
              <w:t>the Summary Compensation</w:t>
            </w: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80" w:type="dxa"/>
            <w:vAlign w:val="bottom"/>
          </w:tcPr>
          <w:p>
            <w:pPr>
              <w:spacing w:after="0"/>
              <w:rPr>
                <w:sz w:val="8"/>
                <w:szCs w:val="8"/>
                <w:color w:val="auto"/>
              </w:rPr>
            </w:pPr>
          </w:p>
        </w:tc>
        <w:tc>
          <w:tcPr>
            <w:tcW w:w="12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Reported in the Summary</w:t>
            </w:r>
          </w:p>
        </w:tc>
        <w:tc>
          <w:tcPr>
            <w:tcW w:w="13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Awards Granted During the</w:t>
            </w:r>
          </w:p>
        </w:tc>
        <w:tc>
          <w:tcPr>
            <w:tcW w:w="12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Vested During the Applicable</w:t>
            </w:r>
          </w:p>
        </w:tc>
        <w:tc>
          <w:tcPr>
            <w:tcW w:w="13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Awards at Year End Granted in</w:t>
            </w:r>
          </w:p>
        </w:tc>
        <w:tc>
          <w:tcPr>
            <w:tcW w:w="13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2"/>
              </w:rPr>
              <w:t>Years and Vested During the</w:t>
            </w:r>
          </w:p>
        </w:tc>
        <w:tc>
          <w:tcPr>
            <w:tcW w:w="13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6"/>
              </w:rPr>
              <w:t>Forfeited During the Applicable</w:t>
            </w:r>
          </w:p>
        </w:tc>
        <w:tc>
          <w:tcPr>
            <w:tcW w:w="136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Table for the Applicable Subject</w:t>
            </w: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0"/>
                <w:szCs w:val="10"/>
                <w:color w:val="auto"/>
              </w:rPr>
              <w:t>Year</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Compensation Table</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Applicable Subject Year</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2"/>
              </w:rPr>
              <w:t>Subject Year</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Prior Years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Applicable Subject Year</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2"/>
              </w:rPr>
              <w:t>Subject Year</w:t>
            </w:r>
          </w:p>
        </w:tc>
        <w:tc>
          <w:tcPr>
            <w:tcW w:w="13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2"/>
              </w:rPr>
              <w:t>Year</w:t>
            </w:r>
          </w:p>
        </w:tc>
        <w:tc>
          <w:tcPr>
            <w:tcW w:w="1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0"/>
                <w:szCs w:val="10"/>
                <w:color w:val="auto"/>
              </w:rPr>
              <w:t>Total Adjusted Equity Value</w:t>
            </w:r>
          </w:p>
        </w:tc>
        <w:tc>
          <w:tcPr>
            <w:tcW w:w="0" w:type="dxa"/>
            <w:vAlign w:val="bottom"/>
          </w:tcPr>
          <w:p>
            <w:pPr>
              <w:spacing w:after="0"/>
              <w:rPr>
                <w:sz w:val="1"/>
                <w:szCs w:val="1"/>
                <w:color w:val="auto"/>
              </w:rPr>
            </w:pPr>
          </w:p>
        </w:tc>
      </w:tr>
      <w:tr>
        <w:trPr>
          <w:trHeight w:val="116"/>
        </w:trPr>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2025</w:t>
            </w:r>
          </w:p>
        </w:tc>
        <w:tc>
          <w:tcPr>
            <w:tcW w:w="12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$694,023</w:t>
            </w:r>
          </w:p>
        </w:tc>
        <w:tc>
          <w:tcPr>
            <w:tcW w:w="1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$657,910</w:t>
            </w:r>
          </w:p>
        </w:tc>
        <w:tc>
          <w:tcPr>
            <w:tcW w:w="13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$(952,584)</w:t>
            </w:r>
          </w:p>
        </w:tc>
        <w:tc>
          <w:tcPr>
            <w:tcW w:w="1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$2,203,118</w:t>
            </w:r>
          </w:p>
        </w:tc>
        <w:tc>
          <w:tcPr>
            <w:tcW w:w="13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w:t>
            </w:r>
          </w:p>
        </w:tc>
        <w:tc>
          <w:tcPr>
            <w:tcW w:w="12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$(3,191,815)</w:t>
            </w:r>
          </w:p>
        </w:tc>
        <w:tc>
          <w:tcPr>
            <w:tcW w:w="0" w:type="dxa"/>
            <w:vAlign w:val="bottom"/>
          </w:tcPr>
          <w:p>
            <w:pPr>
              <w:spacing w:after="0"/>
              <w:rPr>
                <w:sz w:val="1"/>
                <w:szCs w:val="1"/>
                <w:color w:val="auto"/>
              </w:rPr>
            </w:pPr>
          </w:p>
        </w:tc>
      </w:tr>
      <w:tr>
        <w:trPr>
          <w:trHeight w:val="130"/>
        </w:trPr>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2024</w:t>
            </w:r>
          </w:p>
        </w:tc>
        <w:tc>
          <w:tcPr>
            <w:tcW w:w="12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$6,709,357</w:t>
            </w:r>
          </w:p>
        </w:tc>
        <w:tc>
          <w:tcPr>
            <w:tcW w:w="1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$12,451,607</w:t>
            </w:r>
          </w:p>
        </w:tc>
        <w:tc>
          <w:tcPr>
            <w:tcW w:w="12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$(174,637)</w:t>
            </w:r>
          </w:p>
        </w:tc>
        <w:tc>
          <w:tcPr>
            <w:tcW w:w="1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w:t>
            </w:r>
          </w:p>
        </w:tc>
        <w:tc>
          <w:tcPr>
            <w:tcW w:w="13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w:t>
            </w:r>
          </w:p>
        </w:tc>
        <w:tc>
          <w:tcPr>
            <w:tcW w:w="12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$5,567,613</w:t>
            </w:r>
          </w:p>
        </w:tc>
        <w:tc>
          <w:tcPr>
            <w:tcW w:w="0" w:type="dxa"/>
            <w:vAlign w:val="bottom"/>
          </w:tcPr>
          <w:p>
            <w:pPr>
              <w:spacing w:after="0"/>
              <w:rPr>
                <w:sz w:val="1"/>
                <w:szCs w:val="1"/>
                <w:color w:val="auto"/>
              </w:rPr>
            </w:pPr>
          </w:p>
        </w:tc>
      </w:tr>
      <w:tr>
        <w:trPr>
          <w:trHeight w:val="135"/>
        </w:trPr>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2023</w:t>
            </w:r>
          </w:p>
        </w:tc>
        <w:tc>
          <w:tcPr>
            <w:tcW w:w="12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w:t>
            </w:r>
          </w:p>
        </w:tc>
        <w:tc>
          <w:tcPr>
            <w:tcW w:w="13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w:t>
            </w:r>
          </w:p>
        </w:tc>
        <w:tc>
          <w:tcPr>
            <w:tcW w:w="12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0"/>
          <w:szCs w:val="10"/>
          <w:color w:val="auto"/>
        </w:rPr>
        <w:t>The amounts added or subtracted to determine the adjusted amount for Gavin Michael:</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Plus: Dividends or Other</w:t>
            </w: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99"/>
        </w:trPr>
        <w:tc>
          <w:tcPr>
            <w:tcW w:w="6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6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Earnings Paid on Equity Awards</w:t>
            </w: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95"/>
        </w:trPr>
        <w:tc>
          <w:tcPr>
            <w:tcW w:w="6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360" w:type="dxa"/>
            <w:vAlign w:val="bottom"/>
          </w:tcPr>
          <w:p>
            <w:pPr>
              <w:jc w:val="center"/>
              <w:spacing w:after="0" w:line="96" w:lineRule="exact"/>
              <w:rPr>
                <w:sz w:val="20"/>
                <w:szCs w:val="20"/>
                <w:color w:val="auto"/>
              </w:rPr>
            </w:pPr>
            <w:r>
              <w:rPr>
                <w:rFonts w:ascii="Times New Roman" w:cs="Times New Roman" w:eastAsia="Times New Roman" w:hAnsi="Times New Roman"/>
                <w:sz w:val="10"/>
                <w:szCs w:val="10"/>
                <w:color w:val="auto"/>
                <w:w w:val="94"/>
              </w:rPr>
              <w:t>Plus/ (Less): Year-Over-Year</w:t>
            </w:r>
          </w:p>
        </w:tc>
        <w:tc>
          <w:tcPr>
            <w:tcW w:w="1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60" w:type="dxa"/>
            <w:vAlign w:val="bottom"/>
          </w:tcPr>
          <w:p>
            <w:pPr>
              <w:jc w:val="center"/>
              <w:ind w:right="12"/>
              <w:spacing w:after="0" w:line="96" w:lineRule="exact"/>
              <w:rPr>
                <w:sz w:val="20"/>
                <w:szCs w:val="20"/>
                <w:color w:val="auto"/>
              </w:rPr>
            </w:pPr>
            <w:r>
              <w:rPr>
                <w:rFonts w:ascii="Times New Roman" w:cs="Times New Roman" w:eastAsia="Times New Roman" w:hAnsi="Times New Roman"/>
                <w:sz w:val="10"/>
                <w:szCs w:val="10"/>
                <w:color w:val="auto"/>
                <w:w w:val="96"/>
              </w:rPr>
              <w:t>not Otherwise Reflected in Fair</w:t>
            </w: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99"/>
        </w:trPr>
        <w:tc>
          <w:tcPr>
            <w:tcW w:w="6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3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Plus: Year End Fair Value of</w:t>
            </w:r>
          </w:p>
        </w:tc>
        <w:tc>
          <w:tcPr>
            <w:tcW w:w="12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Plus: Vesting Date Fair Value of</w:t>
            </w:r>
          </w:p>
        </w:tc>
        <w:tc>
          <w:tcPr>
            <w:tcW w:w="13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Change in Fair Value of</w:t>
            </w:r>
          </w:p>
        </w:tc>
        <w:tc>
          <w:tcPr>
            <w:tcW w:w="13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Plus/ (Less): Change in Value of</w:t>
            </w:r>
          </w:p>
        </w:tc>
        <w:tc>
          <w:tcPr>
            <w:tcW w:w="13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Less: Fair Value at the End of the</w:t>
            </w:r>
          </w:p>
        </w:tc>
        <w:tc>
          <w:tcPr>
            <w:tcW w:w="136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4"/>
              </w:rPr>
              <w:t>Value or Total Compensation in</w:t>
            </w: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99"/>
        </w:trPr>
        <w:tc>
          <w:tcPr>
            <w:tcW w:w="680" w:type="dxa"/>
            <w:vAlign w:val="bottom"/>
          </w:tcPr>
          <w:p>
            <w:pPr>
              <w:spacing w:after="0"/>
              <w:rPr>
                <w:sz w:val="8"/>
                <w:szCs w:val="8"/>
                <w:color w:val="auto"/>
              </w:rPr>
            </w:pPr>
          </w:p>
        </w:tc>
        <w:tc>
          <w:tcPr>
            <w:tcW w:w="12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Less: Value of Equity Awards</w:t>
            </w:r>
          </w:p>
        </w:tc>
        <w:tc>
          <w:tcPr>
            <w:tcW w:w="13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6"/>
              </w:rPr>
              <w:t>Outstanding and Unvested Equity</w:t>
            </w:r>
          </w:p>
        </w:tc>
        <w:tc>
          <w:tcPr>
            <w:tcW w:w="12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Equity Awards Granted and</w:t>
            </w:r>
          </w:p>
        </w:tc>
        <w:tc>
          <w:tcPr>
            <w:tcW w:w="13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Outstanding and Unvested Equity</w:t>
            </w:r>
          </w:p>
        </w:tc>
        <w:tc>
          <w:tcPr>
            <w:tcW w:w="13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Equity Awards Granted in Prior</w:t>
            </w:r>
          </w:p>
        </w:tc>
        <w:tc>
          <w:tcPr>
            <w:tcW w:w="13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Prior Year of Equity Awards</w:t>
            </w:r>
          </w:p>
        </w:tc>
        <w:tc>
          <w:tcPr>
            <w:tcW w:w="136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the Summary Compensation</w:t>
            </w: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90"/>
        </w:trPr>
        <w:tc>
          <w:tcPr>
            <w:tcW w:w="680" w:type="dxa"/>
            <w:vAlign w:val="bottom"/>
          </w:tcPr>
          <w:p>
            <w:pPr>
              <w:spacing w:after="0"/>
              <w:rPr>
                <w:sz w:val="7"/>
                <w:szCs w:val="7"/>
                <w:color w:val="auto"/>
              </w:rPr>
            </w:pPr>
          </w:p>
        </w:tc>
        <w:tc>
          <w:tcPr>
            <w:tcW w:w="1260" w:type="dxa"/>
            <w:vAlign w:val="bottom"/>
          </w:tcPr>
          <w:p>
            <w:pPr>
              <w:jc w:val="center"/>
              <w:spacing w:after="0" w:line="90" w:lineRule="exact"/>
              <w:rPr>
                <w:sz w:val="20"/>
                <w:szCs w:val="20"/>
                <w:color w:val="auto"/>
              </w:rPr>
            </w:pPr>
            <w:r>
              <w:rPr>
                <w:rFonts w:ascii="Times New Roman" w:cs="Times New Roman" w:eastAsia="Times New Roman" w:hAnsi="Times New Roman"/>
                <w:sz w:val="10"/>
                <w:szCs w:val="10"/>
                <w:color w:val="auto"/>
                <w:w w:val="95"/>
              </w:rPr>
              <w:t>Reported in the Summary</w:t>
            </w:r>
          </w:p>
        </w:tc>
        <w:tc>
          <w:tcPr>
            <w:tcW w:w="1380" w:type="dxa"/>
            <w:vAlign w:val="bottom"/>
          </w:tcPr>
          <w:p>
            <w:pPr>
              <w:jc w:val="center"/>
              <w:spacing w:after="0" w:line="90" w:lineRule="exact"/>
              <w:rPr>
                <w:sz w:val="20"/>
                <w:szCs w:val="20"/>
                <w:color w:val="auto"/>
              </w:rPr>
            </w:pPr>
            <w:r>
              <w:rPr>
                <w:rFonts w:ascii="Times New Roman" w:cs="Times New Roman" w:eastAsia="Times New Roman" w:hAnsi="Times New Roman"/>
                <w:sz w:val="10"/>
                <w:szCs w:val="10"/>
                <w:color w:val="auto"/>
                <w:w w:val="95"/>
              </w:rPr>
              <w:t>Awards Granted During the</w:t>
            </w:r>
          </w:p>
        </w:tc>
        <w:tc>
          <w:tcPr>
            <w:tcW w:w="1280" w:type="dxa"/>
            <w:vAlign w:val="bottom"/>
          </w:tcPr>
          <w:p>
            <w:pPr>
              <w:jc w:val="center"/>
              <w:spacing w:after="0" w:line="90" w:lineRule="exact"/>
              <w:rPr>
                <w:sz w:val="20"/>
                <w:szCs w:val="20"/>
                <w:color w:val="auto"/>
              </w:rPr>
            </w:pPr>
            <w:r>
              <w:rPr>
                <w:rFonts w:ascii="Times New Roman" w:cs="Times New Roman" w:eastAsia="Times New Roman" w:hAnsi="Times New Roman"/>
                <w:sz w:val="10"/>
                <w:szCs w:val="10"/>
                <w:color w:val="auto"/>
                <w:w w:val="95"/>
              </w:rPr>
              <w:t>Vested During the Applicable</w:t>
            </w:r>
          </w:p>
        </w:tc>
        <w:tc>
          <w:tcPr>
            <w:tcW w:w="1360" w:type="dxa"/>
            <w:vAlign w:val="bottom"/>
          </w:tcPr>
          <w:p>
            <w:pPr>
              <w:jc w:val="center"/>
              <w:spacing w:after="0" w:line="90" w:lineRule="exact"/>
              <w:rPr>
                <w:sz w:val="20"/>
                <w:szCs w:val="20"/>
                <w:color w:val="auto"/>
              </w:rPr>
            </w:pPr>
            <w:r>
              <w:rPr>
                <w:rFonts w:ascii="Times New Roman" w:cs="Times New Roman" w:eastAsia="Times New Roman" w:hAnsi="Times New Roman"/>
                <w:sz w:val="10"/>
                <w:szCs w:val="10"/>
                <w:color w:val="auto"/>
                <w:w w:val="94"/>
              </w:rPr>
              <w:t>Awards at Year End Granted in</w:t>
            </w:r>
          </w:p>
        </w:tc>
        <w:tc>
          <w:tcPr>
            <w:tcW w:w="1300" w:type="dxa"/>
            <w:vAlign w:val="bottom"/>
          </w:tcPr>
          <w:p>
            <w:pPr>
              <w:jc w:val="center"/>
              <w:spacing w:after="0" w:line="90" w:lineRule="exact"/>
              <w:rPr>
                <w:sz w:val="20"/>
                <w:szCs w:val="20"/>
                <w:color w:val="auto"/>
              </w:rPr>
            </w:pPr>
            <w:r>
              <w:rPr>
                <w:rFonts w:ascii="Times New Roman" w:cs="Times New Roman" w:eastAsia="Times New Roman" w:hAnsi="Times New Roman"/>
                <w:sz w:val="10"/>
                <w:szCs w:val="10"/>
                <w:color w:val="auto"/>
                <w:w w:val="92"/>
              </w:rPr>
              <w:t>Years and Vested During the</w:t>
            </w:r>
          </w:p>
        </w:tc>
        <w:tc>
          <w:tcPr>
            <w:tcW w:w="1340" w:type="dxa"/>
            <w:vAlign w:val="bottom"/>
          </w:tcPr>
          <w:p>
            <w:pPr>
              <w:jc w:val="center"/>
              <w:spacing w:after="0" w:line="90" w:lineRule="exact"/>
              <w:rPr>
                <w:sz w:val="20"/>
                <w:szCs w:val="20"/>
                <w:color w:val="auto"/>
              </w:rPr>
            </w:pPr>
            <w:r>
              <w:rPr>
                <w:rFonts w:ascii="Times New Roman" w:cs="Times New Roman" w:eastAsia="Times New Roman" w:hAnsi="Times New Roman"/>
                <w:sz w:val="10"/>
                <w:szCs w:val="10"/>
                <w:color w:val="auto"/>
                <w:w w:val="96"/>
              </w:rPr>
              <w:t>Forfeited During the Applicable</w:t>
            </w:r>
          </w:p>
        </w:tc>
        <w:tc>
          <w:tcPr>
            <w:tcW w:w="1360" w:type="dxa"/>
            <w:vAlign w:val="bottom"/>
          </w:tcPr>
          <w:p>
            <w:pPr>
              <w:jc w:val="center"/>
              <w:ind w:right="12"/>
              <w:spacing w:after="0" w:line="90" w:lineRule="exact"/>
              <w:rPr>
                <w:sz w:val="20"/>
                <w:szCs w:val="20"/>
                <w:color w:val="auto"/>
              </w:rPr>
            </w:pPr>
            <w:r>
              <w:rPr>
                <w:rFonts w:ascii="Times New Roman" w:cs="Times New Roman" w:eastAsia="Times New Roman" w:hAnsi="Times New Roman"/>
                <w:sz w:val="10"/>
                <w:szCs w:val="10"/>
                <w:color w:val="auto"/>
                <w:w w:val="96"/>
              </w:rPr>
              <w:t>Table for the Applicable Subject</w:t>
            </w:r>
          </w:p>
        </w:tc>
        <w:tc>
          <w:tcPr>
            <w:tcW w:w="128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131"/>
        </w:trPr>
        <w:tc>
          <w:tcPr>
            <w:tcW w:w="68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Year</w:t>
            </w:r>
          </w:p>
        </w:tc>
        <w:tc>
          <w:tcPr>
            <w:tcW w:w="12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Compensation Table</w:t>
            </w:r>
          </w:p>
        </w:tc>
        <w:tc>
          <w:tcPr>
            <w:tcW w:w="1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Applicable Subject Year</w:t>
            </w:r>
          </w:p>
        </w:tc>
        <w:tc>
          <w:tcPr>
            <w:tcW w:w="12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Subject Year</w:t>
            </w:r>
          </w:p>
        </w:tc>
        <w:tc>
          <w:tcPr>
            <w:tcW w:w="13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Prior Years</w:t>
            </w: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Applicable Subject Year</w:t>
            </w:r>
          </w:p>
        </w:tc>
        <w:tc>
          <w:tcPr>
            <w:tcW w:w="1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Subject Year</w:t>
            </w:r>
          </w:p>
        </w:tc>
        <w:tc>
          <w:tcPr>
            <w:tcW w:w="13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2"/>
              </w:rPr>
              <w:t>Year</w:t>
            </w: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Total Adjusted Equity Value</w:t>
            </w:r>
          </w:p>
        </w:tc>
      </w:tr>
      <w:tr>
        <w:trPr>
          <w:trHeight w:val="116"/>
        </w:trPr>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2025</w:t>
            </w: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w:t>
            </w: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w:t>
            </w: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w:t>
            </w: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w:t>
            </w: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w:t>
            </w:r>
          </w:p>
        </w:tc>
        <w:tc>
          <w:tcPr>
            <w:tcW w:w="1360" w:type="dxa"/>
            <w:vAlign w:val="bottom"/>
            <w:tcBorders>
              <w:top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3"/>
              </w:rPr>
              <w:t>$—</w:t>
            </w:r>
          </w:p>
        </w:tc>
        <w:tc>
          <w:tcPr>
            <w:tcW w:w="1280" w:type="dxa"/>
            <w:vAlign w:val="bottom"/>
            <w:tcBorders>
              <w:top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3"/>
              </w:rPr>
              <w:t>$—</w:t>
            </w:r>
          </w:p>
        </w:tc>
        <w:tc>
          <w:tcPr>
            <w:tcW w:w="60" w:type="dxa"/>
            <w:vAlign w:val="bottom"/>
          </w:tcPr>
          <w:p>
            <w:pPr>
              <w:spacing w:after="0"/>
              <w:rPr>
                <w:sz w:val="10"/>
                <w:szCs w:val="10"/>
                <w:color w:val="auto"/>
              </w:rPr>
            </w:pPr>
          </w:p>
        </w:tc>
      </w:tr>
      <w:tr>
        <w:trPr>
          <w:trHeight w:val="130"/>
        </w:trPr>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2024</w:t>
            </w:r>
          </w:p>
        </w:tc>
        <w:tc>
          <w:tcPr>
            <w:tcW w:w="12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$2,415,051</w:t>
            </w:r>
          </w:p>
        </w:tc>
        <w:tc>
          <w:tcPr>
            <w:tcW w:w="1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$2,891,774</w:t>
            </w:r>
          </w:p>
        </w:tc>
        <w:tc>
          <w:tcPr>
            <w:tcW w:w="12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$749,237</w:t>
            </w:r>
          </w:p>
        </w:tc>
        <w:tc>
          <w:tcPr>
            <w:tcW w:w="13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$(6,904,151)</w:t>
            </w:r>
          </w:p>
        </w:tc>
        <w:tc>
          <w:tcPr>
            <w:tcW w:w="1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$3,196,036</w:t>
            </w:r>
          </w:p>
        </w:tc>
        <w:tc>
          <w:tcPr>
            <w:tcW w:w="13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w:t>
            </w:r>
          </w:p>
        </w:tc>
        <w:tc>
          <w:tcPr>
            <w:tcW w:w="12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$(8,874,227)</w:t>
            </w:r>
          </w:p>
        </w:tc>
        <w:tc>
          <w:tcPr>
            <w:tcW w:w="60" w:type="dxa"/>
            <w:vAlign w:val="bottom"/>
          </w:tcPr>
          <w:p>
            <w:pPr>
              <w:spacing w:after="0"/>
              <w:rPr>
                <w:sz w:val="11"/>
                <w:szCs w:val="11"/>
                <w:color w:val="auto"/>
              </w:rPr>
            </w:pPr>
          </w:p>
        </w:tc>
      </w:tr>
      <w:tr>
        <w:trPr>
          <w:trHeight w:val="135"/>
        </w:trPr>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2023</w:t>
            </w:r>
          </w:p>
        </w:tc>
        <w:tc>
          <w:tcPr>
            <w:tcW w:w="12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$698,035</w:t>
            </w:r>
          </w:p>
        </w:tc>
        <w:tc>
          <w:tcPr>
            <w:tcW w:w="1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$9,214,750</w:t>
            </w:r>
          </w:p>
        </w:tc>
        <w:tc>
          <w:tcPr>
            <w:tcW w:w="12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$4,297,462</w:t>
            </w: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$(3,531,235)</w:t>
            </w:r>
          </w:p>
        </w:tc>
        <w:tc>
          <w:tcPr>
            <w:tcW w:w="1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$242,611</w:t>
            </w:r>
          </w:p>
        </w:tc>
        <w:tc>
          <w:tcPr>
            <w:tcW w:w="13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w:t>
            </w:r>
          </w:p>
        </w:tc>
        <w:tc>
          <w:tcPr>
            <w:tcW w:w="12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$9,040,331</w:t>
            </w:r>
          </w:p>
        </w:tc>
        <w:tc>
          <w:tcPr>
            <w:tcW w:w="60" w:type="dxa"/>
            <w:vAlign w:val="bottom"/>
          </w:tcPr>
          <w:p>
            <w:pPr>
              <w:spacing w:after="0"/>
              <w:rPr>
                <w:sz w:val="11"/>
                <w:szCs w:val="11"/>
                <w:color w:val="auto"/>
              </w:rPr>
            </w:pPr>
          </w:p>
        </w:tc>
      </w:tr>
      <w:tr>
        <w:trPr>
          <w:trHeight w:val="1340"/>
        </w:trPr>
        <w:tc>
          <w:tcPr>
            <w:tcW w:w="6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00" w:right="299" w:bottom="1440" w:gutter="0" w:footer="0" w:header="0"/>
        </w:sectPr>
      </w:pPr>
    </w:p>
    <w:bookmarkStart w:id="6" w:name="page7"/>
    <w:bookmarkEnd w:id="6"/>
    <w:p>
      <w:pPr>
        <w:ind w:left="480"/>
        <w:spacing w:after="0"/>
        <w:rPr>
          <w:sz w:val="20"/>
          <w:szCs w:val="20"/>
          <w:color w:val="auto"/>
        </w:rPr>
      </w:pPr>
      <w:r>
        <w:rPr>
          <w:rFonts w:ascii="Times New Roman" w:cs="Times New Roman" w:eastAsia="Times New Roman" w:hAnsi="Times New Roman"/>
          <w:sz w:val="10"/>
          <w:szCs w:val="10"/>
          <w:color w:val="auto"/>
        </w:rPr>
        <w:t>The amounts added or subtracted to determine the adjusted amount for our Non-PEO NEOs: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Plus: Dividends or Other</w:t>
            </w: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60" w:type="dxa"/>
            <w:vAlign w:val="bottom"/>
          </w:tcPr>
          <w:p>
            <w:pPr>
              <w:jc w:val="center"/>
              <w:spacing w:after="0" w:line="94" w:lineRule="exact"/>
              <w:rPr>
                <w:sz w:val="20"/>
                <w:szCs w:val="20"/>
                <w:color w:val="auto"/>
              </w:rPr>
            </w:pPr>
            <w:r>
              <w:rPr>
                <w:rFonts w:ascii="Times New Roman" w:cs="Times New Roman" w:eastAsia="Times New Roman" w:hAnsi="Times New Roman"/>
                <w:sz w:val="10"/>
                <w:szCs w:val="10"/>
                <w:color w:val="auto"/>
                <w:w w:val="94"/>
              </w:rPr>
              <w:t>Earnings Paid on Equity Awards</w:t>
            </w: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5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4"/>
              </w:rPr>
              <w:t>Plus: Year End Fair Value of</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4"/>
              </w:rPr>
              <w:t>Plus: Vesting Date Fair Value of</w:t>
            </w:r>
          </w:p>
        </w:tc>
        <w:tc>
          <w:tcPr>
            <w:tcW w:w="138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color w:val="auto"/>
                <w:w w:val="94"/>
              </w:rPr>
              <w:t>Plus/ (Less): Year-Over-Year</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4"/>
              </w:rPr>
              <w:t>Plus/ (Less): Change in Value of</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4"/>
              </w:rPr>
              <w:t>Less: Fair Value at the End of the</w:t>
            </w:r>
          </w:p>
        </w:tc>
        <w:tc>
          <w:tcPr>
            <w:tcW w:w="136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color w:val="auto"/>
                <w:w w:val="95"/>
              </w:rPr>
              <w:t>not Otherwise Reflected in Fair</w:t>
            </w: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5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380" w:type="dxa"/>
            <w:vAlign w:val="bottom"/>
          </w:tcPr>
          <w:p>
            <w:pPr>
              <w:jc w:val="center"/>
              <w:spacing w:after="0" w:line="90" w:lineRule="exact"/>
              <w:rPr>
                <w:sz w:val="20"/>
                <w:szCs w:val="20"/>
                <w:color w:val="auto"/>
              </w:rPr>
            </w:pPr>
            <w:r>
              <w:rPr>
                <w:rFonts w:ascii="Times New Roman" w:cs="Times New Roman" w:eastAsia="Times New Roman" w:hAnsi="Times New Roman"/>
                <w:sz w:val="10"/>
                <w:szCs w:val="10"/>
                <w:color w:val="auto"/>
                <w:w w:val="95"/>
              </w:rPr>
              <w:t>Change in Fair Value of</w:t>
            </w:r>
          </w:p>
        </w:tc>
        <w:tc>
          <w:tcPr>
            <w:tcW w:w="132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360" w:type="dxa"/>
            <w:vAlign w:val="bottom"/>
          </w:tcPr>
          <w:p>
            <w:pPr>
              <w:jc w:val="center"/>
              <w:ind w:right="12"/>
              <w:spacing w:after="0" w:line="90" w:lineRule="exact"/>
              <w:rPr>
                <w:sz w:val="20"/>
                <w:szCs w:val="20"/>
                <w:color w:val="auto"/>
              </w:rPr>
            </w:pPr>
            <w:r>
              <w:rPr>
                <w:rFonts w:ascii="Times New Roman" w:cs="Times New Roman" w:eastAsia="Times New Roman" w:hAnsi="Times New Roman"/>
                <w:sz w:val="10"/>
                <w:szCs w:val="10"/>
                <w:color w:val="auto"/>
                <w:w w:val="94"/>
              </w:rPr>
              <w:t>Value or Total Compensation in</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580" w:type="dxa"/>
            <w:vAlign w:val="bottom"/>
          </w:tcPr>
          <w:p>
            <w:pPr>
              <w:spacing w:after="0"/>
              <w:rPr>
                <w:sz w:val="8"/>
                <w:szCs w:val="8"/>
                <w:color w:val="auto"/>
              </w:rPr>
            </w:pPr>
          </w:p>
        </w:tc>
        <w:tc>
          <w:tcPr>
            <w:tcW w:w="12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Less: Value of Equity Awards</w:t>
            </w:r>
          </w:p>
        </w:tc>
        <w:tc>
          <w:tcPr>
            <w:tcW w:w="14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6"/>
              </w:rPr>
              <w:t>Outstanding and Unvested Equity</w:t>
            </w:r>
          </w:p>
        </w:tc>
        <w:tc>
          <w:tcPr>
            <w:tcW w:w="13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Equity Awards Granted and</w:t>
            </w:r>
          </w:p>
        </w:tc>
        <w:tc>
          <w:tcPr>
            <w:tcW w:w="13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6"/>
              </w:rPr>
              <w:t>Outstanding and Unvested Equity</w:t>
            </w:r>
          </w:p>
        </w:tc>
        <w:tc>
          <w:tcPr>
            <w:tcW w:w="13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Equity Awards Granted in Prior</w:t>
            </w:r>
          </w:p>
        </w:tc>
        <w:tc>
          <w:tcPr>
            <w:tcW w:w="13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3"/>
              </w:rPr>
              <w:t>Prior Year of Equity Awards</w:t>
            </w:r>
          </w:p>
        </w:tc>
        <w:tc>
          <w:tcPr>
            <w:tcW w:w="13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the Summary Compensation</w:t>
            </w: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80" w:type="dxa"/>
            <w:vAlign w:val="bottom"/>
            <w:vMerge w:val="restart"/>
          </w:tcPr>
          <w:p>
            <w:pPr>
              <w:jc w:val="right"/>
              <w:ind w:right="172"/>
              <w:spacing w:after="0"/>
              <w:rPr>
                <w:sz w:val="20"/>
                <w:szCs w:val="20"/>
                <w:color w:val="auto"/>
              </w:rPr>
            </w:pPr>
            <w:r>
              <w:rPr>
                <w:rFonts w:ascii="Times New Roman" w:cs="Times New Roman" w:eastAsia="Times New Roman" w:hAnsi="Times New Roman"/>
                <w:sz w:val="10"/>
                <w:szCs w:val="10"/>
                <w:color w:val="auto"/>
              </w:rPr>
              <w:t>Year</w:t>
            </w:r>
          </w:p>
        </w:tc>
        <w:tc>
          <w:tcPr>
            <w:tcW w:w="12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Reported in the Summary</w:t>
            </w:r>
          </w:p>
        </w:tc>
        <w:tc>
          <w:tcPr>
            <w:tcW w:w="14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Awards Granted During the</w:t>
            </w:r>
          </w:p>
        </w:tc>
        <w:tc>
          <w:tcPr>
            <w:tcW w:w="13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Vested During the Applicable</w:t>
            </w:r>
          </w:p>
        </w:tc>
        <w:tc>
          <w:tcPr>
            <w:tcW w:w="13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Awards at Year End Granted in</w:t>
            </w:r>
          </w:p>
        </w:tc>
        <w:tc>
          <w:tcPr>
            <w:tcW w:w="13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Years and Vested During the</w:t>
            </w:r>
          </w:p>
        </w:tc>
        <w:tc>
          <w:tcPr>
            <w:tcW w:w="13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6"/>
              </w:rPr>
              <w:t>Forfeited During the Applicable</w:t>
            </w:r>
          </w:p>
        </w:tc>
        <w:tc>
          <w:tcPr>
            <w:tcW w:w="13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Table for the Applicable Subject</w:t>
            </w:r>
          </w:p>
        </w:tc>
        <w:tc>
          <w:tcPr>
            <w:tcW w:w="130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auto"/>
              </w:rPr>
              <w:t>Total Adjusted Equity Value</w:t>
            </w:r>
          </w:p>
        </w:tc>
        <w:tc>
          <w:tcPr>
            <w:tcW w:w="0" w:type="dxa"/>
            <w:vAlign w:val="bottom"/>
          </w:tcPr>
          <w:p>
            <w:pPr>
              <w:spacing w:after="0"/>
              <w:rPr>
                <w:sz w:val="1"/>
                <w:szCs w:val="1"/>
                <w:color w:val="auto"/>
              </w:rPr>
            </w:pPr>
          </w:p>
        </w:tc>
      </w:tr>
      <w:tr>
        <w:trPr>
          <w:trHeight w:val="129"/>
        </w:trPr>
        <w:tc>
          <w:tcPr>
            <w:tcW w:w="580" w:type="dxa"/>
            <w:vAlign w:val="bottom"/>
            <w:tcBorders>
              <w:bottom w:val="single" w:sz="8" w:color="auto"/>
            </w:tcBorders>
            <w:vMerge w:val="continue"/>
          </w:tcPr>
          <w:p>
            <w:pPr>
              <w:spacing w:after="0"/>
              <w:rPr>
                <w:sz w:val="11"/>
                <w:szCs w:val="11"/>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Compensation Table</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Applicable Subject Year</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Subject Year</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1"/>
              </w:rPr>
              <w:t>Prior Years</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Applicable Subject Year</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2"/>
              </w:rPr>
              <w:t>Subject Year</w:t>
            </w:r>
          </w:p>
        </w:tc>
        <w:tc>
          <w:tcPr>
            <w:tcW w:w="13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2"/>
              </w:rPr>
              <w:t>Year</w:t>
            </w:r>
          </w:p>
        </w:tc>
        <w:tc>
          <w:tcPr>
            <w:tcW w:w="13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2025</w:t>
            </w:r>
          </w:p>
        </w:tc>
        <w:tc>
          <w:tcPr>
            <w:tcW w:w="12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$1,998,666</w:t>
            </w:r>
          </w:p>
        </w:tc>
        <w:tc>
          <w:tcPr>
            <w:tcW w:w="14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$853,383</w:t>
            </w: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$11,691</w:t>
            </w:r>
          </w:p>
        </w:tc>
        <w:tc>
          <w:tcPr>
            <w:tcW w:w="1380" w:type="dxa"/>
            <w:vAlign w:val="bottom"/>
          </w:tcPr>
          <w:p>
            <w:pPr>
              <w:jc w:val="right"/>
              <w:ind w:right="432"/>
              <w:spacing w:after="0"/>
              <w:rPr>
                <w:sz w:val="20"/>
                <w:szCs w:val="20"/>
                <w:color w:val="auto"/>
              </w:rPr>
            </w:pPr>
            <w:r>
              <w:rPr>
                <w:rFonts w:ascii="Times New Roman" w:cs="Times New Roman" w:eastAsia="Times New Roman" w:hAnsi="Times New Roman"/>
                <w:sz w:val="10"/>
                <w:szCs w:val="10"/>
                <w:color w:val="auto"/>
              </w:rPr>
              <w:t>$(235,945)</w:t>
            </w:r>
          </w:p>
        </w:tc>
        <w:tc>
          <w:tcPr>
            <w:tcW w:w="1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$(312,550)</w:t>
            </w:r>
          </w:p>
        </w:tc>
        <w:tc>
          <w:tcPr>
            <w:tcW w:w="13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$190,308</w:t>
            </w:r>
          </w:p>
        </w:tc>
        <w:tc>
          <w:tcPr>
            <w:tcW w:w="13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$(1,872,394)</w:t>
            </w:r>
          </w:p>
        </w:tc>
        <w:tc>
          <w:tcPr>
            <w:tcW w:w="0" w:type="dxa"/>
            <w:vAlign w:val="bottom"/>
          </w:tcPr>
          <w:p>
            <w:pPr>
              <w:spacing w:after="0"/>
              <w:rPr>
                <w:sz w:val="1"/>
                <w:szCs w:val="1"/>
                <w:color w:val="auto"/>
              </w:rPr>
            </w:pPr>
          </w:p>
        </w:tc>
      </w:tr>
      <w:tr>
        <w:trPr>
          <w:trHeight w:val="130"/>
        </w:trPr>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2024</w:t>
            </w:r>
          </w:p>
        </w:tc>
        <w:tc>
          <w:tcPr>
            <w:tcW w:w="12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$558,824</w:t>
            </w:r>
          </w:p>
        </w:tc>
        <w:tc>
          <w:tcPr>
            <w:tcW w:w="14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$1,245,758</w:t>
            </w: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w:t>
            </w:r>
          </w:p>
        </w:tc>
        <w:tc>
          <w:tcPr>
            <w:tcW w:w="1380" w:type="dxa"/>
            <w:vAlign w:val="bottom"/>
          </w:tcPr>
          <w:p>
            <w:pPr>
              <w:jc w:val="right"/>
              <w:ind w:right="432"/>
              <w:spacing w:after="0"/>
              <w:rPr>
                <w:sz w:val="20"/>
                <w:szCs w:val="20"/>
                <w:color w:val="auto"/>
              </w:rPr>
            </w:pPr>
            <w:r>
              <w:rPr>
                <w:rFonts w:ascii="Times New Roman" w:cs="Times New Roman" w:eastAsia="Times New Roman" w:hAnsi="Times New Roman"/>
                <w:sz w:val="10"/>
                <w:szCs w:val="10"/>
                <w:color w:val="auto"/>
              </w:rPr>
              <w:t>$(213,994)</w:t>
            </w:r>
          </w:p>
        </w:tc>
        <w:tc>
          <w:tcPr>
            <w:tcW w:w="1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$(231,491)</w:t>
            </w:r>
          </w:p>
        </w:tc>
        <w:tc>
          <w:tcPr>
            <w:tcW w:w="13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$32,614</w:t>
            </w:r>
          </w:p>
        </w:tc>
        <w:tc>
          <w:tcPr>
            <w:tcW w:w="13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$208,835</w:t>
            </w:r>
          </w:p>
        </w:tc>
        <w:tc>
          <w:tcPr>
            <w:tcW w:w="0" w:type="dxa"/>
            <w:vAlign w:val="bottom"/>
          </w:tcPr>
          <w:p>
            <w:pPr>
              <w:spacing w:after="0"/>
              <w:rPr>
                <w:sz w:val="1"/>
                <w:szCs w:val="1"/>
                <w:color w:val="auto"/>
              </w:rPr>
            </w:pPr>
          </w:p>
        </w:tc>
      </w:tr>
      <w:tr>
        <w:trPr>
          <w:trHeight w:val="135"/>
        </w:trPr>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2023</w:t>
            </w:r>
          </w:p>
        </w:tc>
        <w:tc>
          <w:tcPr>
            <w:tcW w:w="12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$352,129</w:t>
            </w:r>
          </w:p>
        </w:tc>
        <w:tc>
          <w:tcPr>
            <w:tcW w:w="14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$1,163,168</w:t>
            </w: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w:t>
            </w:r>
          </w:p>
        </w:tc>
        <w:tc>
          <w:tcPr>
            <w:tcW w:w="1380" w:type="dxa"/>
            <w:vAlign w:val="bottom"/>
          </w:tcPr>
          <w:p>
            <w:pPr>
              <w:jc w:val="right"/>
              <w:ind w:right="452"/>
              <w:spacing w:after="0"/>
              <w:rPr>
                <w:sz w:val="20"/>
                <w:szCs w:val="20"/>
                <w:color w:val="auto"/>
              </w:rPr>
            </w:pPr>
            <w:r>
              <w:rPr>
                <w:rFonts w:ascii="Times New Roman" w:cs="Times New Roman" w:eastAsia="Times New Roman" w:hAnsi="Times New Roman"/>
                <w:sz w:val="10"/>
                <w:szCs w:val="10"/>
                <w:color w:val="auto"/>
              </w:rPr>
              <w:t>$542,464</w:t>
            </w:r>
          </w:p>
        </w:tc>
        <w:tc>
          <w:tcPr>
            <w:tcW w:w="1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$(360,813)</w:t>
            </w:r>
          </w:p>
        </w:tc>
        <w:tc>
          <w:tcPr>
            <w:tcW w:w="13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$19,204</w:t>
            </w:r>
          </w:p>
        </w:tc>
        <w:tc>
          <w:tcPr>
            <w:tcW w:w="13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$973,486</w:t>
            </w: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300" w:hanging="296"/>
        <w:spacing w:after="0"/>
        <w:tabs>
          <w:tab w:leader="none" w:pos="300" w:val="left"/>
        </w:tabs>
        <w:numPr>
          <w:ilvl w:val="0"/>
          <w:numId w:val="7"/>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For fiscal 2025, our Non-PEO NEOs were: Karen Alexander, Chief Financial Officer and Marc D’Annunzio, General Counsel and Secretary. For fiscal 2024, our Non-PEO NEOs were: Karen Alexander, Chief Financial Officer and Nicholas Baes, Chief Operating Officer. For fiscal</w:t>
      </w:r>
    </w:p>
    <w:p>
      <w:pPr>
        <w:spacing w:after="0" w:line="17" w:lineRule="exact"/>
        <w:rPr>
          <w:rFonts w:ascii="Times New Roman" w:cs="Times New Roman" w:eastAsia="Times New Roman" w:hAnsi="Times New Roman"/>
          <w:sz w:val="8"/>
          <w:szCs w:val="8"/>
          <w:color w:val="auto"/>
        </w:rPr>
      </w:pPr>
    </w:p>
    <w:p>
      <w:pPr>
        <w:ind w:left="300" w:right="20"/>
        <w:spacing w:after="0" w:line="221" w:lineRule="auto"/>
        <w:rPr>
          <w:rFonts w:ascii="Times New Roman" w:cs="Times New Roman" w:eastAsia="Times New Roman" w:hAnsi="Times New Roman"/>
          <w:sz w:val="8"/>
          <w:szCs w:val="8"/>
          <w:color w:val="auto"/>
        </w:rPr>
      </w:pPr>
      <w:r>
        <w:rPr>
          <w:rFonts w:ascii="Times New Roman" w:cs="Times New Roman" w:eastAsia="Times New Roman" w:hAnsi="Times New Roman"/>
          <w:sz w:val="10"/>
          <w:szCs w:val="10"/>
          <w:color w:val="auto"/>
        </w:rPr>
        <w:t>2023, our Non-PEO NEOs were: Karen Alexander, Chief Financial Officer, and Marc D’Annunzio, General Counsel and Secretary. This column represents the average of the amounts of total compensation reported for each Non-PEO NEO as a group for each Subject Year in the “Total” column of the Summary Compensation Table (“total compensation”). Please refer to the Summary Compensation Table in this proxy statement and/or the Summary Compensation Table in the proxy statement for fiscal 2024 and 2023.</w:t>
      </w:r>
    </w:p>
    <w:p>
      <w:pPr>
        <w:spacing w:after="0" w:line="3" w:lineRule="exact"/>
        <w:rPr>
          <w:rFonts w:ascii="Times New Roman" w:cs="Times New Roman" w:eastAsia="Times New Roman" w:hAnsi="Times New Roman"/>
          <w:sz w:val="8"/>
          <w:szCs w:val="8"/>
          <w:color w:val="auto"/>
        </w:rPr>
      </w:pPr>
    </w:p>
    <w:p>
      <w:pPr>
        <w:ind w:left="300" w:right="20" w:hanging="296"/>
        <w:spacing w:after="0" w:line="232" w:lineRule="auto"/>
        <w:tabs>
          <w:tab w:leader="none" w:pos="300" w:val="left"/>
        </w:tabs>
        <w:numPr>
          <w:ilvl w:val="0"/>
          <w:numId w:val="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This column represents the average of the amounts of “compensation actually paid” to our Non-PEO NEOs as computed in accordance with Item 402(v) of Regulation S-K. In accordance with the requirements of Item 402(v) of Regulation S-K, the amounts disclosed for compensation actually paid reflect the adjustments listed in the table above, using the same adjustment methodology described above in Note 2.</w:t>
      </w:r>
    </w:p>
    <w:p>
      <w:pPr>
        <w:spacing w:after="0" w:line="2" w:lineRule="exact"/>
        <w:rPr>
          <w:rFonts w:ascii="Times New Roman" w:cs="Times New Roman" w:eastAsia="Times New Roman" w:hAnsi="Times New Roman"/>
          <w:sz w:val="10"/>
          <w:szCs w:val="10"/>
          <w:color w:val="auto"/>
        </w:rPr>
      </w:pPr>
    </w:p>
    <w:p>
      <w:pPr>
        <w:ind w:left="300" w:hanging="296"/>
        <w:spacing w:after="0"/>
        <w:tabs>
          <w:tab w:leader="none" w:pos="300" w:val="left"/>
        </w:tabs>
        <w:numPr>
          <w:ilvl w:val="0"/>
          <w:numId w:val="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Calculated based upon the closing price of a share of Common Stock on the last day of fiscal 2023, fiscal 2024, and fiscal 2025, which prices were $55.75, $24.77, and $10.04, respectively.</w:t>
      </w:r>
    </w:p>
    <w:p>
      <w:pPr>
        <w:spacing w:after="0" w:line="20" w:lineRule="exact"/>
        <w:rPr>
          <w:rFonts w:ascii="Times New Roman" w:cs="Times New Roman" w:eastAsia="Times New Roman" w:hAnsi="Times New Roman"/>
          <w:sz w:val="10"/>
          <w:szCs w:val="10"/>
          <w:color w:val="auto"/>
        </w:rPr>
      </w:pPr>
    </w:p>
    <w:p>
      <w:pPr>
        <w:ind w:left="300" w:hanging="296"/>
        <w:spacing w:after="0"/>
        <w:tabs>
          <w:tab w:leader="none" w:pos="300" w:val="left"/>
        </w:tabs>
        <w:numPr>
          <w:ilvl w:val="0"/>
          <w:numId w:val="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dollar amounts reported represent the amount of net loss reflected in our audited consolidated financial statements included in the Annual Report for the applicable year.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Description of Relationship between Compensation Actually Paid and Cumulative Company Total Shareholder Return</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The compensation actually paid to our PEO, as computed in accordance with the requirements of Item 402(v) of Regulation S-K, for Akshay Naheta was $20.8 million, $0, and $0 for fiscal 2025, fiscal 2024, and fiscal 2023, respectively, for Andrew Main was $3.9 million, $12.9 million, and $0 for fiscal 2025, fiscal 2024 and fiscal 2023, respectively, and for Gavin Michael was $0, $(5.0) million, and $10.5 million for fiscal 2025, fiscal 2024 and fiscal 2023, respectively. The average of the amounts of compensation actually paid to our Non-PEO NEOs as a group, as computed in accordance with Item 402(v) of Regulation S-K, was $3.0 million, $1.3 million, and $1.9 million for fiscal 2025, fiscal 2024, and fiscal 2023, respectively. The cumulative total shareholder return of the Company, assuming an initial fixed $100 investment and computed in accordance with the requirements of Item 402(v) of Regulation S-K, was $44.22, $83.23, $187.32 for fiscal 2025, fiscal 2024, and fiscal 2023, respectively. Please see Note 5 above for additional information related to the computation of cumulative Company total shareholder return.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Description of Relationship between Compensation Actually Paid and Company Net Income (Loss)</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compensation actually paid to our PEO, as computed in accordance with the requirements of Item 402(v) of Regulation S-K, for Akshay Naheta was $20.8 million, $0, and $0 for fiscal 2025, fiscal 2024, and fiscal 2023, respectively, for Andrew Main was $3.9 million, $12.9 million and $0 for fiscal 2025, fiscal 2024, and fiscal 2023, respectively, and for Gavin Michael was $0, $(5.0) million, and $10.5 million for fiscal 2025, fiscal 2024, fiscal and fiscal 2023, respectively. The average of the amounts of compensation actually paid to the Non-PEO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572770</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89" w:right="299" w:bottom="1440" w:gutter="0" w:footer="0" w:header="0"/>
        </w:sectPr>
      </w:pPr>
    </w:p>
    <w:bookmarkStart w:id="7" w:name="page8"/>
    <w:bookmarkEnd w:id="7"/>
    <w:p>
      <w:pPr>
        <w:jc w:val="both"/>
        <w:spacing w:after="0" w:line="265" w:lineRule="auto"/>
        <w:rPr>
          <w:sz w:val="20"/>
          <w:szCs w:val="20"/>
          <w:color w:val="auto"/>
        </w:rPr>
      </w:pPr>
      <w:r>
        <w:rPr>
          <w:rFonts w:ascii="Times New Roman" w:cs="Times New Roman" w:eastAsia="Times New Roman" w:hAnsi="Times New Roman"/>
          <w:sz w:val="12"/>
          <w:szCs w:val="12"/>
          <w:color w:val="auto"/>
        </w:rPr>
        <w:t>NEOs as a group, as computed in accordance with Item 402(v) of Regulation S-K, was $3.0 million, $1.3 million, and $1.9 million for fiscal 2025, fiscal 2024, and fiscal 2023, respectively. The Company’s net loss, as computed in accordance with Item 402(v) of Regulation S-K and reflected in the Company’s audited financial statements for the applicable year, was $132.2 million, $103.4 million and $225.8 million for fiscal 2025, fiscal 2024, and fiscal 2023,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Form of Proxy Card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form of proxy card previously filed with the Proxy Statement is hereby replaced in its entirety with the following corrected form of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4488815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106680</wp:posOffset>
            </wp:positionV>
            <wp:extent cx="2903220" cy="37604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03220" cy="3760470"/>
                    </a:xfrm>
                    <a:prstGeom prst="rect">
                      <a:avLst/>
                    </a:prstGeom>
                    <a:noFill/>
                  </pic:spPr>
                </pic:pic>
              </a:graphicData>
            </a:graphic>
          </wp:anchor>
        </w:drawing>
      </w:r>
    </w:p>
    <w:p>
      <w:pPr>
        <w:sectPr>
          <w:pgSz w:w="11900" w:h="16838" w:orient="portrait"/>
          <w:cols w:equalWidth="0" w:num="1">
            <w:col w:w="11300"/>
          </w:cols>
          <w:pgMar w:left="300" w:top="993" w:right="29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637540</wp:posOffset>
            </wp:positionV>
            <wp:extent cx="2903220" cy="37604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903220" cy="3760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10401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218680" cy="104013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2026-05-15T16:33:09Z</dcterms:created>
  <dcterms:modified xsi:type="dcterms:W3CDTF">2026-05-15T16:33:09Z</dcterms:modified>
</cp:coreProperties>
</file>