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Gordon Nancy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8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01/21/2022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5"/>
        <w:spacing w:after="0"/>
        <w:rPr>
          <w:sz w:val="20"/>
          <w:szCs w:val="20"/>
          <w:color w:val="auto"/>
        </w:rPr>
      </w:pPr>
      <w:r>
        <w:rPr>
          <w:rFonts w:ascii="Arial" w:cs="Arial" w:eastAsia="Arial" w:hAnsi="Arial"/>
          <w:sz w:val="16"/>
          <w:szCs w:val="16"/>
          <w:color w:val="0000FF"/>
        </w:rPr>
        <w:t>EVP Loyalty Rewards &amp; Payments</w:t>
      </w:r>
    </w:p>
    <w:p>
      <w:pPr>
        <w:spacing w:after="0" w:line="41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01/21/2022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200,000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266,667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January 21, 2022, provided that the Reporting Person continues to be employed by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266,667 shares of Class A Common Stock subject to RSU awards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Nancy</w:t>
      </w:r>
      <w:r>
        <w:rPr>
          <w:sz w:val="20"/>
          <w:szCs w:val="20"/>
          <w:color w:val="auto"/>
        </w:rPr>
        <w:tab/>
      </w:r>
      <w:r>
        <w:rPr>
          <w:rFonts w:ascii="Arial" w:cs="Arial" w:eastAsia="Arial" w:hAnsi="Arial"/>
          <w:sz w:val="15"/>
          <w:szCs w:val="15"/>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03"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2022-01-25T16:17:03Z</dcterms:created>
  <dcterms:modified xsi:type="dcterms:W3CDTF">2022-01-25T16:17:03Z</dcterms:modified>
</cp:coreProperties>
</file>