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UNITED STATES</w:t>
      </w:r>
    </w:p>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9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146050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FORM 10-K/A</w:t>
      </w:r>
    </w:p>
    <w:p>
      <w:pPr>
        <w:spacing w:after="0" w:line="29" w:lineRule="exact"/>
        <w:rPr>
          <w:sz w:val="24"/>
          <w:szCs w:val="24"/>
          <w:color w:val="auto"/>
        </w:rPr>
      </w:pPr>
    </w:p>
    <w:p>
      <w:pPr>
        <w:jc w:val="center"/>
        <w:ind w:right="-99"/>
        <w:spacing w:after="0"/>
        <w:rPr>
          <w:sz w:val="20"/>
          <w:szCs w:val="20"/>
          <w:color w:val="auto"/>
        </w:rPr>
      </w:pPr>
      <w:r>
        <w:rPr>
          <w:rFonts w:ascii="Arial" w:cs="Arial" w:eastAsia="Arial" w:hAnsi="Arial"/>
          <w:sz w:val="31"/>
          <w:szCs w:val="31"/>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14" w:lineRule="exact"/>
        <w:rPr>
          <w:sz w:val="24"/>
          <w:szCs w:val="24"/>
          <w:color w:val="auto"/>
        </w:rPr>
      </w:pPr>
    </w:p>
    <w:p>
      <w:pPr>
        <w:ind w:left="120"/>
        <w:spacing w:after="0"/>
        <w:rPr>
          <w:sz w:val="20"/>
          <w:szCs w:val="20"/>
          <w:color w:val="auto"/>
        </w:rPr>
      </w:pPr>
      <w:r>
        <w:rPr>
          <w:rFonts w:ascii="Arial" w:cs="Arial" w:eastAsia="Arial" w:hAnsi="Arial"/>
          <w:sz w:val="16"/>
          <w:szCs w:val="16"/>
          <w:b w:val="1"/>
          <w:bCs w:val="1"/>
          <w:color w:val="auto"/>
        </w:rPr>
        <w:t>(Mark One)</w:t>
      </w:r>
    </w:p>
    <w:p>
      <w:pPr>
        <w:spacing w:after="0" w:line="26"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ANNUAL REPORT PURSUANT TO SECTION 13 OR 15(d) OF THE SECURITIES EXCHANGE ACT OF 1934</w:t>
      </w:r>
    </w:p>
    <w:p>
      <w:pPr>
        <w:spacing w:after="0" w:line="1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2020</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1"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22" w:lineRule="exact"/>
        <w:rPr>
          <w:sz w:val="24"/>
          <w:szCs w:val="24"/>
          <w:color w:val="auto"/>
        </w:rPr>
      </w:pPr>
    </w:p>
    <w:tbl>
      <w:tblPr>
        <w:tblLayout w:type="fixed"/>
        <w:tblInd w:w="120" w:type="dxa"/>
        <w:tblCellMar>
          <w:top w:w="0" w:type="dxa"/>
          <w:left w:w="0" w:type="dxa"/>
          <w:bottom w:w="0" w:type="dxa"/>
          <w:right w:w="0" w:type="dxa"/>
        </w:tblCellMar>
      </w:tblPr>
      <w:tr>
        <w:trPr>
          <w:trHeight w:val="184"/>
        </w:trPr>
        <w:tc>
          <w:tcPr>
            <w:tcW w:w="5660" w:type="dxa"/>
            <w:vAlign w:val="bottom"/>
            <w:gridSpan w:val="6"/>
          </w:tcPr>
          <w:p>
            <w:pPr>
              <w:ind w:left="3520"/>
              <w:spacing w:after="0"/>
              <w:rPr>
                <w:sz w:val="20"/>
                <w:szCs w:val="20"/>
                <w:color w:val="auto"/>
              </w:rPr>
            </w:pPr>
            <w:r>
              <w:rPr>
                <w:rFonts w:ascii="Arial" w:cs="Arial" w:eastAsia="Arial" w:hAnsi="Arial"/>
                <w:sz w:val="16"/>
                <w:szCs w:val="16"/>
                <w:b w:val="1"/>
                <w:bCs w:val="1"/>
                <w:color w:val="auto"/>
                <w:w w:val="94"/>
              </w:rPr>
              <w:t>For the transition period from</w:t>
            </w:r>
          </w:p>
        </w:tc>
        <w:tc>
          <w:tcPr>
            <w:tcW w:w="800" w:type="dxa"/>
            <w:vAlign w:val="bottom"/>
            <w:tcBorders>
              <w:bottom w:val="single" w:sz="8" w:color="auto"/>
            </w:tcBorders>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5"/>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7"/>
          </w:tcPr>
          <w:p>
            <w:pPr>
              <w:jc w:val="center"/>
              <w:ind w:left="68"/>
              <w:spacing w:after="0"/>
              <w:rPr>
                <w:sz w:val="20"/>
                <w:szCs w:val="20"/>
                <w:color w:val="auto"/>
              </w:rPr>
            </w:pPr>
            <w:r>
              <w:rPr>
                <w:rFonts w:ascii="Arial" w:cs="Arial" w:eastAsia="Arial" w:hAnsi="Arial"/>
                <w:sz w:val="16"/>
                <w:szCs w:val="16"/>
                <w:b w:val="1"/>
                <w:bCs w:val="1"/>
                <w:color w:val="auto"/>
                <w:w w:val="91"/>
              </w:rPr>
              <w:t>Commission File Number: 001-39544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gridSpan w:val="2"/>
          </w:tcPr>
          <w:p>
            <w:pPr>
              <w:spacing w:after="0"/>
              <w:rPr>
                <w:sz w:val="20"/>
                <w:szCs w:val="20"/>
                <w:color w:val="auto"/>
              </w:rPr>
            </w:pPr>
          </w:p>
        </w:tc>
        <w:tc>
          <w:tcPr>
            <w:tcW w:w="10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3"/>
        </w:trPr>
        <w:tc>
          <w:tcPr>
            <w:tcW w:w="11020" w:type="dxa"/>
            <w:vAlign w:val="bottom"/>
            <w:gridSpan w:val="15"/>
          </w:tcPr>
          <w:p>
            <w:pPr>
              <w:jc w:val="center"/>
              <w:spacing w:after="0"/>
              <w:rPr>
                <w:sz w:val="20"/>
                <w:szCs w:val="20"/>
                <w:color w:val="auto"/>
              </w:rPr>
            </w:pPr>
            <w:r>
              <w:rPr>
                <w:rFonts w:ascii="Arial" w:cs="Arial" w:eastAsia="Arial" w:hAnsi="Arial"/>
                <w:sz w:val="40"/>
                <w:szCs w:val="40"/>
                <w:b w:val="1"/>
                <w:bCs w:val="1"/>
                <w:color w:val="auto"/>
              </w:rPr>
              <w:t>VPC IMPACT ACQUISITION HOLDINGS</w:t>
            </w:r>
          </w:p>
        </w:tc>
        <w:tc>
          <w:tcPr>
            <w:tcW w:w="0" w:type="dxa"/>
            <w:vAlign w:val="bottom"/>
          </w:tcPr>
          <w:p>
            <w:pPr>
              <w:spacing w:after="0"/>
              <w:rPr>
                <w:sz w:val="1"/>
                <w:szCs w:val="1"/>
                <w:color w:val="auto"/>
              </w:rPr>
            </w:pPr>
          </w:p>
        </w:tc>
      </w:tr>
      <w:tr>
        <w:trPr>
          <w:trHeight w:val="210"/>
        </w:trPr>
        <w:tc>
          <w:tcPr>
            <w:tcW w:w="7440" w:type="dxa"/>
            <w:vAlign w:val="bottom"/>
            <w:gridSpan w:val="12"/>
          </w:tcPr>
          <w:p>
            <w:pPr>
              <w:jc w:val="center"/>
              <w:ind w:left="3502"/>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80" w:type="dxa"/>
            <w:vAlign w:val="bottom"/>
            <w:gridSpan w:val="3"/>
            <w:vMerge w:val="restart"/>
          </w:tcPr>
          <w:p>
            <w:pPr>
              <w:jc w:val="center"/>
              <w:ind w:left="1502"/>
              <w:spacing w:after="0"/>
              <w:rPr>
                <w:sz w:val="20"/>
                <w:szCs w:val="20"/>
                <w:color w:val="auto"/>
              </w:rPr>
            </w:pPr>
            <w:r>
              <w:rPr>
                <w:rFonts w:ascii="Arial" w:cs="Arial" w:eastAsia="Arial" w:hAnsi="Arial"/>
                <w:sz w:val="14"/>
                <w:szCs w:val="14"/>
                <w:b w:val="1"/>
                <w:bCs w:val="1"/>
                <w:color w:val="auto"/>
                <w:w w:val="93"/>
              </w:rPr>
              <w:t>Cayman Islands</w:t>
            </w: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580" w:type="dxa"/>
            <w:vAlign w:val="bottom"/>
            <w:gridSpan w:val="3"/>
            <w:vMerge w:val="restart"/>
          </w:tcPr>
          <w:p>
            <w:pPr>
              <w:jc w:val="right"/>
              <w:ind w:right="2273"/>
              <w:spacing w:after="0"/>
              <w:rPr>
                <w:sz w:val="20"/>
                <w:szCs w:val="20"/>
                <w:color w:val="auto"/>
              </w:rPr>
            </w:pPr>
            <w:r>
              <w:rPr>
                <w:rFonts w:ascii="Arial" w:cs="Arial" w:eastAsia="Arial" w:hAnsi="Arial"/>
                <w:sz w:val="14"/>
                <w:szCs w:val="14"/>
                <w:b w:val="1"/>
                <w:bCs w:val="1"/>
                <w:color w:val="auto"/>
              </w:rPr>
              <w:t>98-1550750</w:t>
            </w:r>
          </w:p>
        </w:tc>
        <w:tc>
          <w:tcPr>
            <w:tcW w:w="0" w:type="dxa"/>
            <w:vAlign w:val="bottom"/>
          </w:tcPr>
          <w:p>
            <w:pPr>
              <w:spacing w:after="0"/>
              <w:rPr>
                <w:sz w:val="1"/>
                <w:szCs w:val="1"/>
                <w:color w:val="auto"/>
              </w:rPr>
            </w:pPr>
          </w:p>
        </w:tc>
      </w:tr>
      <w:tr>
        <w:trPr>
          <w:trHeight w:val="272"/>
        </w:trPr>
        <w:tc>
          <w:tcPr>
            <w:tcW w:w="3980" w:type="dxa"/>
            <w:vAlign w:val="bottom"/>
            <w:gridSpan w:val="3"/>
            <w:vMerge w:val="continue"/>
          </w:tcPr>
          <w:p>
            <w:pPr>
              <w:spacing w:after="0"/>
              <w:rPr>
                <w:sz w:val="23"/>
                <w:szCs w:val="23"/>
                <w:color w:val="auto"/>
              </w:rPr>
            </w:pPr>
          </w:p>
        </w:tc>
        <w:tc>
          <w:tcPr>
            <w:tcW w:w="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580" w:type="dxa"/>
            <w:vAlign w:val="bottom"/>
            <w:gridSpan w:val="3"/>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3980" w:type="dxa"/>
            <w:vAlign w:val="bottom"/>
            <w:gridSpan w:val="3"/>
          </w:tcPr>
          <w:p>
            <w:pPr>
              <w:jc w:val="center"/>
              <w:ind w:left="1502"/>
              <w:spacing w:after="0" w:line="135" w:lineRule="exact"/>
              <w:rPr>
                <w:sz w:val="20"/>
                <w:szCs w:val="20"/>
                <w:color w:val="auto"/>
              </w:rPr>
            </w:pPr>
            <w:r>
              <w:rPr>
                <w:rFonts w:ascii="Arial" w:cs="Arial" w:eastAsia="Arial" w:hAnsi="Arial"/>
                <w:sz w:val="13"/>
                <w:szCs w:val="13"/>
                <w:b w:val="1"/>
                <w:bCs w:val="1"/>
                <w:color w:val="auto"/>
                <w:w w:val="89"/>
              </w:rPr>
              <w:t>(State or Other Jurisdiction of</w:t>
            </w: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20" w:type="dxa"/>
            <w:vAlign w:val="bottom"/>
          </w:tcPr>
          <w:p>
            <w:pPr>
              <w:jc w:val="center"/>
              <w:ind w:right="1773"/>
              <w:spacing w:after="0" w:line="135" w:lineRule="exact"/>
              <w:rPr>
                <w:sz w:val="20"/>
                <w:szCs w:val="20"/>
                <w:color w:val="auto"/>
              </w:rPr>
            </w:pPr>
            <w:r>
              <w:rPr>
                <w:rFonts w:ascii="Arial" w:cs="Arial" w:eastAsia="Arial" w:hAnsi="Arial"/>
                <w:sz w:val="13"/>
                <w:szCs w:val="13"/>
                <w:b w:val="1"/>
                <w:bCs w:val="1"/>
                <w:color w:val="auto"/>
                <w:w w:val="92"/>
              </w:rPr>
              <w:t>(I.R.S. Employer</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left="1502"/>
              <w:spacing w:after="0"/>
              <w:rPr>
                <w:sz w:val="20"/>
                <w:szCs w:val="20"/>
                <w:color w:val="auto"/>
              </w:rPr>
            </w:pPr>
            <w:r>
              <w:rPr>
                <w:rFonts w:ascii="Arial" w:cs="Arial" w:eastAsia="Arial" w:hAnsi="Arial"/>
                <w:sz w:val="13"/>
                <w:szCs w:val="13"/>
                <w:b w:val="1"/>
                <w:bCs w:val="1"/>
                <w:color w:val="auto"/>
                <w:w w:val="89"/>
              </w:rPr>
              <w:t>Incorporation or Organization</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ind w:right="1773"/>
              <w:spacing w:after="0"/>
              <w:rPr>
                <w:sz w:val="20"/>
                <w:szCs w:val="20"/>
                <w:color w:val="auto"/>
              </w:rPr>
            </w:pPr>
            <w:r>
              <w:rPr>
                <w:rFonts w:ascii="Arial" w:cs="Arial" w:eastAsia="Arial" w:hAnsi="Arial"/>
                <w:sz w:val="13"/>
                <w:szCs w:val="13"/>
                <w:b w:val="1"/>
                <w:bCs w:val="1"/>
                <w:color w:val="auto"/>
                <w:w w:val="91"/>
              </w:rPr>
              <w:t>Identification No.)</w:t>
            </w:r>
          </w:p>
        </w:tc>
        <w:tc>
          <w:tcPr>
            <w:tcW w:w="0" w:type="dxa"/>
            <w:vAlign w:val="bottom"/>
          </w:tcPr>
          <w:p>
            <w:pPr>
              <w:spacing w:after="0"/>
              <w:rPr>
                <w:sz w:val="1"/>
                <w:szCs w:val="1"/>
                <w:color w:val="auto"/>
              </w:rPr>
            </w:pPr>
          </w:p>
        </w:tc>
      </w:tr>
      <w:tr>
        <w:trPr>
          <w:trHeight w:val="182"/>
        </w:trPr>
        <w:tc>
          <w:tcPr>
            <w:tcW w:w="3980" w:type="dxa"/>
            <w:vAlign w:val="bottom"/>
            <w:gridSpan w:val="3"/>
          </w:tcPr>
          <w:p>
            <w:pPr>
              <w:jc w:val="center"/>
              <w:ind w:left="1502"/>
              <w:spacing w:after="0"/>
              <w:rPr>
                <w:sz w:val="20"/>
                <w:szCs w:val="20"/>
                <w:color w:val="auto"/>
              </w:rPr>
            </w:pPr>
            <w:r>
              <w:rPr>
                <w:rFonts w:ascii="Arial" w:cs="Arial" w:eastAsia="Arial" w:hAnsi="Arial"/>
                <w:sz w:val="14"/>
                <w:szCs w:val="14"/>
                <w:b w:val="1"/>
                <w:bCs w:val="1"/>
                <w:color w:val="auto"/>
                <w:w w:val="96"/>
              </w:rPr>
              <w:t>Victory Park Capital Advisors, LLC</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980" w:type="dxa"/>
            <w:vAlign w:val="bottom"/>
            <w:gridSpan w:val="3"/>
          </w:tcPr>
          <w:p>
            <w:pPr>
              <w:jc w:val="center"/>
              <w:ind w:left="1502"/>
              <w:spacing w:after="0" w:line="149" w:lineRule="exact"/>
              <w:rPr>
                <w:sz w:val="20"/>
                <w:szCs w:val="20"/>
                <w:color w:val="auto"/>
              </w:rPr>
            </w:pPr>
            <w:r>
              <w:rPr>
                <w:rFonts w:ascii="Arial" w:cs="Arial" w:eastAsia="Arial" w:hAnsi="Arial"/>
                <w:sz w:val="14"/>
                <w:szCs w:val="14"/>
                <w:b w:val="1"/>
                <w:bCs w:val="1"/>
                <w:color w:val="auto"/>
                <w:w w:val="93"/>
              </w:rPr>
              <w:t>150 North Riverside Plaza, Suite 5200</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980" w:type="dxa"/>
            <w:vAlign w:val="bottom"/>
            <w:gridSpan w:val="3"/>
          </w:tcPr>
          <w:p>
            <w:pPr>
              <w:jc w:val="center"/>
              <w:ind w:left="1502"/>
              <w:spacing w:after="0"/>
              <w:rPr>
                <w:sz w:val="20"/>
                <w:szCs w:val="20"/>
                <w:color w:val="auto"/>
              </w:rPr>
            </w:pPr>
            <w:r>
              <w:rPr>
                <w:rFonts w:ascii="Arial" w:cs="Arial" w:eastAsia="Arial" w:hAnsi="Arial"/>
                <w:sz w:val="14"/>
                <w:szCs w:val="14"/>
                <w:b w:val="1"/>
                <w:bCs w:val="1"/>
                <w:color w:val="auto"/>
                <w:w w:val="95"/>
              </w:rPr>
              <w:t>Chicago, IL</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580" w:type="dxa"/>
            <w:vAlign w:val="bottom"/>
            <w:gridSpan w:val="3"/>
          </w:tcPr>
          <w:p>
            <w:pPr>
              <w:jc w:val="right"/>
              <w:ind w:right="2433"/>
              <w:spacing w:after="0"/>
              <w:rPr>
                <w:sz w:val="20"/>
                <w:szCs w:val="20"/>
                <w:color w:val="auto"/>
              </w:rPr>
            </w:pPr>
            <w:r>
              <w:rPr>
                <w:rFonts w:ascii="Arial" w:cs="Arial" w:eastAsia="Arial" w:hAnsi="Arial"/>
                <w:sz w:val="14"/>
                <w:szCs w:val="14"/>
                <w:b w:val="1"/>
                <w:bCs w:val="1"/>
                <w:color w:val="auto"/>
              </w:rPr>
              <w:t>60606</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left="1502"/>
              <w:spacing w:after="0"/>
              <w:rPr>
                <w:sz w:val="20"/>
                <w:szCs w:val="20"/>
                <w:color w:val="auto"/>
              </w:rPr>
            </w:pPr>
            <w:r>
              <w:rPr>
                <w:rFonts w:ascii="Arial" w:cs="Arial" w:eastAsia="Arial" w:hAnsi="Arial"/>
                <w:sz w:val="13"/>
                <w:szCs w:val="13"/>
                <w:b w:val="1"/>
                <w:bCs w:val="1"/>
                <w:color w:val="auto"/>
                <w:w w:val="87"/>
              </w:rPr>
              <w:t>(Address of Principal Executive Offices)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ind w:right="1773"/>
              <w:spacing w:after="0"/>
              <w:rPr>
                <w:sz w:val="20"/>
                <w:szCs w:val="20"/>
                <w:color w:val="auto"/>
              </w:rPr>
            </w:pPr>
            <w:r>
              <w:rPr>
                <w:rFonts w:ascii="Arial" w:cs="Arial" w:eastAsia="Arial" w:hAnsi="Arial"/>
                <w:sz w:val="13"/>
                <w:szCs w:val="13"/>
                <w:b w:val="1"/>
                <w:bCs w:val="1"/>
                <w:color w:val="auto"/>
                <w:w w:val="93"/>
              </w:rPr>
              <w:t>(Zip Code)</w:t>
            </w:r>
          </w:p>
        </w:tc>
        <w:tc>
          <w:tcPr>
            <w:tcW w:w="0" w:type="dxa"/>
            <w:vAlign w:val="bottom"/>
          </w:tcPr>
          <w:p>
            <w:pPr>
              <w:spacing w:after="0"/>
              <w:rPr>
                <w:sz w:val="1"/>
                <w:szCs w:val="1"/>
                <w:color w:val="auto"/>
              </w:rPr>
            </w:pPr>
          </w:p>
        </w:tc>
      </w:tr>
      <w:tr>
        <w:trPr>
          <w:trHeight w:val="227"/>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8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3"/>
              </w:rPr>
              <w:t>(312) 701-1777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gridSpan w:val="9"/>
          </w:tcPr>
          <w:p>
            <w:pPr>
              <w:jc w:val="center"/>
              <w:ind w:right="420"/>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3740" w:type="dxa"/>
            <w:vAlign w:val="bottom"/>
          </w:tcPr>
          <w:p>
            <w:pPr>
              <w:spacing w:after="0"/>
              <w:rPr>
                <w:sz w:val="22"/>
                <w:szCs w:val="22"/>
                <w:color w:val="auto"/>
              </w:rPr>
            </w:pPr>
          </w:p>
        </w:tc>
        <w:tc>
          <w:tcPr>
            <w:tcW w:w="370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3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4"/>
              </w:rPr>
              <w:t>Name of each exchange on</w:t>
            </w:r>
          </w:p>
        </w:tc>
        <w:tc>
          <w:tcPr>
            <w:tcW w:w="0" w:type="dxa"/>
            <w:vAlign w:val="bottom"/>
          </w:tcPr>
          <w:p>
            <w:pPr>
              <w:spacing w:after="0"/>
              <w:rPr>
                <w:sz w:val="1"/>
                <w:szCs w:val="1"/>
                <w:color w:val="auto"/>
              </w:rPr>
            </w:pPr>
          </w:p>
        </w:tc>
      </w:tr>
      <w:tr>
        <w:trPr>
          <w:trHeight w:val="164"/>
        </w:trPr>
        <w:tc>
          <w:tcPr>
            <w:tcW w:w="39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3"/>
              </w:rPr>
              <w:t>Title of each class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2"/>
          </w:tcPr>
          <w:p>
            <w:pPr>
              <w:jc w:val="center"/>
              <w:ind w:left="370"/>
              <w:spacing w:after="0"/>
              <w:rPr>
                <w:sz w:val="20"/>
                <w:szCs w:val="20"/>
                <w:color w:val="auto"/>
              </w:rPr>
            </w:pPr>
            <w:r>
              <w:rPr>
                <w:rFonts w:ascii="Arial" w:cs="Arial" w:eastAsia="Arial" w:hAnsi="Arial"/>
                <w:sz w:val="13"/>
                <w:szCs w:val="13"/>
                <w:b w:val="1"/>
                <w:bCs w:val="1"/>
                <w:color w:val="auto"/>
                <w:w w:val="87"/>
              </w:rPr>
              <w:t>Trading Symbol(s)</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3"/>
                <w:szCs w:val="13"/>
                <w:b w:val="1"/>
                <w:bCs w:val="1"/>
                <w:color w:val="auto"/>
                <w:w w:val="87"/>
              </w:rPr>
              <w:t>which registered</w:t>
            </w:r>
          </w:p>
        </w:tc>
        <w:tc>
          <w:tcPr>
            <w:tcW w:w="0" w:type="dxa"/>
            <w:vAlign w:val="bottom"/>
          </w:tcPr>
          <w:p>
            <w:pPr>
              <w:spacing w:after="0"/>
              <w:rPr>
                <w:sz w:val="1"/>
                <w:szCs w:val="1"/>
                <w:color w:val="auto"/>
              </w:rPr>
            </w:pPr>
          </w:p>
        </w:tc>
      </w:tr>
      <w:tr>
        <w:trPr>
          <w:trHeight w:val="122"/>
        </w:trPr>
        <w:tc>
          <w:tcPr>
            <w:tcW w:w="374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0"/>
              </w:rPr>
              <w:t>Units, each consisting of one Class A ordinary share, $0.0001</w:t>
            </w: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120" w:type="dxa"/>
            <w:vAlign w:val="bottom"/>
            <w:tcBorders>
              <w:top w:val="single" w:sz="8" w:color="auto"/>
            </w:tcBorders>
            <w:gridSpan w:val="2"/>
          </w:tcPr>
          <w:p>
            <w:pPr>
              <w:jc w:val="center"/>
              <w:ind w:left="370"/>
              <w:spacing w:after="0" w:line="122" w:lineRule="exact"/>
              <w:rPr>
                <w:sz w:val="20"/>
                <w:szCs w:val="20"/>
                <w:color w:val="auto"/>
              </w:rPr>
            </w:pPr>
            <w:r>
              <w:rPr>
                <w:rFonts w:ascii="Arial" w:cs="Arial" w:eastAsia="Arial" w:hAnsi="Arial"/>
                <w:sz w:val="14"/>
                <w:szCs w:val="14"/>
                <w:b w:val="1"/>
                <w:bCs w:val="1"/>
                <w:color w:val="auto"/>
              </w:rPr>
              <w:t>VIHAU</w:t>
            </w:r>
          </w:p>
        </w:tc>
        <w:tc>
          <w:tcPr>
            <w:tcW w:w="2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9"/>
        </w:trPr>
        <w:tc>
          <w:tcPr>
            <w:tcW w:w="3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par value, and one-half of one Warrant to purchase one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Class A ordinary share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2"/>
            <w:vMerge w:val="restart"/>
          </w:tcPr>
          <w:p>
            <w:pPr>
              <w:jc w:val="center"/>
              <w:ind w:left="370"/>
              <w:spacing w:after="0"/>
              <w:rPr>
                <w:sz w:val="20"/>
                <w:szCs w:val="20"/>
                <w:color w:val="auto"/>
              </w:rPr>
            </w:pPr>
            <w:r>
              <w:rPr>
                <w:rFonts w:ascii="Arial" w:cs="Arial" w:eastAsia="Arial" w:hAnsi="Arial"/>
                <w:sz w:val="14"/>
                <w:szCs w:val="14"/>
                <w:b w:val="1"/>
                <w:bCs w:val="1"/>
                <w:color w:val="auto"/>
              </w:rPr>
              <w:t>VIH</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148"/>
        </w:trPr>
        <w:tc>
          <w:tcPr>
            <w:tcW w:w="3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Class A ordinary shares, $0.0001 par value per share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Warrants to purchase Class A ordinary shares</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gridSpan w:val="2"/>
          </w:tcPr>
          <w:p>
            <w:pPr>
              <w:jc w:val="center"/>
              <w:ind w:left="370"/>
              <w:spacing w:after="0"/>
              <w:rPr>
                <w:sz w:val="20"/>
                <w:szCs w:val="20"/>
                <w:color w:val="auto"/>
              </w:rPr>
            </w:pPr>
            <w:r>
              <w:rPr>
                <w:rFonts w:ascii="Arial" w:cs="Arial" w:eastAsia="Arial" w:hAnsi="Arial"/>
                <w:sz w:val="14"/>
                <w:szCs w:val="14"/>
                <w:b w:val="1"/>
                <w:bCs w:val="1"/>
                <w:color w:val="auto"/>
              </w:rPr>
              <w:t>VIHAW</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6"/>
              </w:rPr>
              <w:t>The Nasdaq Stock Market LLC</w:t>
            </w:r>
          </w:p>
        </w:tc>
        <w:tc>
          <w:tcPr>
            <w:tcW w:w="0" w:type="dxa"/>
            <w:vAlign w:val="bottom"/>
          </w:tcPr>
          <w:p>
            <w:pPr>
              <w:spacing w:after="0"/>
              <w:rPr>
                <w:sz w:val="1"/>
                <w:szCs w:val="1"/>
                <w:color w:val="auto"/>
              </w:rPr>
            </w:pPr>
          </w:p>
        </w:tc>
      </w:tr>
      <w:tr>
        <w:trPr>
          <w:trHeight w:val="257"/>
        </w:trPr>
        <w:tc>
          <w:tcPr>
            <w:tcW w:w="3740" w:type="dxa"/>
            <w:vAlign w:val="bottom"/>
          </w:tcPr>
          <w:p>
            <w:pPr>
              <w:spacing w:after="0"/>
              <w:rPr>
                <w:sz w:val="22"/>
                <w:szCs w:val="22"/>
                <w:color w:val="auto"/>
              </w:rPr>
            </w:pPr>
          </w:p>
        </w:tc>
        <w:tc>
          <w:tcPr>
            <w:tcW w:w="370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20" w:type="dxa"/>
            <w:vAlign w:val="bottom"/>
            <w:gridSpan w:val="2"/>
          </w:tcPr>
          <w:p>
            <w:pPr>
              <w:jc w:val="center"/>
              <w:ind w:left="130"/>
              <w:spacing w:after="0"/>
              <w:rPr>
                <w:sz w:val="20"/>
                <w:szCs w:val="20"/>
                <w:color w:val="auto"/>
              </w:rPr>
            </w:pPr>
            <w:r>
              <w:rPr>
                <w:rFonts w:ascii="Arial" w:cs="Arial" w:eastAsia="Arial" w:hAnsi="Arial"/>
                <w:sz w:val="14"/>
                <w:szCs w:val="14"/>
                <w:b w:val="1"/>
                <w:bCs w:val="1"/>
                <w:color w:val="auto"/>
                <w:w w:val="91"/>
              </w:rPr>
              <w:t>None</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4340" w:type="dxa"/>
            <w:vAlign w:val="bottom"/>
            <w:gridSpan w:val="5"/>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3580" w:type="dxa"/>
            <w:vAlign w:val="bottom"/>
            <w:gridSpan w:val="3"/>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95"/>
        </w:trPr>
        <w:tc>
          <w:tcPr>
            <w:tcW w:w="6880" w:type="dxa"/>
            <w:vAlign w:val="bottom"/>
            <w:gridSpan w:val="10"/>
          </w:tcPr>
          <w:p>
            <w:pPr>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560" w:type="dxa"/>
            <w:vAlign w:val="bottom"/>
            <w:gridSpan w:val="2"/>
            <w:vMerge w:val="continue"/>
          </w:tcPr>
          <w:p>
            <w:pPr>
              <w:spacing w:after="0"/>
              <w:rPr>
                <w:sz w:val="24"/>
                <w:szCs w:val="24"/>
                <w:color w:val="auto"/>
              </w:rPr>
            </w:pPr>
          </w:p>
        </w:tc>
        <w:tc>
          <w:tcPr>
            <w:tcW w:w="3580" w:type="dxa"/>
            <w:vAlign w:val="bottom"/>
            <w:gridSpan w:val="3"/>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80" w:type="dxa"/>
            <w:vAlign w:val="bottom"/>
            <w:gridSpan w:val="10"/>
          </w:tcPr>
          <w:p>
            <w:pPr>
              <w:spacing w:after="0"/>
              <w:rPr>
                <w:sz w:val="20"/>
                <w:szCs w:val="20"/>
                <w:color w:val="auto"/>
              </w:rPr>
            </w:pPr>
            <w:r>
              <w:rPr>
                <w:rFonts w:ascii="Arial" w:cs="Arial" w:eastAsia="Arial" w:hAnsi="Arial"/>
                <w:sz w:val="14"/>
                <w:szCs w:val="14"/>
                <w:color w:val="auto"/>
                <w:w w:val="93"/>
              </w:rPr>
              <w:t>Indicate by check mark if the registrant is not required to file reports pursuant to Section 13 or Section 15(d) of the Act.</w:t>
            </w:r>
          </w:p>
        </w:tc>
        <w:tc>
          <w:tcPr>
            <w:tcW w:w="560" w:type="dxa"/>
            <w:vAlign w:val="bottom"/>
            <w:gridSpan w:val="2"/>
          </w:tcPr>
          <w:p>
            <w:pPr>
              <w:ind w:left="120"/>
              <w:spacing w:after="0" w:line="161" w:lineRule="exact"/>
              <w:rPr>
                <w:sz w:val="20"/>
                <w:szCs w:val="20"/>
                <w:color w:val="auto"/>
              </w:rPr>
            </w:pPr>
            <w:r>
              <w:rPr>
                <w:rFonts w:ascii="Arial" w:cs="Arial" w:eastAsia="Arial" w:hAnsi="Arial"/>
                <w:sz w:val="14"/>
                <w:szCs w:val="14"/>
                <w:color w:val="auto"/>
                <w:w w:val="99"/>
              </w:rPr>
              <w:t xml:space="preserve">Yes </w:t>
            </w:r>
            <w:r>
              <w:rPr>
                <w:rFonts w:ascii="MS PGothic" w:cs="MS PGothic" w:eastAsia="MS PGothic" w:hAnsi="MS PGothic"/>
                <w:sz w:val="14"/>
                <w:szCs w:val="14"/>
                <w:color w:val="auto"/>
                <w:w w:val="99"/>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120" w:right="20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120" w:right="2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22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3"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left="120"/>
        <w:spacing w:after="0" w:line="161" w:lineRule="exact"/>
        <w:tabs>
          <w:tab w:leader="none" w:pos="6760" w:val="left"/>
          <w:tab w:leader="none" w:pos="73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36" w:lineRule="exact"/>
        <w:rPr>
          <w:sz w:val="24"/>
          <w:szCs w:val="24"/>
          <w:color w:val="auto"/>
        </w:rPr>
      </w:pPr>
    </w:p>
    <w:p>
      <w:pPr>
        <w:ind w:left="120" w:right="20"/>
        <w:spacing w:after="0" w:line="231" w:lineRule="auto"/>
        <w:rPr>
          <w:sz w:val="20"/>
          <w:szCs w:val="20"/>
          <w:color w:val="auto"/>
        </w:rPr>
      </w:pPr>
      <w:r>
        <w:rPr>
          <w:rFonts w:ascii="Arial" w:cs="Arial" w:eastAsia="Arial" w:hAnsi="Arial"/>
          <w:sz w:val="14"/>
          <w:szCs w:val="14"/>
          <w:color w:val="auto"/>
        </w:rPr>
        <w:t>The registrant was not a public company at June 30, 2020, the last business day of the registrant’s most recently completed second fiscal quarter, and therefore it cannot calculate the aggregate market value of its voting and non-voting common equity held by non-affiliates at such date. The registrant’s units began trading on the Nasdaq Capital Market on September 23, 2020 and the registrant’s Class A ordinary shares began separate trading on the Nasdaq on November 13, 2020. The aggregate market value of the registrant’s Class A ordinary shares outstanding, other than shares held by persons who may be deemed affiliates of the registrant, at December 31, 2020, computed by reference to the closing price for the Class A ordinary shares on such date, as reported on the Nasdaq, was $223,907,781.60.</w:t>
      </w:r>
    </w:p>
    <w:p>
      <w:pPr>
        <w:spacing w:after="0" w:line="7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As of March 29, 2021, there were 20,732,202 Class A ordinary shares, par value $0.0001, and 5,184,300 Class B ordinary shares, $0.0001 par value,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047"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40" w:type="dxa"/>
            <w:vAlign w:val="bottom"/>
            <w:gridSpan w:val="8"/>
          </w:tcPr>
          <w:p>
            <w:pPr>
              <w:ind w:left="4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0" w:type="dxa"/>
            <w:vAlign w:val="bottom"/>
            <w:vMerge w:val="restart"/>
          </w:tcPr>
          <w:p>
            <w:pPr>
              <w:spacing w:after="0"/>
              <w:rPr>
                <w:rFonts w:ascii="Arial" w:cs="Arial" w:eastAsia="Arial" w:hAnsi="Arial"/>
                <w:sz w:val="18"/>
                <w:szCs w:val="18"/>
                <w:b w:val="1"/>
                <w:bCs w:val="1"/>
                <w:color w:val="0000EE"/>
                <w:w w:val="94"/>
              </w:rPr>
            </w:pPr>
            <w:hyperlink w:anchor="page6">
              <w:r>
                <w:rPr>
                  <w:rFonts w:ascii="Arial" w:cs="Arial" w:eastAsia="Arial" w:hAnsi="Arial"/>
                  <w:sz w:val="18"/>
                  <w:szCs w:val="18"/>
                  <w:b w:val="1"/>
                  <w:bCs w:val="1"/>
                  <w:color w:val="0000EE"/>
                  <w:w w:val="94"/>
                </w:rPr>
                <w:t>PART I</w:t>
              </w:r>
            </w:hyperlink>
          </w:p>
        </w:tc>
        <w:tc>
          <w:tcPr>
            <w:tcW w:w="50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0"/>
        </w:trPr>
        <w:tc>
          <w:tcPr>
            <w:tcW w:w="580" w:type="dxa"/>
            <w:vAlign w:val="bottom"/>
            <w:tcBorders>
              <w:bottom w:val="single" w:sz="8" w:color="0000EE"/>
            </w:tcBorders>
            <w:vMerge w:val="continue"/>
          </w:tcPr>
          <w:p>
            <w:pPr>
              <w:spacing w:after="0"/>
              <w:rPr>
                <w:sz w:val="13"/>
                <w:szCs w:val="13"/>
                <w:color w:val="auto"/>
              </w:rPr>
            </w:pPr>
          </w:p>
        </w:tc>
        <w:tc>
          <w:tcPr>
            <w:tcW w:w="5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89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56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560" w:type="dxa"/>
            <w:vAlign w:val="bottom"/>
            <w:gridSpan w:val="20"/>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Unresolved Staff Comments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Properties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822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956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08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auto"/>
              </w:rPr>
              <w:t>Item 5.</w:t>
            </w:r>
          </w:p>
        </w:tc>
        <w:tc>
          <w:tcPr>
            <w:tcW w:w="440" w:type="dxa"/>
            <w:vAlign w:val="bottom"/>
            <w:gridSpan w:val="3"/>
          </w:tcPr>
          <w:p>
            <w:pPr>
              <w:spacing w:after="0"/>
              <w:rPr>
                <w:sz w:val="17"/>
                <w:szCs w:val="17"/>
                <w:color w:val="auto"/>
              </w:rPr>
            </w:pPr>
          </w:p>
        </w:tc>
        <w:tc>
          <w:tcPr>
            <w:tcW w:w="956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Market for Registrant’s Common Equity, Related Stockholder Matters and Issuer Purchases of Equity Securities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Selected Financial Data</w:t>
              </w:r>
            </w:hyperlink>
          </w:p>
        </w:tc>
        <w:tc>
          <w:tcPr>
            <w:tcW w:w="15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7">
              <w:r>
                <w:rPr>
                  <w:rFonts w:ascii="Arial" w:cs="Arial" w:eastAsia="Arial" w:hAnsi="Arial"/>
                  <w:sz w:val="18"/>
                  <w:szCs w:val="18"/>
                  <w:color w:val="0000EE"/>
                  <w:w w:val="90"/>
                </w:rPr>
                <w:t>Management’s Discussion and Analysis of Financial Condition and Results of Operations</w:t>
              </w:r>
            </w:hyperlink>
          </w:p>
        </w:tc>
        <w:tc>
          <w:tcPr>
            <w:tcW w:w="310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520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9560" w:type="dxa"/>
            <w:vAlign w:val="bottom"/>
            <w:gridSpan w:val="20"/>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Financial Statements and Supplementary Data</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Changes in and Disagreements with Accountants on Accounting and Financial Disclosure</w:t>
              </w:r>
            </w:hyperlink>
          </w:p>
        </w:tc>
        <w:tc>
          <w:tcPr>
            <w:tcW w:w="308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9560" w:type="dxa"/>
            <w:vAlign w:val="bottom"/>
            <w:gridSpan w:val="20"/>
          </w:tcPr>
          <w:p>
            <w:pPr>
              <w:spacing w:after="0" w:line="196" w:lineRule="exact"/>
              <w:rPr>
                <w:rFonts w:ascii="Arial" w:cs="Arial" w:eastAsia="Arial" w:hAnsi="Arial"/>
                <w:sz w:val="18"/>
                <w:szCs w:val="18"/>
                <w:color w:val="0000EE"/>
              </w:rPr>
            </w:pPr>
            <w:hyperlink w:anchor="page90">
              <w:r>
                <w:rPr>
                  <w:rFonts w:ascii="Arial" w:cs="Arial" w:eastAsia="Arial" w:hAnsi="Arial"/>
                  <w:sz w:val="18"/>
                  <w:szCs w:val="18"/>
                  <w:color w:val="0000EE"/>
                </w:rPr>
                <w:t>Controls and Procedures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7800" w:type="dxa"/>
            <w:vAlign w:val="bottom"/>
            <w:gridSpan w:val="1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04"/>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92">
              <w:r>
                <w:rPr>
                  <w:rFonts w:ascii="Arial" w:cs="Arial" w:eastAsia="Arial" w:hAnsi="Arial"/>
                  <w:sz w:val="18"/>
                  <w:szCs w:val="18"/>
                  <w:b w:val="1"/>
                  <w:bCs w:val="1"/>
                  <w:color w:val="0000EE"/>
                </w:rPr>
                <w:t>PART III</w:t>
              </w:r>
            </w:hyperlink>
          </w:p>
        </w:tc>
        <w:tc>
          <w:tcPr>
            <w:tcW w:w="3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10.</w:t>
            </w:r>
          </w:p>
        </w:tc>
        <w:tc>
          <w:tcPr>
            <w:tcW w:w="9560" w:type="dxa"/>
            <w:vAlign w:val="bottom"/>
            <w:gridSpan w:val="20"/>
          </w:tcPr>
          <w:p>
            <w:pPr>
              <w:spacing w:after="0" w:line="196" w:lineRule="exact"/>
              <w:rPr>
                <w:rFonts w:ascii="Arial" w:cs="Arial" w:eastAsia="Arial" w:hAnsi="Arial"/>
                <w:sz w:val="18"/>
                <w:szCs w:val="18"/>
                <w:color w:val="0000EE"/>
              </w:rPr>
            </w:pPr>
            <w:hyperlink w:anchor="page92">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9"/>
              </w:rPr>
            </w:pPr>
            <w:hyperlink w:anchor="page100">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4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560" w:type="dxa"/>
            <w:vAlign w:val="bottom"/>
            <w:gridSpan w:val="20"/>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Security Ownership of Certain Beneficial Owners and Management and Related Stockholder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101</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Certain Relationships and Related Transactions, and Director Independence</w:t>
              </w:r>
            </w:hyperlink>
          </w:p>
        </w:tc>
        <w:tc>
          <w:tcPr>
            <w:tcW w:w="2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104</w:t>
            </w: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05">
              <w:r>
                <w:rPr>
                  <w:rFonts w:ascii="Arial" w:cs="Arial" w:eastAsia="Arial" w:hAnsi="Arial"/>
                  <w:sz w:val="18"/>
                  <w:szCs w:val="18"/>
                  <w:color w:val="0000EE"/>
                </w:rPr>
                <w:t>Principal Accounting Fees and Services</w:t>
              </w:r>
            </w:hyperlink>
          </w:p>
        </w:tc>
        <w:tc>
          <w:tcPr>
            <w:tcW w:w="41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304"/>
        </w:trPr>
        <w:tc>
          <w:tcPr>
            <w:tcW w:w="720" w:type="dxa"/>
            <w:vAlign w:val="bottom"/>
            <w:tcBorders>
              <w:bottom w:val="single" w:sz="8" w:color="0000EE"/>
            </w:tcBorders>
            <w:gridSpan w:val="3"/>
          </w:tcPr>
          <w:p>
            <w:pPr>
              <w:spacing w:after="0"/>
              <w:rPr>
                <w:rFonts w:ascii="Arial" w:cs="Arial" w:eastAsia="Arial" w:hAnsi="Arial"/>
                <w:sz w:val="18"/>
                <w:szCs w:val="18"/>
                <w:b w:val="1"/>
                <w:bCs w:val="1"/>
                <w:color w:val="0000EE"/>
                <w:w w:val="98"/>
              </w:rPr>
            </w:pPr>
            <w:hyperlink w:anchor="page107">
              <w:r>
                <w:rPr>
                  <w:rFonts w:ascii="Arial" w:cs="Arial" w:eastAsia="Arial" w:hAnsi="Arial"/>
                  <w:sz w:val="18"/>
                  <w:szCs w:val="18"/>
                  <w:b w:val="1"/>
                  <w:bCs w:val="1"/>
                  <w:color w:val="0000EE"/>
                  <w:w w:val="98"/>
                </w:rPr>
                <w:t>PART IV</w:t>
              </w:r>
            </w:hyperlink>
          </w:p>
        </w:tc>
        <w:tc>
          <w:tcPr>
            <w:tcW w:w="36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gridSpan w:val="5"/>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07">
              <w:r>
                <w:rPr>
                  <w:rFonts w:ascii="Arial" w:cs="Arial" w:eastAsia="Arial" w:hAnsi="Arial"/>
                  <w:sz w:val="18"/>
                  <w:szCs w:val="18"/>
                  <w:color w:val="0000EE"/>
                  <w:w w:val="89"/>
                </w:rPr>
                <w:t>Exhibits, Financial Statement Schedules</w:t>
              </w:r>
            </w:hyperlink>
          </w:p>
        </w:tc>
        <w:tc>
          <w:tcPr>
            <w:tcW w:w="666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107</w:t>
            </w:r>
          </w:p>
        </w:tc>
        <w:tc>
          <w:tcPr>
            <w:tcW w:w="0" w:type="dxa"/>
            <w:vAlign w:val="bottom"/>
          </w:tcPr>
          <w:p>
            <w:pPr>
              <w:spacing w:after="0"/>
              <w:rPr>
                <w:sz w:val="1"/>
                <w:szCs w:val="1"/>
                <w:color w:val="auto"/>
              </w:rPr>
            </w:pPr>
          </w:p>
        </w:tc>
      </w:tr>
      <w:tr>
        <w:trPr>
          <w:trHeight w:val="385"/>
        </w:trPr>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40" w:type="dxa"/>
            <w:vAlign w:val="bottom"/>
            <w:gridSpan w:val="15"/>
          </w:tcPr>
          <w:p>
            <w:pPr>
              <w:ind w:left="43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References throughout this Amendment No. 1 to the Annual Report on Form 10-K to “we,” “us,” the “Company” or “our company” are to VPC Impact Acquisition Holdings, unless the context otherwise indicates.</w:t>
      </w:r>
    </w:p>
    <w:p>
      <w:pPr>
        <w:spacing w:after="0" w:line="170" w:lineRule="exact"/>
        <w:rPr>
          <w:sz w:val="20"/>
          <w:szCs w:val="20"/>
          <w:color w:val="auto"/>
        </w:rPr>
      </w:pPr>
    </w:p>
    <w:p>
      <w:pPr>
        <w:jc w:val="both"/>
        <w:ind w:left="120" w:right="660"/>
        <w:spacing w:after="0" w:line="263" w:lineRule="auto"/>
        <w:rPr>
          <w:sz w:val="20"/>
          <w:szCs w:val="20"/>
          <w:color w:val="auto"/>
        </w:rPr>
      </w:pPr>
      <w:r>
        <w:rPr>
          <w:rFonts w:ascii="Arial" w:cs="Arial" w:eastAsia="Arial" w:hAnsi="Arial"/>
          <w:sz w:val="18"/>
          <w:szCs w:val="18"/>
          <w:color w:val="auto"/>
        </w:rPr>
        <w:t>This Amendment No. 1 (“Amendment No. 1”) to the Annual Report on Form 10-K/A amends the Annual Report on Form 10-K of VPC Impact Acquisition Holdings, as of December 31, 2020 and for the period from July 31, 2020 (Inception) through December 31, 2020, as filed with the Securities and Exchange Commission (“SEC”) on March 31, 2021 (the “Original Filing”).</w:t>
      </w:r>
    </w:p>
    <w:p>
      <w:pPr>
        <w:spacing w:after="0" w:line="18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On April 12, 2021, the staff of the Securities and Exchange Commission (the “SEC Staff”) issued a public statement entitled “Staff Statement on Accounting and Reporting Considerations for Warrants issued by Special Purpose Acquisition Companies (“SPACs”)” (the “SEC Staff Statement”). In the SEC Staff Statement, the SEC Staff expressed its view that certain terms and conditions common to SPAC warrants may require the warrants to be classified as liabilities rather than equity on a SPAC’s balance sheet. Since their issuance on September 25, 2020 at the time of the Company’s initial public offering, our warrants have been accounted for as equity within our balance sheet, and after discussion and evaluation, we have concluded that our warrants should be presented as liabilities with subsequent fair value remeasurement.</w:t>
      </w:r>
    </w:p>
    <w:p>
      <w:pPr>
        <w:spacing w:after="0" w:line="17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Therefore, the Company, in consultation with its audit committee, concluded that its previously issued financial statements as of December 31, 2020 and for the period from July 31, 2020 (inception) through December 31, 2020 (the “Affected Period”) should be restated because of a misapplication in the guidance around accounting for certain of our outstanding warrants to purchase common stock and should no longer be relied upon.</w:t>
      </w:r>
    </w:p>
    <w:p>
      <w:pPr>
        <w:spacing w:after="0" w:line="14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Historically, our warrants to purchase common stock (the “Warrants”) were reflected as a component of equity as opposed to liabilities on the balance sheets and the statements of operations did not include the subsequent non-cash changes in estimated fair value of the Warrants, based on our application of Financial Accounting Standards Board (“FASB”) Accounting Standards Codification (“ASC”) Topic 815-40, </w:t>
      </w:r>
      <w:r>
        <w:rPr>
          <w:rFonts w:ascii="Arial" w:cs="Arial" w:eastAsia="Arial" w:hAnsi="Arial"/>
          <w:sz w:val="17"/>
          <w:szCs w:val="17"/>
          <w:i w:val="1"/>
          <w:iCs w:val="1"/>
          <w:color w:val="auto"/>
        </w:rPr>
        <w:t>Derivatives and Hedging,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w:t>
      </w:r>
      <w:r>
        <w:rPr>
          <w:rFonts w:ascii="Arial" w:cs="Arial" w:eastAsia="Arial" w:hAnsi="Arial"/>
          <w:sz w:val="17"/>
          <w:szCs w:val="17"/>
          <w:color w:val="auto"/>
        </w:rPr>
        <w:t>(“ASC 815-40). The views expressed in the SEC Staff Statement were not consistent with the Company’s historical interpretation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the specific provisions within its warrant agreement and the Company’s application of ASC 815-40 to the warrant agreement. We reassessed our accounting for Warrants issued on September 25, 2020, in light of the SEC Staff’s published views. Based on this reassessment, we determined that the Warrants should be classified as liabilities measured at fair value upon issuance, with subsequent changes in fair value reported in our Statement of Operations each reporting period.</w:t>
      </w:r>
    </w:p>
    <w:p>
      <w:pPr>
        <w:spacing w:after="0" w:line="178"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are filing this Amendment No. 1 to amend the disclosure in the Risk Factors under Item 1A, the Management’s Discussion and Analysis of Financial Condition and Results of Operation described in Item 7, Financial Statements and Supplementary Data described in Item 8 and Controls and Procedures described in Item 9A, in the Original Filing to give effect to the change in accounting for the Warrants.</w:t>
      </w:r>
    </w:p>
    <w:p>
      <w:pPr>
        <w:spacing w:after="0" w:line="184"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change in accounting for the Warrants did not have any impact on our liquidity, cash flows, revenues or costs of operating our business and the other non-cash adjustments to the Financial Statements, in the Affected Period or in any of the periods included in Item 8, Financial Statements and Supplementary Data in this filing. The change in accounting for the Warrants does not impact the amounts previously reported for the Company’s cash and cash equivalents, investments held in trust account, operating expenses or total cash flows from operations for the Affected Period.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accordance with Rule 12b-15 under the Securities Exchange Act of 1934, as amended (the “Exchange Act”), Item 1A, Risk Factors, is hereby amended to add additional risk factors, and Item 7, Management’s Discussion and Analysis of Financial Condition and Results of Operation, Item 8, Financial Statements and Supplementary Data, and Item 9A, Controls and Procedures of the Original Filing are hereby amended and restated in their entirety. This Amendment No. 1 should be read in conjunction with the Original Filing and with our other filings with the SEC subsequent to the Original Filing.</w:t>
      </w:r>
    </w:p>
    <w:p>
      <w:pPr>
        <w:spacing w:after="0" w:line="18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This Amendment No. 1 does not reflect events occurring after the filing of the Original Filing, and, except as described above, does not modify or update any other disclosures in the Original Filing.</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the Company’s Chief Executive Officer and Chief Financial Officer have provided new certifications dated as of the date of this filing in connection with this Form 10K/A (Exhibits 31.1, 31.2, 32.1 and 32.2).</w:t>
      </w:r>
    </w:p>
    <w:p>
      <w:pPr>
        <w:spacing w:after="0" w:line="1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9" w:right="7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Certain statements in this annual report on Form 10-K (this “Form 10-K”)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 “may,” “might,” “plan,” “possible,” “potential,” “predict,” “project,” “should,” “would” and similar expressions may identify forward-looking statements, but the absence of these words does not mean that a statement is not forward-looking. Forward-looking statements in this Form 10-K may include, for example, statements about:</w:t>
      </w:r>
    </w:p>
    <w:p>
      <w:pPr>
        <w:spacing w:after="0" w:line="83"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complete our initial business combination with Bakkt Holdings, LLC, or any other initial business combination;</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 or businesses;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success in retaining or recruiting, or changes required in, our officers, key employees or directors following our initial business combination;</w:t>
      </w:r>
    </w:p>
    <w:p>
      <w:pPr>
        <w:spacing w:after="0" w:line="153" w:lineRule="exact"/>
        <w:rPr>
          <w:rFonts w:ascii="Arial" w:cs="Arial" w:eastAsia="Arial" w:hAnsi="Arial"/>
          <w:sz w:val="16"/>
          <w:szCs w:val="16"/>
          <w:color w:val="auto"/>
        </w:rPr>
      </w:pPr>
    </w:p>
    <w:p>
      <w:pPr>
        <w:ind w:left="540" w:right="2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75" w:lineRule="exact"/>
        <w:rPr>
          <w:rFonts w:ascii="Arial" w:cs="Arial" w:eastAsia="Arial" w:hAnsi="Arial"/>
          <w:sz w:val="18"/>
          <w:szCs w:val="18"/>
          <w:color w:val="auto"/>
        </w:rPr>
      </w:pPr>
    </w:p>
    <w:p>
      <w:pPr>
        <w:ind w:left="540" w:right="260" w:hanging="316"/>
        <w:spacing w:after="0" w:line="277"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 including the PIPE Investment (as such term is defined below);</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30" w:lineRule="exact"/>
        <w:rPr>
          <w:rFonts w:ascii="Arial" w:cs="Arial" w:eastAsia="Arial" w:hAnsi="Arial"/>
          <w:sz w:val="18"/>
          <w:szCs w:val="18"/>
          <w:color w:val="auto"/>
        </w:rPr>
      </w:pPr>
    </w:p>
    <w:p>
      <w:pPr>
        <w:ind w:left="540" w:right="460" w:hanging="316"/>
        <w:spacing w:after="0" w:line="342" w:lineRule="auto"/>
        <w:tabs>
          <w:tab w:leader="none" w:pos="5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adverse impacts of the COVID-19 outbreak and other events (such as terrorist attacks, natural disasters or a significant outbreak of other infectious diseases) on our ability to consummate an initial business combination or on the restaurant and hospitality related sectors;</w:t>
      </w:r>
    </w:p>
    <w:p>
      <w:pPr>
        <w:spacing w:after="0" w:line="29" w:lineRule="exact"/>
        <w:rPr>
          <w:rFonts w:ascii="Arial" w:cs="Arial" w:eastAsia="Arial" w:hAnsi="Arial"/>
          <w:sz w:val="16"/>
          <w:szCs w:val="16"/>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acquisition opportunities;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forward-looking statements contained in this Form 10-K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section of this Form 10-K entitled “Risk Factors” including in our proxy statement/prospectus to be included in a Registration Statement on Form S-4 that we will file with the SEC relating to our proposed business combination with Bakkt Holdings, LLC (the “Bakkt Disclosure Statement”).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i w:val="1"/>
          <w:iCs w:val="1"/>
          <w:color w:val="auto"/>
        </w:rPr>
        <w:t>References in this report to “we,” “us” or the “Company” refer to VPC Impact Acquisition Holdings. References to our “management” or our “management team” refer to our officers and directors, and references to the “Sponsor” refer to VPC Impact Acquisition Holdings Sponsor, LLC.</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Company’s sponsor is affiliated with Victory Park Capital Advisors, LLC (“VPC”), a registered investment advisor with the SEC founded in 2007. VPC’s institutional investor base is diversified geographically and includes sovereign wealth funds, insurance companies, financial institutions, foundations, endowments and family offices for which it has invested approximately $6.0 billion in over 115 transactions across North America, Europe, Latin America, Africa, Southeast Asia and Oceania. As part of those investments, VPC has provided financing to financial technology or financial services (collectively “Fintech”) businesses backed by some of the world’s leading venture capital firms and has a long track record of executing debt and equity financing transactions with some of the largest global Fintech companies, including with Square (U.S. NYSE:SQ), iZettle (Sweden, acquired by PayPal in 2018), Zip Co (Australia ASX:Z1P), Funding Circle (UK LSE:FCH), Kabbage (US), Dave (US), Avant (US), Fundbox (US), Konfio (Mexico), and WeFox (Germany). VPC’s investments have enabled portfolio companies to scale quickly and capture leading market positions. These representative transactions demonstrate VPC’s ability to identify early-stage Fintech companies with strong long-term growth prospects. VPC’s Fintech investment history and robust network of industry relationships furnish the firm with a detailed understanding of the long-term capital needs of the highest growth Fintech businesses globally.</w:t>
      </w:r>
    </w:p>
    <w:p>
      <w:pPr>
        <w:spacing w:after="0" w:line="18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September 25, 2020 we consummated a $200,000,000 initial public offering (the “Public Offering”) consisting of $10.00 per unit (“Unit”). Each Unit consists of one Class A ordinary shares, $0.0001 par value (the “Class A ordinary shares”) and one-half of one redeemable warrant (each, a “Public Warrant”). Each whole Public Warrant entitles the holder to purchase one Class A common share at a price of $11.50 per share. Simultaneously, with the closing of the Public Offering, the Company consummated a $6,000,000 private placement (the “Private Placement”) of an aggregate of 6,000,000 warrants (“Sponsor Warrants”) at a price of $1.00 per warrant. The Sponsor Warrants are identical to the Public Warrants sold as part of the Units in the Public Offering except that, so long as they are held by the Sponsor or its permitted transferees, (i) they are not redeemable by us, (ii) they (including the Class A ordinary shares issuable upon exercise of these warrants) may not, subject to certain limited exceptions, be transferred, assigned or sold by the Sponsor until 30 days after the completion of the Company’s initial Business Combination and (iii) they may be exercised by the holders on a cashless basis.</w:t>
      </w:r>
    </w:p>
    <w:p>
      <w:pPr>
        <w:spacing w:after="0" w:line="181"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Prior to the Public Offering, 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7"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Upon the closing of the Public Offering and Private Placement, $200,000,000 from the net proceeds of the sale of the Units in the Public Offering and the Private Placement (including $7,000,000 of deferred underwriting commissions) was placed in a U.S.-based trust account maintained by Continental Stock Transfer &amp; Trust Company, acting as trustee (the “Trust Account”). The Company’s second amended and restated certificate of memorandum and articles of association provide that, other than the withdrawal of interest to pay tax obligations, none of the funds held in the Trust Account will be released until the earliest of: (i) the completion of the Business Combination; (ii) the redemption of any Class A ordinary shares included in the Units being sold in the Public Offering (“Public Shares”) properly submitted in connection with a shareholder vote to amend the Company’s amended and restated memorandum and articles of association to modify the substance or timing of the Company’s obligation to redeem 100% of the Public Shares if the Company does not complete the Business Combination by September 25, 2022 (within 24 months from the closing of the Public Offering); or</w:t>
      </w:r>
    </w:p>
    <w:p>
      <w:pPr>
        <w:spacing w:after="0" w:line="1" w:lineRule="exact"/>
        <w:rPr>
          <w:sz w:val="20"/>
          <w:szCs w:val="20"/>
          <w:color w:val="auto"/>
        </w:rPr>
      </w:pPr>
    </w:p>
    <w:p>
      <w:pPr>
        <w:ind w:left="120" w:right="20" w:hanging="4"/>
        <w:spacing w:after="0" w:line="252" w:lineRule="auto"/>
        <w:tabs>
          <w:tab w:leader="none" w:pos="4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redemption of the Public Shares if the Company is unable to complete the Business Combination by September 25, 2022, subject to applicable law. The proceeds held in the Trust Account can only be invested in permitted United States “government securities” within the meaning of Section 2(a) (16)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of December 31, 2020, we had a balance in cash and investments held in trust of $207,376,213. As of December 31, 2020, no funds had been withdrawn from the Trust Account.</w:t>
      </w:r>
    </w:p>
    <w:p>
      <w:pPr>
        <w:spacing w:after="0" w:line="19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remaining $6,000,000 held outside of trust was used to pay underwriting commissions of $4,000,000 loans to the Sponsor, and deferred offering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formation costs. On September 29, 2020, the underwriters notified the Company of their intention to partially exercise their over-allotment option 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As such, on October 1, 2020, the Company consummated the sale of an additional 737,202 Units, at $10.00 per Unit, and the sale of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additional 147,440 Sponsor Warrants, at $1.00 per Private Warrant, generating total gross proceeds of $7,519,460. Transaction costs amounted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$405,461, consisting of underwriting fees (including $258,021 of deferred fees). A total of $7,372,020 of the net proceeds was deposited into the Trust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 bringing the aggregate proceeds held in the Trust Account to $207,372,020.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Proposed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560" w:right="200" w:hanging="4"/>
        <w:spacing w:after="0" w:line="311" w:lineRule="auto"/>
        <w:tabs>
          <w:tab w:leader="none" w:pos="7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560" w:right="560" w:hanging="4"/>
        <w:spacing w:after="0" w:line="308" w:lineRule="auto"/>
        <w:tabs>
          <w:tab w:leader="none" w:pos="825" w:val="left"/>
        </w:tabs>
        <w:numPr>
          <w:ilvl w:val="0"/>
          <w:numId w:val="5"/>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60" w:hanging="4"/>
        <w:spacing w:after="0" w:line="263" w:lineRule="auto"/>
        <w:tabs>
          <w:tab w:leader="none" w:pos="8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 and be renamed “Bakkt Holdings, Inc.”</w:t>
      </w:r>
    </w:p>
    <w:p>
      <w:pPr>
        <w:spacing w:after="0" w:line="18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For more information about the Merger Agreement and the proposed business combination, see our Current Report on Form 8-K filed with the SEC on January 11, 2021 (File No. 001-39544) and the Bakkt Disclosure Statement that we will file with the SEC. Unless specifically stated, this Annual Report does not give effect to the Proposed Transaction and does not contain the risks associated with the Proposed</w:t>
      </w:r>
    </w:p>
    <w:p>
      <w:pPr>
        <w:ind w:left="120"/>
        <w:spacing w:after="0"/>
        <w:rPr>
          <w:sz w:val="20"/>
          <w:szCs w:val="20"/>
          <w:color w:val="auto"/>
        </w:rPr>
      </w:pPr>
      <w:r>
        <w:rPr>
          <w:rFonts w:ascii="Arial" w:cs="Arial" w:eastAsia="Arial" w:hAnsi="Arial"/>
          <w:sz w:val="18"/>
          <w:szCs w:val="18"/>
          <w:color w:val="auto"/>
        </w:rPr>
        <w:t>Transaction. Such risks and effects relating to the Proposed Transaction will be included in the Bakkt Disclosure Statement.</w:t>
      </w:r>
    </w:p>
    <w:p>
      <w:pPr>
        <w:spacing w:after="0" w:line="211"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As a result, our sponsor, officers and directors could have conflicts of interest in determining whether to present business combination opportunities to us or to any other special purpose acquisition company with which they may become involved. In particular, certain of our officers and directors are actively engaged in VPC Acquisition Holdings II (“VPC II”) and VPC Acquisition Holdings III, Inc. (“VPC III”), both special purpose acquisition companies that each completed their initial public offering on March 9, 2021, respectively,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w:t>
      </w:r>
    </w:p>
    <w:p>
      <w:pPr>
        <w:spacing w:after="0" w:line="1" w:lineRule="exact"/>
        <w:rPr>
          <w:sz w:val="20"/>
          <w:szCs w:val="20"/>
          <w:color w:val="auto"/>
        </w:rPr>
      </w:pPr>
    </w:p>
    <w:p>
      <w:pPr>
        <w:ind w:left="120" w:right="560" w:hanging="4"/>
        <w:spacing w:after="0" w:line="260" w:lineRule="auto"/>
        <w:tabs>
          <w:tab w:leader="none" w:pos="28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VPC III, may present additional conflicts of interest in pursuing an initial business combination. However, we do not believe that any such potential conflicts would materially affect our ability to complete our initial business combination.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are not presently engaged in, and we will not engage in, any operations for an indefinite period of time. We intend to effectuate our initial business combination, including the Proposed Transaction, using cash held in the trust account, the proceeds of the sale of our shares in connection with our initial business combination (including pursuant to forward purchase agreements or backstop agreements we may enter into), shares issued to the owners of the target, debt issued to bank or other lenders or the owners of the target, or a combination of the foregoing.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78" w:lineRule="exact"/>
        <w:rPr>
          <w:sz w:val="20"/>
          <w:szCs w:val="20"/>
          <w:color w:val="auto"/>
        </w:rPr>
      </w:pPr>
    </w:p>
    <w:p>
      <w:pPr>
        <w:jc w:val="both"/>
        <w:ind w:left="120" w:right="160"/>
        <w:spacing w:after="0" w:line="275" w:lineRule="auto"/>
        <w:rPr>
          <w:sz w:val="20"/>
          <w:szCs w:val="20"/>
          <w:color w:val="auto"/>
        </w:rPr>
      </w:pPr>
      <w:r>
        <w:rPr>
          <w:rFonts w:ascii="Arial" w:cs="Arial" w:eastAsia="Arial" w:hAnsi="Arial"/>
          <w:sz w:val="17"/>
          <w:szCs w:val="17"/>
          <w:color w:val="auto"/>
        </w:rPr>
        <w:t>If our initial business combination, including the Proposed Transaction,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Selection of a target business and structuring of our initial business combination</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While we may pursue an initial business combination target in any industry or sector, we intend to focus on high-growth businesses in the Fintech industry with an enterprise value of approximately $800 million to $2.0 billion. Our amended and restated memorandum and articles of association (our “amended and restated memorandum and articles of association”) prohibits us from effectuating a business combination with another blank check company or similar company with nominal operations.</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The rules of Nasdaq require that we must consummate an initial business combination with one or more operating businesses or assets with a fair market value equal to at least 80% of the value of the assets held in the trust account (excluding the deferred underwriting commissions and taxes payable on the interest earned on the trust account) at the time of our signing a definitive agreement, including the Merger Agreement, in connection with our initial business combination. Our board of directors will make the determination as to the fair market value of our initial business combination and has made such determination in connection with Proposed Transaction. If our board of directors is not able to independently determine the fair market value of our initial business combination (including with the assistance of financial advisors), we will obtain an opinion from an independent investment banking firm which is a member of FINRA or a valuation or appraisal firm with respect to the satisfaction of such criteria. While we consider it likely that our board of directors will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the target’s assets or prospects. In addition, pursuant to Nasdaq rules, any intial business combination must be approved by a majority of our independent directors.</w:t>
      </w:r>
    </w:p>
    <w:p>
      <w:pPr>
        <w:spacing w:after="0" w:line="18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as is the case with the Proposed Transaction. We may, however, structure our initial business combination such that the post-transaction company owns or acquires less than 100% of such interests or assets of the target business in order to meet certain objectives of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40"/>
          </w:cols>
          <w:pgMar w:left="32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or acquires 50% or more of the voting securities of the target, our shareholders prior to the business combination may collectively own a minority interest in the post-transaction company, as is expected if the Proposed Transaction is consummated, depending on valuations ascribed to the target and us in the business combination transaction. For example, we could pursue a transaction in which we issue a substantial number of new shares in exchange for all of the outstanding capital stock, shares or other equity interests of a target, as we have agreed to do pursuant to the Merger Agreement.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as is expected if the Proposed Transaction is consummated. If less than 100% of the equity interests or assets of a target business or businesses are owned or acquired by the post-transaction company, the portion of such business or businesses that is owned or acquired is what will be taken into account for purposes of the 80% of net assets test described above. If the business combination involves more than one target business, the 80% of net assets test will be based on the aggregate value of all of the target businesses.</w:t>
      </w:r>
    </w:p>
    <w:p>
      <w:pPr>
        <w:spacing w:after="0" w:line="16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evaluating prospective business combinations, we expect to conduct a due diligence review process that will encompass, among other things, a review of historical and projected financial and operating data, meetings with management and their advisors (if applicable), on-site inspection of facilities and assets, discussion with customers and suppliers, legal reviews and other reviews as we deem appropriate. We conducted such a review process in connection with the Proposed Transaction.</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total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8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the Sponsor or our officers or directors. In the event we seek to complete our initial business combination with a company that is affiliated with the Sponsor, our officers or directors, we, or a committee of independent directors, will obtain an opinion from an independent investment banking firm that is a member of FINRA or an independent accounting firm that our initial business combination is fair to our company from a financial point of view. We do not anticipate needing to obtain such an opinion in connection with the Proposed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rights for holders of public shares upon consummation of the initial business combination</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including the Proposed Transaction at a per-share price, payable in cash, equal to the aggregate amount then on deposit in the trust account as of two business days prior to the consummation of the initial business combination including interest earned on the funds held in the trust account and not previously released to us to pay our franchise and income taxes, divided by the number of then outstanding public shares, subject to the limitations described herein. The amount in the trust account is approximately $10.00 per public share as of December 31, 2020. The per-share amount we will distribute to investors who properly redeem their shares will not be reduced by the deferred underwriting commissions we will pay to the underwriters. The Sponsor, our officers and directors have entered into a letter agreement with us, pursuant to which they have agreed to waive their redemption rights with respect to any founder shares and Class A ordinary shares underlying the private placement warrants (the “private placement shares”) and any public shares held by them in connection with the completion of our initial business combination, including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Conduct of redemptions pursuant to tender offer rules</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If we conduct redemptions pursuant to the tender offer rules of the U.S. Securities and Exchange Commission (the “SEC”), we will, pursuant to our amended and restated memorandum and articles of association: (a) conduct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 redemptions pursuant to Rule 13e-4 and Regulation 14E of the Exchange Act, which regulate issuer tender offers; and (b) 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 We do not currently plan to conduct redemptions for the Proposed Transaction pursuant to tender offer rules.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Submission of our initial business combination to a shareholder vote</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as we expect to do in connection with the Proposed Transaction, we will distribute proxy materials and, in connection therewith, provide our public shareholders with the redemption rights described above upon completion of the business combination.</w:t>
      </w:r>
    </w:p>
    <w:p>
      <w:pPr>
        <w:spacing w:after="0" w:line="184"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If we seek shareholder approval, as we expect to do in connection with the Proposed Transaction, we will complete our initial business combination only if a majority of the outstanding ordinary shares are voted in favor of such transaction. In such case, our initial shareholders have agreed to vote their founder shares, private placement shares and any public shares purchased during or after the initial public offering, in favor of our initial business combination. Each public shareholder may elect to redeem its public shares irrespective of whether they vote for or against such initial business combination, including the Proposed Transation transaction. In addition, our initial shareholders have agreed to waive their redemption rights with respect to their founder shares, private placement shares and any public shares they may hold in connection with the consummation of the initial business combination.</w:t>
      </w:r>
    </w:p>
    <w:p>
      <w:pPr>
        <w:spacing w:after="0" w:line="195" w:lineRule="exact"/>
        <w:rPr>
          <w:sz w:val="20"/>
          <w:szCs w:val="20"/>
          <w:color w:val="auto"/>
        </w:rPr>
      </w:pPr>
    </w:p>
    <w:p>
      <w:pPr>
        <w:ind w:left="120" w:right="120"/>
        <w:spacing w:after="0" w:line="285"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public shares or public warrants or a combination thereof in privately negotiated transactions or in the open market either prior to or following the completion of our initial business combination, although they are under no obligation to do so. There is no limit on the number of our securities our initial shareholders, directors, officers, advisors or their affiliates may purchase in such transactions, subject to compliance with applicable law and Nasdaq rules. Any such price per share may be different than the amount per share a public shareholder would receive if it elected to redeem its shares in connection with our initial business combination. Additionally, at any time at or prior to our initial business combination, subject to applicable securities laws (including with respect to material non-public information), our initial shareholders, directors, officers, advisors or their affiliates may enter into transactions with investors and others to provide them with incentives to acquire public shares, vote their public shares in favor of our initial business combination or not redeem their public shares. However, they have no current commitments, plans or intentions to engage in such transactions and have not formulated any terms or conditions for any such transactions. None of the funds held in the trust account will be used to purchase shares or public warrants in such transactions. If they engage in any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be required to comply with such rules. We expect any such purchases will be reported pursuant to Section 13 and Section 16 of the Exchange Act to the extent such purchasers are subject to such reporting requirements. Our Sponsor, directors, officers, advisors or any of their affiliates will not make any purchases if the purchases would violate Section 9(a)(2) or Rule 10b-5 of the Exchange Act.</w:t>
      </w:r>
    </w:p>
    <w:p>
      <w:pPr>
        <w:spacing w:after="0" w:line="169" w:lineRule="exact"/>
        <w:rPr>
          <w:sz w:val="20"/>
          <w:szCs w:val="20"/>
          <w:color w:val="auto"/>
        </w:rPr>
      </w:pPr>
    </w:p>
    <w:p>
      <w:pPr>
        <w:jc w:val="both"/>
        <w:ind w:left="120" w:right="820"/>
        <w:spacing w:after="0" w:line="263" w:lineRule="auto"/>
        <w:rPr>
          <w:sz w:val="20"/>
          <w:szCs w:val="20"/>
          <w:color w:val="auto"/>
        </w:rPr>
      </w:pPr>
      <w:r>
        <w:rPr>
          <w:rFonts w:ascii="Arial" w:cs="Arial" w:eastAsia="Arial" w:hAnsi="Arial"/>
          <w:sz w:val="18"/>
          <w:szCs w:val="18"/>
          <w:color w:val="auto"/>
        </w:rPr>
        <w:t>The purpose of any such purchases of shares could be to vote such shares in favor of the initial business combination, including the Proposed Transaction, and thereby increase the likelihood of obtaining shareholder approval of the initial business combination, including the Proposed Transaction or to satisfy a closing condition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 an agreement with a target that requires us to have a minimum net worth or a certain amount of cash at the closing of our initial business combination, including the Proposed Transaction,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including the Proposed Transaction. Any such purchases of our securities may result in the completion of our initial business combination, including the Proposed Transaction,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Redemption upon Completion of our Initial Business Combination if we Seek Shareholder Approval</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Notwithstanding the foregoing, 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our initial public offering, which we refer to as the “Excess Shares.” Such restriction shall also be applicable to our affiliates. We believe this restriction will discourage shareholders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shareholder holding more than an aggregate of 15% of the shares sold in our initial public offering could threaten to exercise its redemption rights if such holder’s shares are not purchased by us or our management at a premium to the then-current market price or on other undesirable terms. By limiting our shareholders’ ability to redeem no more than 15% of the shares sold in our initial public offering without our prior consent, we believe we will limit the ability of a small group of shareholders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shareholders’ ability to vote all of their shares (including Excess Shares) for or against our initial business combination.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Redemption of Public Shares and Liquidation if no Initial Business Combination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amended and restated memorandum and articles of association provides that we will have until twenty-four (24) months from the closing of our initial public offering, or September 25, 2022, to complete our initial business combination. If we are unable to complete our initial business combination by September 25,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(net of permitted withdrawals and up to $100,000 of interest to pay dissolution expenses), divided by the number of then outstanding public shares, which redemption will completely extinguish public shareholders’ rights as shareholders (including the right to receive further liquidating distributions, if any),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There will be no redemption rights or liquidating distributions with respect to our warrants, which will expire worthless if we fail to complete our initial business combination by September 25, 2022.</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business combinations. Many of these entities are well established and have extensive experience identifying and effecting business combinations directly or through affiliates. Moreover, many of these competitors possess greater financial, technical, human and other resources than we do. Our ability to acquire larger target businesses will be limited by our available financial resources. This inherent limitation gives others an advantage in pursuing the initial business combination of a target business. Furthermore, our obligation to pay cash in connection with our public shareholders who exercise their redemption rights may reduce the resources available to us for our initial business combination, including the Proposed Transaction,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currently have three officers: John Martin, Gordon Watson and Olibia Stamatoglou. 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as is currently the case, and the stage of the initial business combination process we are in. We do not intend to have any full-time employees prior to the completion of our initial business combination.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required to file Annual Reports on Form 10-K and Quarterly Reports on Form 10-Q with the SEC on a regular basis, and are required to disclose certain material events in a Current Report on Form 8-K. The SEC maintains an Internet website that contains reports, proxy and information statements and other information regarding issuers that file electronically with the SEC. The SEC’s Internet website is located at www.sec.gov. In addition, the Company will provide copies of these documents without charge upon request from us in writing at 150 North Riverside Plaza, Suite 5200, Chicago, IL or by telephone at (312) 701-1777.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160"/>
        <w:spacing w:after="0" w:line="273" w:lineRule="auto"/>
        <w:rPr>
          <w:sz w:val="20"/>
          <w:szCs w:val="20"/>
          <w:color w:val="auto"/>
        </w:rPr>
      </w:pPr>
      <w:r>
        <w:rPr>
          <w:rFonts w:ascii="Arial" w:cs="Arial" w:eastAsia="Arial" w:hAnsi="Arial"/>
          <w:sz w:val="17"/>
          <w:szCs w:val="17"/>
          <w:i w:val="1"/>
          <w:iCs w:val="1"/>
          <w:color w:val="auto"/>
        </w:rPr>
        <w:t>An investment in our securities involves a high degree of risk. You should consider carefully all of the risks described below, together with the other information contained in this Form 10-K, before making a decision to invest in our securities. If any of the following events occur, our business, financial condition and operating results may be materially adversely affected. In that event, the trading price of our securities could decline, and you could lose all or part of your investment. When available, the preliminary proxy statement/prospectus included in the registration statement and the amendments thereto and the definitive proxy statement/prospectus and other documents filed or to be filed by the Company in connection with the Proposed Transaction, will contain risk factors related to Bakkt, VIH and the Proposed Transaction.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 Summary</w:t>
      </w:r>
    </w:p>
    <w:p>
      <w:pPr>
        <w:spacing w:after="0" w:line="135" w:lineRule="exact"/>
        <w:rPr>
          <w:sz w:val="20"/>
          <w:szCs w:val="20"/>
          <w:color w:val="auto"/>
        </w:rPr>
      </w:pPr>
    </w:p>
    <w:p>
      <w:pPr>
        <w:ind w:left="1080" w:right="4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a blank check company with no operating history and no revenues, and you have no basis on which to evaluate our ability to achieve our business objective.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86"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shareholders may not be afforded an opportunity to vote on our proposed initial business combination, and even if we hold a vote, holders of our founder shares will participate in such vote, which means we may complete our initial business combination, including the Proposed Transaction, even though a majority of our public shareholders do not support such a combination.</w:t>
      </w:r>
    </w:p>
    <w:p>
      <w:pPr>
        <w:spacing w:after="0" w:line="70"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Your only opportunity to affect the investment decision regarding a potential business combination, including the Proposed Transsaction, may be limited to the exercise of your right to redeem your shares from us for cash.</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public shareholders to exercise redemption rights with respect to a large number of our shares may not allow us to complete the most desirable business combination or optimize our capital structure.</w:t>
      </w:r>
    </w:p>
    <w:p>
      <w:pPr>
        <w:spacing w:after="0" w:line="75" w:lineRule="exact"/>
        <w:rPr>
          <w:rFonts w:ascii="Arial" w:cs="Arial" w:eastAsia="Arial" w:hAnsi="Arial"/>
          <w:sz w:val="18"/>
          <w:szCs w:val="18"/>
          <w:color w:val="auto"/>
        </w:rPr>
      </w:pPr>
    </w:p>
    <w:p>
      <w:pPr>
        <w:ind w:left="1080" w:right="16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92"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search for a business combination, and any target business with which we ultimately consummate a business combination, including Bakkt, may be materially adversely affected by the coronavirus (COVID-19) outbreak and the status of debt and equity markets.</w:t>
      </w:r>
    </w:p>
    <w:p>
      <w:pPr>
        <w:spacing w:after="0" w:line="29" w:lineRule="exact"/>
        <w:rPr>
          <w:rFonts w:ascii="Arial" w:cs="Arial" w:eastAsia="Arial" w:hAnsi="Arial"/>
          <w:sz w:val="16"/>
          <w:szCs w:val="16"/>
          <w:color w:val="auto"/>
        </w:rPr>
      </w:pPr>
    </w:p>
    <w:p>
      <w:pPr>
        <w:ind w:left="1080" w:right="34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seek shareholder approval of our initial business combination, as we expect to do in connection with the Proposed Transaction, our sponsor, initial shareholders, directors, executive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92" w:lineRule="exact"/>
        <w:rPr>
          <w:rFonts w:ascii="Arial" w:cs="Arial" w:eastAsia="Arial" w:hAnsi="Arial"/>
          <w:sz w:val="18"/>
          <w:szCs w:val="18"/>
          <w:color w:val="auto"/>
        </w:rPr>
      </w:pPr>
    </w:p>
    <w:p>
      <w:pPr>
        <w:ind w:left="1080" w:right="3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a shareholder fails to receive notice of our offer to redeem our public shares in connection with our initial business combination, including the Proposed Transaction, or fails to comply with the procedures for tendering its shares, such shares may not be redeemed.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not be entitled to protections normally afforded to investors of many other blank check companies.</w:t>
      </w:r>
    </w:p>
    <w:p>
      <w:pPr>
        <w:spacing w:after="0" w:line="130" w:lineRule="exact"/>
        <w:rPr>
          <w:rFonts w:ascii="Arial" w:cs="Arial" w:eastAsia="Arial" w:hAnsi="Arial"/>
          <w:sz w:val="18"/>
          <w:szCs w:val="18"/>
          <w:color w:val="auto"/>
        </w:rPr>
      </w:pPr>
    </w:p>
    <w:p>
      <w:pPr>
        <w:ind w:left="1080" w:right="40" w:hanging="424"/>
        <w:spacing w:after="0" w:line="279" w:lineRule="auto"/>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76" w:lineRule="exact"/>
        <w:rPr>
          <w:rFonts w:ascii="Arial" w:cs="Arial" w:eastAsia="Arial" w:hAnsi="Arial"/>
          <w:sz w:val="17"/>
          <w:szCs w:val="17"/>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net proceeds of the initial public offering not being held in the trust account are insufficient to allow us to operate for at least until September 25, 2022, it could limit the amount available to fund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100" w:right="340"/>
        <w:spacing w:after="0" w:line="263" w:lineRule="auto"/>
        <w:rPr>
          <w:sz w:val="20"/>
          <w:szCs w:val="20"/>
          <w:color w:val="auto"/>
        </w:rPr>
      </w:pPr>
      <w:r>
        <w:rPr>
          <w:rFonts w:ascii="Arial" w:cs="Arial" w:eastAsia="Arial" w:hAnsi="Arial"/>
          <w:sz w:val="18"/>
          <w:szCs w:val="18"/>
          <w:color w:val="auto"/>
        </w:rPr>
        <w:t>search for a target business or businesses and complete the Proposed Transaction or another initial business combination, and we will depend on loans from our sponsor or management team to fund our search and to complete the Proposed Transaction or another initial business combination.</w:t>
      </w:r>
    </w:p>
    <w:p>
      <w:pPr>
        <w:spacing w:after="0" w:line="8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Past performance by our management team and their affiliates may not be indicative of future performance of an investment in us.</w:t>
      </w:r>
    </w:p>
    <w:p>
      <w:pPr>
        <w:spacing w:after="0" w:line="142" w:lineRule="exact"/>
        <w:rPr>
          <w:rFonts w:ascii="Arial" w:cs="Arial" w:eastAsia="Arial" w:hAnsi="Arial"/>
          <w:sz w:val="17"/>
          <w:szCs w:val="17"/>
          <w:color w:val="auto"/>
        </w:rPr>
      </w:pPr>
    </w:p>
    <w:p>
      <w:pPr>
        <w:ind w:left="1080" w:right="5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Nasdaq may delist our securities from trading on its exchange, which could limit investors’ ability to make transactions in our securities and subject us to additional trading restrictions.</w:t>
      </w:r>
    </w:p>
    <w:p>
      <w:pPr>
        <w:spacing w:after="0" w:line="75"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Search for, Consummation of, or Inability to Consummate, a Business Combination</w:t>
      </w:r>
    </w:p>
    <w:p>
      <w:pPr>
        <w:spacing w:after="0" w:line="117" w:lineRule="exact"/>
        <w:rPr>
          <w:sz w:val="20"/>
          <w:szCs w:val="20"/>
          <w:color w:val="auto"/>
        </w:rPr>
      </w:pPr>
    </w:p>
    <w:p>
      <w:pPr>
        <w:ind w:left="120" w:right="140"/>
        <w:spacing w:after="0" w:line="266" w:lineRule="auto"/>
        <w:rPr>
          <w:sz w:val="20"/>
          <w:szCs w:val="20"/>
          <w:color w:val="auto"/>
        </w:rPr>
      </w:pPr>
      <w:r>
        <w:rPr>
          <w:rFonts w:ascii="Arial" w:cs="Arial" w:eastAsia="Arial" w:hAnsi="Arial"/>
          <w:sz w:val="18"/>
          <w:szCs w:val="18"/>
          <w:b w:val="1"/>
          <w:bCs w:val="1"/>
          <w:color w:val="auto"/>
        </w:rPr>
        <w:t>Our public shareholders may not be afforded an opportunity to vote on our proposed initial business combination, and even if we hold a vote, holders of our founder shares will participate in such vote, which means we may complete our initial business combination even though a majority of our public shareholders do not support such a combination.</w:t>
      </w:r>
    </w:p>
    <w:p>
      <w:pPr>
        <w:spacing w:after="0" w:line="7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may choose not to hold a shareholder vote to approve our initial business combination unless the business combination would require shareholder approval under applicable law or stock exchange listing requirements. In such case,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Even if we seek shareholder approval, as we currently expect to do in connection with the Proposed Transaction, the holders of our founder shares will participate in the vote on such approval. Accordingly, we may complete our initial business combination, including the Proposed Transaction, even if a majority of our public shareholders do not approve of the business combination we complete.</w:t>
      </w:r>
    </w:p>
    <w:p>
      <w:pPr>
        <w:spacing w:after="0" w:line="270"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Your only opportunity to effect the investment decision regarding a potential business combination, including the Proposed Transaction, may be limited to the exercise of your right to redeem your shares from us for cash.</w:t>
      </w:r>
    </w:p>
    <w:p>
      <w:pPr>
        <w:spacing w:after="0" w:line="5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as we currently expect to do in connection with the Proposed Transaction. Accordingly, your only opportunity to effect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282" w:lineRule="exact"/>
        <w:rPr>
          <w:sz w:val="20"/>
          <w:szCs w:val="20"/>
          <w:color w:val="auto"/>
        </w:rPr>
      </w:pPr>
    </w:p>
    <w:p>
      <w:pPr>
        <w:ind w:left="120" w:right="6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initial shareholders and management team have agreed to vote in favor of such initial business combination, including the Proposed Transaction, regardless of how our public shareholders vote.</w:t>
      </w:r>
    </w:p>
    <w:p>
      <w:pPr>
        <w:spacing w:after="0" w:line="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initial shareholders currently own 20% of our issued and outstanding ordinary shares. Our initial shareholders and management team also may from time to time purchase Class A ordinary shares prior to our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initial business combination, including the Proposed Transaction. Our amended and restated memorandum and articles of association provides that, if we seek shareholder approval of an initial business combination, as we expect to do in connection with the Proposed Transaction, such initial business combination, including the Proposed Transaction, will be approved if we receive an ordinary resolution under Cayman Islands law, which requires the affirmative vote of a majority of the shareholders who attend and vote at a general meeting of the Company, including the founder shares. As a result, in addition to our initial shareholders’ founder shares, we would need 7,773,952, or 37.5%, of the public shares sold in the initial public offering to be voted in favor of an initial business combination, including the Proposed Transaction, in order to have such initial business combination approved (assuming all outstanding shares are voted). Accordingly, if we seek shareholder approval of our initial business combination, as we expect to do in connection with the Proposed Transaction, the agreement by our initial shareholders and management team to vote in favor of such initial business combination will increase the likelihood that we will receive an ordinary rsolution, being the requisite shareholder approval for such initial business combination, including the Proposed Transaction.</w:t>
      </w:r>
    </w:p>
    <w:p>
      <w:pPr>
        <w:spacing w:after="0" w:line="289" w:lineRule="exact"/>
        <w:rPr>
          <w:sz w:val="20"/>
          <w:szCs w:val="20"/>
          <w:color w:val="auto"/>
        </w:rPr>
      </w:pPr>
    </w:p>
    <w:p>
      <w:pPr>
        <w:ind w:left="120" w:right="460"/>
        <w:spacing w:after="0" w:line="312" w:lineRule="auto"/>
        <w:rPr>
          <w:sz w:val="20"/>
          <w:szCs w:val="20"/>
          <w:color w:val="auto"/>
        </w:rPr>
      </w:pPr>
      <w:r>
        <w:rPr>
          <w:rFonts w:ascii="Arial" w:cs="Arial" w:eastAsia="Arial" w:hAnsi="Arial"/>
          <w:sz w:val="17"/>
          <w:szCs w:val="17"/>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3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may seek to enter into a business combination transaction agreement with a minimum cash requirement for (i) cash consideration to be paid to the target or its owners, (ii) cash for working capital or other general corporate purposes or (iii) the retention of cash to satisfy other conditions. The Proposed Transaction is conditioned on the post-business combination entity have at least $425,000,000 of available cash after deducting the amount required to satisfy redemptions of our Class A ordinary shares, if any (but prior to payment of (a) deferred underwriting commissions and (b) our or our affiliates’ transaction expenses), (y) outside of the Trust Account, and (z) from the gross proceeds of the PIPE Investment.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Consequently, if accepting all properly submitted redemption requests would cause our net tangible assets to be less than $5,000,001 or such greater amount necessary to satisfy a minimum cash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286"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58"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At the time we enter into an agreement for our initial business combination, we will not, and at the time we entered into the Merger Agreement, we did not, know how many shareholders may exercise their redemption rights, and therefore will need to, and did, structure the transaction based on our expectations as to the number of shares that will be submitted for redemption. If our initial business combination agreement requires us to use a portion of the cash in the trust account to pay the purchase price, or, like the Merger Agreement, requires us to have a minimum amount of cash at closing, we will need to reserve a portion of the cash in the Trust Account to meet such requirements, or arrange for third-party financing. In addition, if a larger number of shares is submitted for redemption than we initially expected, we may need to restructure the transaction to reserve a greater portion of the cash in the Trust Account or arrange for third-party financing. Raising additional third-party financing, including the PIPE Investment, may involve dilutive equity issuances, such as the PIPE Investment, or the incurrence of indebtedness at higher than desirable levels. Furthermore, this dilution would increase to the extent that the anti-dilution provision of the Class B ordinary shares results in the issuance of Class A ordinary shares on a greater than one-to-one basis upon conversion of the Class B ordinary shares at the time of our initial business combination. In addition, the amount of the deferred underwriting commissions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payable to the underwriters will not be adjusted for any shares that are redeemed in connection with an initial business combination, including the Proposed Transaction. The per 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 The above considerations may limit our ability to complete the most desirable business combination available to us or optimize our capital structure.</w:t>
      </w:r>
    </w:p>
    <w:p>
      <w:pPr>
        <w:spacing w:after="0" w:line="292" w:lineRule="exact"/>
        <w:rPr>
          <w:sz w:val="20"/>
          <w:szCs w:val="20"/>
          <w:color w:val="auto"/>
        </w:rPr>
      </w:pPr>
    </w:p>
    <w:p>
      <w:pPr>
        <w:ind w:left="120" w:right="80"/>
        <w:spacing w:after="0" w:line="347" w:lineRule="auto"/>
        <w:rPr>
          <w:sz w:val="20"/>
          <w:szCs w:val="20"/>
          <w:color w:val="auto"/>
        </w:rPr>
      </w:pPr>
      <w:r>
        <w:rPr>
          <w:rFonts w:ascii="Arial" w:cs="Arial" w:eastAsia="Arial" w:hAnsi="Arial"/>
          <w:sz w:val="16"/>
          <w:szCs w:val="16"/>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1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like the Merger Agreement, requires us to have a minimum amount of cash at closing, the probability that our initial business combination, including the Proposed Transaction, would be unsuccessful is increased. If the Proposed Transaction or another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your exercise of redemption rights until we liquidate or you are able to sell your shares in the open market.</w:t>
      </w:r>
    </w:p>
    <w:p>
      <w:pPr>
        <w:spacing w:after="0" w:line="281"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The requirement that we complete our initial business combination by September 25, 2022 may give potential target businesses leverage over us in negotiating a business combination and may limit the time we have in which to conduct due diligence on potential business combination targets, in particular as we approach our dissolution deadline, which could undermine our ability to complete our initial business combination on terms that would produce value for our shareholders.</w:t>
      </w:r>
    </w:p>
    <w:p>
      <w:pPr>
        <w:spacing w:after="0" w:line="76"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 business combination will be aware that we must complete our initial business combination by September 25, 2022. Consequently, such target business may obtain leverage over us in negotiating a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296"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including Bakkt, with which we ultimately consummate a business combination, may be materially adversely affected by the coronavirus (COVID-19) outbreak and the status of debt and equity markets, as well as protectionist legislation in our target markets.</w:t>
      </w:r>
    </w:p>
    <w:p>
      <w:pPr>
        <w:spacing w:after="0" w:line="7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The COVID-19 outbreak has and a significant outbreak of other infectious diseases could result in a widespread health crisis that could adversely affect the economies and financial markets worldwide, and the business of Bakkt, or any other potential target business with which we consummate a business combination could be materially and adversely affected. Furthermore, we may be unable to complete a business combination, including the Proposed Transaction, if continued concerns relating to COVID-19 continues to restrict travel, limit the ability to have meetings with potential investors or the target company’s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personnel, vendors and services providers are unavailable to negotiate and consummate a transaction, including the Proposed Transaction, in a timely manner. In addition, countries or supranational organizations in our target markets may develop and implement legislation that makes it more difficult or impossible for entities outside such countries or target markets to acquire or otherwise invest in companies or businesses deemed essential or otherwise vital. The extent to which COVID-19 impacts our search and ability to consummate a business combination, including the Proposed Transaction,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and result in protectionist sentiments and legislation in our target markets, our ability to consummate a business combination, including the Proposed Transaction, or the operations of Bakkt or another target business with which we ultimately consummate a business combination, may be materially adversely affected.</w:t>
      </w:r>
    </w:p>
    <w:p>
      <w:pPr>
        <w:spacing w:after="0" w:line="181"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addition, our ability to consummate a transaction, including the Proposed Transaction, may be dependent on the ability to raise equity and debt financing which may be impacted by COVID-19 and other events, including as a result of increased market volatility, decreased market liquidity in third-party financing being unavailable on terms acceptable to us or at all.</w:t>
      </w:r>
    </w:p>
    <w:p>
      <w:pPr>
        <w:spacing w:after="0" w:line="288"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We may not be able to complete our initial business combination by September 25, 2022, in which case we would cease all operations except for the purpose of winding up and we would redeem our public shares and liquidate.</w:t>
      </w:r>
    </w:p>
    <w:p>
      <w:pPr>
        <w:spacing w:after="0" w:line="58"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We may not be able to find a suitable target business and complete our initial business combination by September 25, 2022. Our ability to complete the Proposed Transaction or another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the Proposed Transaction or another initial business combination, including as a result of increased market volatility, decreased market liquidity and third-party financing being unavailable on terms acceptable to us or at all. Furthermore, we may be unable to complete the Proposed Transaction or another initial business combination if continued concerns relating to COVID-19 restrict travel, limit the ability to have meetings with potential investors or the target company’s, including Bakkt’s, personnel, vendors and servicing providers are unavailable to negotiate and consummate a transaction, including the Proposed Transaction, in a timely manner. Additionally, the outbreak of COVID-19 may negatively impact businesses we may seek to acquire. If we have not completed our initial business combination within such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(less taxed payable and up to $100,000 of interest to pay dissolution expenses),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ethe case of clauses</w:t>
      </w:r>
    </w:p>
    <w:p>
      <w:pPr>
        <w:ind w:left="120" w:right="700" w:hanging="4"/>
        <w:spacing w:after="0" w:line="260" w:lineRule="auto"/>
        <w:tabs>
          <w:tab w:leader="none" w:pos="3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and (iii), to our obligations under Cayman Islands law to provide for claims of creditors and in all cases subject to the other requirements of applicable law.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20"/>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as we expect to do in connection with the Proposed Transaction, our sponsor, initial shareholders, directors, officers, advisors and their affiliates may elect to purchase shares or public warrants from public shareholders, which may influence a vote on a proposed business combination, including the Proposed Transaction, and reduce the public “float” of our Class A ordinary shares.</w:t>
      </w:r>
    </w:p>
    <w:p>
      <w:pPr>
        <w:spacing w:after="0" w:line="76"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If we seek shareholder approval of our initial business combination, as we expect to do in connection with the Proposed Transaction, and we do not conduct redemptions in connection with our initial business combination pursuant to the tender offer rules, our sponsor, initial shareholders, directors, officers, advisors or their affiliates may purchase shares or public warrants in privately negotiated transactions or in the open market either prior to or following the completion of such initial business combination, although they are under no obligation to do so. There is no limit on the number of shares our initial shareholders, directors, officers, advisors or their affiliates may purchase in such transactions, subject to compliance with applicable law and the Nasdaq rules. However, other than as expressly stated herein, they have no current commitments, plans or intentions to engage in such transactions and have not formulated any terms or conditions for any such transactions. None of the funds in the trust account will be used to purchase shares or public warrants in such transactions. Such purchases may include a contractual acknowledgment that such shareholder, although still the record holder of our shares, is no longer the beneficial owner thereof and therefore agrees not to exercise its redemption rights.</w:t>
      </w:r>
    </w:p>
    <w:p>
      <w:pPr>
        <w:spacing w:after="0" w:line="16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In the event that our sponsor, initial shareholders,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Proposed Transaction or such other business combination, and thereby increase the likelihood of obtaining shareholder approval of the Proposed Transaction or such other business combination or to satisfy a closing condition in an agreement with a target, such as Bakkt,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the Proposed Transaction or such other initial business combination. Any such purchases of our securities may result in the completion of the Proposed Transaction or such other initial business combination that may not otherwise have been possible. We expect any such purchases will be reported pursuant to Section 13 and Section 16 of the Exchange Act to the extent such purchasers are subject to such reporting requirements.</w:t>
      </w:r>
    </w:p>
    <w:p>
      <w:pPr>
        <w:spacing w:after="0" w:line="18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and the number of beneficial holders of our securities may be reduced, possibly making it difficult to obtain or maintain the quotation, listing or trading of our securities on a national securities exchange.</w:t>
      </w:r>
    </w:p>
    <w:p>
      <w:pPr>
        <w:spacing w:after="0" w:line="288"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If a shareholder fails to receive notice of our offer to redeem our public shares in connection with our initial business combination, including the Proposed Transaction, or fails to comply with the procedures for submitting or tendering its shares, such shares may not be redeemed.</w:t>
      </w:r>
    </w:p>
    <w:p>
      <w:pPr>
        <w:spacing w:after="0" w:line="1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including the Proposed Transaction. Despite our compliance with these rules, if a shareholder fails to receive our proxy materials or tender offer documents, as applicable, such shareholder may not become aware of the opportunity to redeem its shares. In addition, proxy materials or tender offer documents, as applicable, that we will furnish to holders of our public shares in connection with the Proposed Transaction or another initial business combination will describe the various procedures that must be complied with in order to validly tender or submit public shares for redemption. For example, we intend to require our public shareholders seeking to exercise their redemption rights, whether they are record holders or hold their shares in “street name,” to, at the holder’s option, either deliver their share certificates to our transfer agent, or to deliver their shares to our transfer agent electronically prior to the date set forth in the proxy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materials or tender offer documents, as applicable. In the case of proxy materials, as we expect to distribute in connection with the Proposed Transaction, this date may be up to two business days prior to the scheduled vote on the proposal to approve the initial business combination. In addition, if we conduct redemptions in connection with a shareholder vote, as we expect to do in connection with the Proposed Transaction, we intend to require a public shareholder seeking redemption of its public shares to also submit a written request for redemption to our transfer agent two business days prior to the scheduled vote in which the name of the beneficial owner of such shares is included. In the event that a shareholder fails to comply with these or any other procedures disclosed in the proxy or tender offer materials, as applicable, its shares may not be redeemed.</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121"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Since the net proceeds of the initial public offering and the sale of the private placement warrants are intended to be used to complete an initial business combination with a target business that has not been selected, we may be deemed to be a “blank check” company under the United States securities laws. However, because we have net tangible assets in excess of $5,000,000 and have filed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the initial public offering were subject to Rule 419, that rule would prohibit the release of any interest earned on funds held in the trust account to us unless and until the funds in the trust account were released to us in connection with our completion of an initial business combination.</w:t>
      </w:r>
    </w:p>
    <w:p>
      <w:pPr>
        <w:spacing w:after="0" w:line="269" w:lineRule="exact"/>
        <w:rPr>
          <w:sz w:val="20"/>
          <w:szCs w:val="20"/>
          <w:color w:val="auto"/>
        </w:rPr>
      </w:pPr>
    </w:p>
    <w:p>
      <w:pPr>
        <w:ind w:left="120" w:right="20"/>
        <w:spacing w:after="0" w:line="281" w:lineRule="auto"/>
        <w:rPr>
          <w:sz w:val="20"/>
          <w:szCs w:val="20"/>
          <w:color w:val="auto"/>
        </w:rPr>
      </w:pPr>
      <w:r>
        <w:rPr>
          <w:rFonts w:ascii="Arial" w:cs="Arial" w:eastAsia="Arial" w:hAnsi="Arial"/>
          <w:sz w:val="17"/>
          <w:szCs w:val="17"/>
          <w:b w:val="1"/>
          <w:bCs w:val="1"/>
          <w:color w:val="auto"/>
        </w:rPr>
        <w:t>Because of our limited resources and the significant competition for business combination opportunities, it may be more difficult for us to complete the Proposed Transaction or another initial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61"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We expect to encounter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similar or greater technical, human and other resources to ours or more local industry knowledge than we do and our financial resources will be relatively limited when contrasted with those of many of these competitors. While we believe there are numerous target businesses, including Bakkt, we could potentially acquire with the net proceeds of the initial public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including the Proposed Transaction, in conjunction with a shareholder vote or via a tender offer. Target companies, such as Bakkt, will be aware that this may reduce the resources available to us for our initial business combination. Any of these obligations may place us at a competitive disadvantage in successfully negotiating a business combination. If we are unable to complete the Proposed Transaction or another initial business combination, our public shareholders may receive only their pro rata portion of the funds in the trust account that are available for distribution to public shareholders, and our warrants will expire worthless.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61" w:lineRule="auto"/>
        <w:rPr>
          <w:sz w:val="20"/>
          <w:szCs w:val="20"/>
          <w:color w:val="auto"/>
        </w:rPr>
      </w:pPr>
      <w:r>
        <w:rPr>
          <w:rFonts w:ascii="Arial" w:cs="Arial" w:eastAsia="Arial" w:hAnsi="Arial"/>
          <w:sz w:val="18"/>
          <w:szCs w:val="18"/>
          <w:b w:val="1"/>
          <w:bCs w:val="1"/>
          <w:color w:val="auto"/>
        </w:rPr>
        <w:t>If the net proceeds of the initial public offering not being held in the trust account are insufficient to allow us to operate for at least until September 25, 2022, it could limit the amount available to fund our search for a target business or businesses and complete the Proposed Transaction or another initial business combination, and we will depend on loans from our sponsor or management team to fund our search and to complete our initial business combination.</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Of the net proceeds of the initial public offering, only approximately $1,000,000 were available to us initially outside the trust account to fund our working capital requirements. We believe that the funds available to us outside of the trust account are sufficient to allow us to operate for at least until September 25, 2022;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or investors on terms more favorable to such target businesses) with respect to a particular proposed business combination, although we do not have any current intention to do so and have not done so in connection with the Proposed Transaction.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8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Prior to the completion of our initial business combination, including the Proposed Transaction,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the Proposed Transaction or another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296"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If third parties bring claims against us, the proceeds held in the Trust Account could be reduced and the per-share redemption amount received by shareholders may be less than $10.00 per share.</w:t>
      </w:r>
    </w:p>
    <w:p>
      <w:pPr>
        <w:spacing w:after="0" w:line="58"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 party claims against us. Although we seek to have all vendors, service providers, prospective target businesses and other entities (except for our Independent Registered Public Accounting Firm)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us and will only enter into an agreement with such third party if management believes that such third party’s engagement would be in the best interests of the Company under the circumstances. WithumSmith+Brown, PC, our independent registered independent public accounting firm, and the underwriters of our initial public offering will not execute agreements with us waiving such claims to the monies held in the Trust Account.</w:t>
      </w:r>
    </w:p>
    <w:p>
      <w:pPr>
        <w:spacing w:after="0" w:line="18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negotiations, contracts or agreements with us and will not seek recourse against the Trust Account for any reason. Upon redemption of our public shares, if we are unable to complete the Proposed Transaction or another initial business combination within the prescribed timeframe, or upon the exercise of a redemption right in connection with such initial business combination, we will be required to provide for payment of claims of creditors that were not waived that may be brought against us within the 10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Annual Report on Form 10-K forms a part, our Sponsor has agreed that it will be liable to us if and to the extent any claims by a third party for services rendered or products sold to us, or a prospective target business with which we have entered into a written letter of intent, confidentiality or other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trust assets, less taxes payable,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the initial public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As a result, if any such claims were successfully made against the Trust Account, the funds available for the Proposed Transaction or another initial business combination and redemptions could be reduced to less than $10.00 per public share. In such event, we may not be able to complete the Proposed Transaction or another initial business combination, and you would receive such lesser amount per share in connection with any redemption of your public shares. None of our officers or directors will indemnify us for claims by third parties including, without limitation, claims by vendors and prospective target businesses.</w:t>
      </w:r>
    </w:p>
    <w:p>
      <w:pPr>
        <w:spacing w:after="0" w:line="286"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5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the event that the proceeds in the Trust Account are reduced below the lesser of (i) $10.00 per share and (ii) the actual amount per public share held in the Trust Account as of the date of the liquidation of the Trust Account if less than $10.00 per public share due to reductions in the value of the trust assets, in each case less taxes payable,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1"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or insolvency petition or an involuntary bankruptcy or insolvency petition is filed against us that is not dismissed, a bankruptcy or insolvency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6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or insolvency petition or an involuntary bankruptcy or insolvency petition is filed against us that is not dismissed, any distributions received by shareholders could be viewed under applicable debtor/creditor and/or bankruptcy laws as either a “preferential transfer” or a “fraudulent conveyance.” As a result, a bankruptcy or insolvency court could seek to recover some or all amounts received by our shareholders. In addition, our board of directors may be viewed as having breached its fiduciary duty to our creditors and/or having acted in bad faith, by paying public shareholders from the Trust Account prior to addressing the claims of creditors, thereby exposing itself and us to claims of punitive damages.</w:t>
      </w:r>
    </w:p>
    <w:p>
      <w:pPr>
        <w:spacing w:after="0" w:line="28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insolvency or an involuntary bankruptcy or insolvency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If, before distributing the proceeds in the Trust Account to our public shareholders, we file a bankruptcy or insolvency petition or an involuntary bankruptcy or insolvency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292" w:lineRule="exact"/>
        <w:rPr>
          <w:sz w:val="20"/>
          <w:szCs w:val="20"/>
          <w:color w:val="auto"/>
        </w:rPr>
      </w:pPr>
    </w:p>
    <w:p>
      <w:pPr>
        <w:ind w:left="120" w:right="180"/>
        <w:spacing w:after="0" w:line="347" w:lineRule="auto"/>
        <w:rPr>
          <w:sz w:val="20"/>
          <w:szCs w:val="20"/>
          <w:color w:val="auto"/>
        </w:rPr>
      </w:pPr>
      <w:r>
        <w:rPr>
          <w:rFonts w:ascii="Arial" w:cs="Arial" w:eastAsia="Arial" w:hAnsi="Arial"/>
          <w:sz w:val="16"/>
          <w:szCs w:val="16"/>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30" w:lineRule="exact"/>
        <w:rPr>
          <w:rFonts w:ascii="Arial" w:cs="Arial" w:eastAsia="Arial" w:hAnsi="Arial"/>
          <w:sz w:val="18"/>
          <w:szCs w:val="18"/>
          <w:color w:val="auto"/>
        </w:rPr>
      </w:pPr>
    </w:p>
    <w:p>
      <w:pPr>
        <w:ind w:left="1080" w:hanging="424"/>
        <w:spacing w:after="0" w:line="308" w:lineRule="auto"/>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restrictions on the issuance of securities, each of which may make it difficult for us to complete our initial business combination, including the Proposed Transaction. In addition, we may have imposed upon us burdensome requirements, including:</w:t>
      </w:r>
    </w:p>
    <w:p>
      <w:pPr>
        <w:spacing w:after="0" w:line="51" w:lineRule="exact"/>
        <w:rPr>
          <w:rFonts w:ascii="Arial" w:cs="Arial" w:eastAsia="Arial" w:hAnsi="Arial"/>
          <w:sz w:val="17"/>
          <w:szCs w:val="17"/>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registration as an investment company with the SEC;</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subject to.</w:t>
      </w:r>
    </w:p>
    <w:p>
      <w:pPr>
        <w:spacing w:after="0" w:line="23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Our securities are not intended for persons who are seeking a return on investments in government securities or investment securities. The Trust Account is intended as a holding place for funds pending the earliest to occur of either: (i) the completion of our initial business combination, including the Proposed Transaction;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or (iii) absent an initial business combination by September 25, 2022,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292" w:lineRule="exact"/>
        <w:rPr>
          <w:sz w:val="20"/>
          <w:szCs w:val="20"/>
          <w:color w:val="auto"/>
        </w:rPr>
      </w:pPr>
    </w:p>
    <w:p>
      <w:pPr>
        <w:ind w:left="120" w:right="40"/>
        <w:spacing w:after="0" w:line="312" w:lineRule="auto"/>
        <w:rPr>
          <w:sz w:val="20"/>
          <w:szCs w:val="20"/>
          <w:color w:val="auto"/>
        </w:rPr>
      </w:pPr>
      <w:r>
        <w:rPr>
          <w:rFonts w:ascii="Arial" w:cs="Arial" w:eastAsia="Arial" w:hAnsi="Arial"/>
          <w:sz w:val="17"/>
          <w:szCs w:val="17"/>
          <w:b w:val="1"/>
          <w:bCs w:val="1"/>
          <w:color w:val="auto"/>
        </w:rPr>
        <w:t>Changes in laws or regulations, or a failure to comply with any laws and regulations, may adversely affect our business, including our ability to negotiate and complete the Proposed Transaction or another initial business combination, and results of operations.</w:t>
      </w:r>
    </w:p>
    <w:p>
      <w:pPr>
        <w:spacing w:after="0" w:line="3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are subject to laws and regulations enacted by national, regional and local governments. In particular, we are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the Proposed Transaction or another initial business combination, and results of operations.</w:t>
      </w:r>
    </w:p>
    <w:p>
      <w:pPr>
        <w:spacing w:after="0" w:line="296"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58"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to a fine of $18,293 and to imprisonment for five years in the Cayman Islands.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We may not hold an annual general meeting until after the consummation of our initial business combination, which could delay the opportunity for our shareholders to appoint directors.</w:t>
      </w:r>
    </w:p>
    <w:p>
      <w:pPr>
        <w:spacing w:after="0" w:line="5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general meeting until no later than one year after our first fiscal year end following our listing on Nasdaq. There is no requirement under the Companies Law for us to hold annual or extraordinary general meetings to appoint directors. Until we hold an annual general meeting, public shareholders may not be afforded the opportunity to appoint directors and to discuss company affairs with management. Our board of directors is divided into three classes with only one class of directors being appointed in each year and each class (except for those directors appointed prior to our first annual general meeting) serving a three-year term. In addition, as holders of our Class A ordinary shares, our public shareholders will not have the right to vote on the appointment of directors until after the consummation of our initial business combination, including the Proposed Transaction.</w:t>
      </w:r>
    </w:p>
    <w:p>
      <w:pPr>
        <w:spacing w:after="0" w:line="281"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Because we are not limited to evaluating a target business in a particular industry sector, you will be unable to ascertain the merits or risks of any particular target business’s operations.</w:t>
      </w:r>
    </w:p>
    <w:p>
      <w:pPr>
        <w:spacing w:after="0" w:line="5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efforts to identify a prospective initial business combination target will not be limited to a particular industry, sector or geographic region. While we may pursue an initial business combination opportunity in any industry or sector, we intend to capitalize on the ability of our management team to identify and acquire a business or businesses that can benefit from our management team’s established global relationships and operating experience. In particular, we currently expect to complete the Proposed Transaction with Bakkt. Our management team has extensive experience in identifying and executing strategic investments globally and has done so successfully in a number of sectors, including the consumer brands sectors. Our amended and restated memorandum and articles of association prohibits us from effectuating a business combination with another blank check company or similar company with nominal operations. To the extent we complete the Proposed Transaction or another initial business combination, we may be affected by numerous risks inherent in the business operations or Bakkt or another target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and have done so in connection with the Proposed Transaction, we cannot assure you that we have or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Bakkt or another target business. We also cannot assure you that an investment in our units will ultimately prove to be more favorable to investors than a direct investment, if such opportunity were available, in Bakkt or another business combination target.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materials or tender offer documents, as applicable, relating to the business combination contained an actionable material misstatement or material omission.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We may seek business combination opportunities in industries or sectors that may be outside of our management’s areas of expertise.</w:t>
      </w:r>
    </w:p>
    <w:p>
      <w:pPr>
        <w:spacing w:after="0" w:line="13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and will consider business combinations outside of our management’s areas of expertise if a business combination candidate is presented to us and we determine that such candidate offers an attractive business combination opportunity for our company. Although our management will endeavor to evaluate the risks inherent in any particular business combination candidate, and it has endeavored to do so in connection with the Proposed Transaction, we cannot assure you that we have or will adequately ascertain or assess all of the significant risk factors. We also cannot assure you that an investment in our securities will not ultimately prove to be less favorable to investors in our securities than a direct investment, if an opportunity were available, in Baakt or another business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combination candidate. In the event we elect to pursue a business combination outside of the areas of our management’s expertise, our management’s expertise may not be directly applicable to its evaluation or operation, and the information contained herein regarding the areas of our management’s expertise would not be relevant to an understanding of the business that we elect to acquire. As a result, our management may not be able to ascertain or assess adequately all of the relevant risk factors. Accordingly, any shareholders who choose to remain shareholders following the Proposed Transaction or another initial business combination could suffer a reduction in the value of their shares. Such shareholders are unlikely to have a remedy for such reduction in value.</w:t>
      </w:r>
    </w:p>
    <w:p>
      <w:pPr>
        <w:spacing w:after="0" w:line="296" w:lineRule="exact"/>
        <w:rPr>
          <w:sz w:val="20"/>
          <w:szCs w:val="20"/>
          <w:color w:val="auto"/>
        </w:rPr>
      </w:pPr>
    </w:p>
    <w:p>
      <w:pPr>
        <w:ind w:left="120"/>
        <w:spacing w:after="0" w:line="314"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3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289"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We are not required to obtain an opinion from an independent investment banking firm or from a valuation or appraisal firm, and consequently, you may have no assurance from an independent source that the price we are paying for the business is fair to our shareholders from a financial point of view.</w:t>
      </w:r>
    </w:p>
    <w:p>
      <w:pPr>
        <w:spacing w:after="0" w:line="72"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Unless we complete our initial business combination with an affiliated entity or our board of directors cannot independently determine the fair market value of the target business or businesses (including with the assistance of financial advisors), we are not required to obtain an opinion from an independent investment banking firm which is a member of FINRA or from a valuation or appraisal firm that the price we are paying is fair to our shareholders from a financial point of view. We do not expect to obtain such an opinion in connection with the Proposed Transaction. If no opinion is obtained, our shareholders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the Proposed Transaction or any other initial business combination.</w:t>
      </w:r>
    </w:p>
    <w:p>
      <w:pPr>
        <w:spacing w:after="0" w:line="281"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b w:val="1"/>
          <w:bCs w:val="1"/>
          <w:color w:val="auto"/>
        </w:rPr>
        <w:t>We may issue additional Class A ordinary shares or shares of preferred shares to complete our initial business combination, including the Proposed Transaction or under an employee incentive plan after completion of our initial business combination. We may also issue Class A ordinary shares upon the conversion of the founder shares at a ratio greater than one-to-one at the time of the Proposed Transaction or other initial business combination as a result of the anti-dilution provisions contained therein. Any such issuances would dilute the interest of our shareholders and likely present other risks.</w:t>
      </w:r>
    </w:p>
    <w:p>
      <w:pPr>
        <w:spacing w:after="0" w:line="79" w:lineRule="exact"/>
        <w:rPr>
          <w:sz w:val="20"/>
          <w:szCs w:val="20"/>
          <w:color w:val="auto"/>
        </w:rPr>
      </w:pPr>
    </w:p>
    <w:p>
      <w:pPr>
        <w:ind w:left="120" w:right="400"/>
        <w:spacing w:after="0" w:line="258" w:lineRule="auto"/>
        <w:rPr>
          <w:sz w:val="20"/>
          <w:szCs w:val="20"/>
          <w:color w:val="auto"/>
        </w:rPr>
      </w:pPr>
      <w:r>
        <w:rPr>
          <w:rFonts w:ascii="Arial" w:cs="Arial" w:eastAsia="Arial" w:hAnsi="Arial"/>
          <w:sz w:val="18"/>
          <w:szCs w:val="18"/>
          <w:color w:val="auto"/>
        </w:rPr>
        <w:t>Our amended and restated memorandum and articles of association authorizes the issuance of up to 200,000,000 Class A ordinary shares, par value $0.0001 per share, 20,000,000 Class B ordinary shares, par value $0.0001 per</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share, and 1,000,000 preferred shares, par value $0.0001 per share. As of March 29, 2021 there are 179,262,798</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and 14,815,700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The Class B ordinary shares are automatically convertible into Class A ordinary shares concurrently with or immediately following the consummation of the Proposed Transaction or another initial business combination, initially at a one-for-one ratio but subject to adjustment as set forth herein and in our amended and restated memorandum and articles of association, including in certain circumstances in which we issue Class A ordinary shares or equity-linked securities related to such initial business combination. Currently, there are no preferred shares issued and outstanding.</w:t>
      </w:r>
    </w:p>
    <w:p>
      <w:pPr>
        <w:spacing w:after="0" w:line="164"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We may issue a substantial number of additional Class A ordinary shares or preferred shares to complete the Proposed Transaction or another initial business combination or under an employee incentive plan after completion of the Proposed Transaction or such other initial business combination. We may also issue Class A ordinary shares upon conversion of the Class B ordinary shares at a ratio greater than one-to-one at the time of the Proposed Transaction or other initial business combination as a result of the anti-dilution provisions as set forth therein. However, our amended and restated memorandum and articles of association provides, among other things, that prior to our initial business combination, we may not issue additional shares that would entitle the holders thereof to (i) receive funds from the trust account or (ii) vote on any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preferred shares:</w:t>
      </w:r>
    </w:p>
    <w:p>
      <w:pPr>
        <w:spacing w:after="0" w:line="71"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the initial public offering;</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preferred shares are issued with rights senior to those afforded our Class A ordinary shares;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Class A ordinary shares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w:t>
      </w:r>
    </w:p>
    <w:p>
      <w:pPr>
        <w:spacing w:after="0" w:line="329" w:lineRule="exact"/>
        <w:rPr>
          <w:sz w:val="20"/>
          <w:szCs w:val="20"/>
          <w:color w:val="auto"/>
        </w:rPr>
      </w:pPr>
    </w:p>
    <w:p>
      <w:pPr>
        <w:ind w:left="120" w:right="180"/>
        <w:spacing w:after="0" w:line="303" w:lineRule="auto"/>
        <w:rPr>
          <w:sz w:val="20"/>
          <w:szCs w:val="20"/>
          <w:color w:val="auto"/>
        </w:rPr>
      </w:pPr>
      <w:r>
        <w:rPr>
          <w:rFonts w:ascii="Arial" w:cs="Arial" w:eastAsia="Arial" w:hAnsi="Arial"/>
          <w:sz w:val="16"/>
          <w:szCs w:val="16"/>
          <w:b w:val="1"/>
          <w:bCs w:val="1"/>
          <w:color w:val="auto"/>
        </w:rPr>
        <w:t>Resources could be wasted in researching business combinations, such as the Proposed Transaction, that are not completed,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47"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the Proposed Transaction or another specific initial business combination, the costs incurred up to that point for such transaction likely would not be recoverable. We may fail to complete the Proposed Transaction for any number of reasons including those beyond our control. Furthermore, if we reach an agreement relating to a different specific target business, we may fail to complete our initial business combination with that businessfor any number of reasons including those beyond our control. Any such event will result in a loss to us of the related costs incurred which could materially adversely affect subsequent attempts to locate and acquire or merge with another business.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United States federal income tax consequences to U.S. investors.</w:t>
      </w:r>
    </w:p>
    <w:p>
      <w:pPr>
        <w:spacing w:after="0" w:line="58"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If we are a PFIC for any taxable year (or portion thereof) that is included in the holding period of a U.S. Holder (as defined in the section of this prospectus captioned “Taxation—United States Federal Income Tax Considerations—U.S. Holders”)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report captioned “</w:t>
      </w:r>
      <w:r>
        <w:rPr>
          <w:rFonts w:ascii="Arial" w:cs="Arial" w:eastAsia="Arial" w:hAnsi="Arial"/>
          <w:sz w:val="16"/>
          <w:szCs w:val="16"/>
          <w:i w:val="1"/>
          <w:iCs w:val="1"/>
          <w:color w:val="auto"/>
        </w:rPr>
        <w:t>Taxation—United States Federal Income Tax Considerations—U.S. Holders—Passive Foreign Investment Company Rules”).</w:t>
      </w:r>
      <w:r>
        <w:rPr>
          <w:rFonts w:ascii="Arial" w:cs="Arial" w:eastAsia="Arial" w:hAnsi="Arial"/>
          <w:sz w:val="16"/>
          <w:szCs w:val="16"/>
          <w:color w:val="auto"/>
        </w:rPr>
        <w:t xml:space="preserve">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own tax advisors regarding the possible application of the PFIC rules. For a more detailed explanation of the tax consequences of PFIC classification to U.S. Holders, see the section of this report captioned </w:t>
      </w:r>
      <w:r>
        <w:rPr>
          <w:rFonts w:ascii="Arial" w:cs="Arial" w:eastAsia="Arial" w:hAnsi="Arial"/>
          <w:sz w:val="16"/>
          <w:szCs w:val="16"/>
          <w:i w:val="1"/>
          <w:iCs w:val="1"/>
          <w:color w:val="auto"/>
        </w:rPr>
        <w:t>“Taxation—United States Federal Income Tax Considerations—U.S. Holders—Passive Foreign Investment Company Rules.”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 investment in our securities may result in uncertain U.S. federal income tax consequences.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An investment in our securities may result in uncertain U.S. federal income tax consequences. For instance, because there are no authorities that directly address instruments similar to our units, the allocation an investor makes with respect to the purchase price of a unit between the Class A ordinary shares and the one-half of a warrant to purchase one Class A ordinary share included in each unit could be challenged by the IRS or courts. In addition, the U.S. federal income tax consequences of a cashless exercise of warrants included in our units is unclear under current law. Finally, it is unclear whether the redemption rights with respect to our ordinary shares suspend the running of a U.S. Holder’s (as defined in section titled “Taxation—United States Federal Income Tax Consideration—U.S. Holders”) holding period for purposes of determining whether any gain or loss realized by such holder on the sale or exchange of Class A ordinary shares is long-term capital gain or loss and for determining whether any dividend we pay would be considered “qualified dividend income” for U.S. federal income tax purposes. See the section titled “Taxation—United States Federal Income Tax Considerations” for a summary of the U.S. federal income tax considerations of an investment in our securities. Prospective investors are urged to consult their tax advisors with respect to these and other tax consequences when acquiring, owning or disposing of our securities.</w:t>
      </w:r>
    </w:p>
    <w:p>
      <w:pPr>
        <w:spacing w:after="0" w:line="272" w:lineRule="exact"/>
        <w:rPr>
          <w:sz w:val="20"/>
          <w:szCs w:val="20"/>
          <w:color w:val="auto"/>
        </w:rPr>
      </w:pPr>
    </w:p>
    <w:p>
      <w:pPr>
        <w:ind w:left="120"/>
        <w:spacing w:after="0" w:line="282" w:lineRule="auto"/>
        <w:rPr>
          <w:sz w:val="20"/>
          <w:szCs w:val="20"/>
          <w:color w:val="auto"/>
        </w:rPr>
      </w:pPr>
      <w:r>
        <w:rPr>
          <w:rFonts w:ascii="Arial" w:cs="Arial" w:eastAsia="Arial" w:hAnsi="Arial"/>
          <w:sz w:val="18"/>
          <w:szCs w:val="18"/>
          <w:b w:val="1"/>
          <w:bCs w:val="1"/>
          <w:color w:val="auto"/>
        </w:rPr>
        <w:t>We may reincorporate in another jurisdiction, as we plan to do in connection with the Proposed Transaction, which may result in taxes imposed on shareholders.</w:t>
      </w:r>
    </w:p>
    <w:p>
      <w:pPr>
        <w:spacing w:after="0" w:line="58"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We may, in connection with our initial business combination or otherwise and subject to requisite shareholder approval by special resolution under the Companies Law, reincorporate in the jurisdiction in which the target company or business is located or in another jurisdiction. We plan to reincorporate in Delaware in connection with the Proposed Transaction. The transaction may require a shareholder to recognize taxable income in the jurisdiction in which the shareholder is a tax resident or in which its members are resident if it is a tax transparent entity. We do not intend to make any cash distributions to shareholders to pay such taxes. Shareholders may be subject to withholding taxes or other taxes with respect to their ownership of us after the reincorporation.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66" w:lineRule="auto"/>
        <w:rPr>
          <w:sz w:val="20"/>
          <w:szCs w:val="20"/>
          <w:color w:val="auto"/>
        </w:rPr>
      </w:pPr>
      <w:r>
        <w:rPr>
          <w:rFonts w:ascii="Arial" w:cs="Arial" w:eastAsia="Arial" w:hAnsi="Arial"/>
          <w:sz w:val="18"/>
          <w:szCs w:val="18"/>
          <w:b w:val="1"/>
          <w:bCs w:val="1"/>
          <w:color w:val="auto"/>
        </w:rPr>
        <w:t>After the Proposed Transaction or another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72" w:lineRule="exact"/>
        <w:rPr>
          <w:sz w:val="20"/>
          <w:szCs w:val="20"/>
          <w:color w:val="auto"/>
        </w:rPr>
      </w:pPr>
    </w:p>
    <w:p>
      <w:pPr>
        <w:jc w:val="both"/>
        <w:ind w:left="120"/>
        <w:spacing w:after="0" w:line="279" w:lineRule="auto"/>
        <w:rPr>
          <w:sz w:val="20"/>
          <w:szCs w:val="20"/>
          <w:color w:val="auto"/>
        </w:rPr>
      </w:pPr>
      <w:r>
        <w:rPr>
          <w:rFonts w:ascii="Arial" w:cs="Arial" w:eastAsia="Arial" w:hAnsi="Arial"/>
          <w:sz w:val="17"/>
          <w:szCs w:val="17"/>
          <w:color w:val="auto"/>
        </w:rPr>
        <w:t>It is possible that after the Proposed Transaction or another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275" w:lineRule="exact"/>
        <w:rPr>
          <w:sz w:val="20"/>
          <w:szCs w:val="20"/>
          <w:color w:val="auto"/>
        </w:rPr>
      </w:pPr>
    </w:p>
    <w:p>
      <w:pPr>
        <w:ind w:left="120" w:right="160"/>
        <w:spacing w:after="0" w:line="266" w:lineRule="auto"/>
        <w:rPr>
          <w:sz w:val="20"/>
          <w:szCs w:val="20"/>
          <w:color w:val="auto"/>
        </w:rPr>
      </w:pPr>
      <w:r>
        <w:rPr>
          <w:rFonts w:ascii="Arial" w:cs="Arial" w:eastAsia="Arial" w:hAnsi="Arial"/>
          <w:sz w:val="18"/>
          <w:szCs w:val="18"/>
          <w:b w:val="1"/>
          <w:bCs w:val="1"/>
          <w:color w:val="auto"/>
        </w:rPr>
        <w:t>As the number of special purpose acquisition companies evaluating targets increases, attractive targets may become scarcer and there may be more competition for attractive targets. This could increase the cost of our initial business combination and could result in our inability to consummate an initial business combination.</w:t>
      </w:r>
    </w:p>
    <w:p>
      <w:pPr>
        <w:spacing w:after="0" w:line="72"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recent years, the number of special purpose acquisition companies has increased substantially. A number of potential targets for special purpose acquisition companies have already been acquired, and there are still many special purpose acquisition companies pursuing an initial business combination. As a result, fewer attractive targets may be available to consummate an initial business combination. In addition, because there are more special purpose acquisition companies seeking to enter into an initial business combination with available targets, the competition for targets may increase and, as a result, the terms of business combination transactions with available targets could become less favorable to us. Attractive transactions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and consummate an initial business combination, and may result in our inability to consummate an initial business combination on terms favorable to us.</w:t>
      </w:r>
    </w:p>
    <w:p>
      <w:pPr>
        <w:spacing w:after="0" w:line="285"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officers, directors or existing holders which may raise potential conflicts of interest.</w:t>
      </w:r>
    </w:p>
    <w:p>
      <w:pPr>
        <w:spacing w:after="0" w:line="58"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In light of the involvement of our sponsor, officers and directors with other entities, we may decide to acquire one or more businesses affiliated with our sponsor, officers, directors or existing holders. Bakkt is not affiliated with our sponsor, officers, directors or existing holders. Our directors also serve as officers and board members for other entities.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Furthermore, we currently intend to complete the Proposed Transaction with Bakkt. Although we will not be specifically focusing on, or targeting, any transaction with any affiliated entities, we would pursue such a transaction if we determined that such affiliated entity met our criteria for a business combination and such transaction was approved by a majority of our independent and disinterested directors. Despite our agreement to obtain an opinion from an independent investment banking firm which is a member of FINRA or a valuation or appraisal firm regarding the fairness to our Company from a financial point of view of a business combination with one or more domestic or international businesses affiliated with our sponsor, officers, directors or existing holders, potential conflicts of interest still may exist and, as a result, the terms of the business combination may not be as advantageous to our public shareholders as they would be absent any conflicts of interest.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1" w:lineRule="auto"/>
        <w:rPr>
          <w:sz w:val="20"/>
          <w:szCs w:val="20"/>
          <w:color w:val="auto"/>
        </w:rPr>
      </w:pPr>
      <w:r>
        <w:rPr>
          <w:rFonts w:ascii="Arial" w:cs="Arial" w:eastAsia="Arial" w:hAnsi="Arial"/>
          <w:sz w:val="18"/>
          <w:szCs w:val="18"/>
          <w:b w:val="1"/>
          <w:bCs w:val="1"/>
          <w:color w:val="auto"/>
        </w:rPr>
        <w:t>Since our sponsor, officers and directors will lose their entire investment in us if the Proposed Transaction or another initial business combination is not completed (other than with respect to public shares they may acquire during or after the initial public offering), a conflict of interest may arise in determining whether a particular business combination target, including Bakkt, is appropriate for our initial business combination.</w:t>
      </w:r>
    </w:p>
    <w:p>
      <w:pPr>
        <w:spacing w:after="0" w:line="76"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On August 3, 2020, our Sponsor paid $25,000, or approximately $0.004 per share, to cover certain of our offering and formation costs in exchange for 5,750,000 founder shares. In September 2020, our sponsor transferred an aggregate of 60,000 founder shares to members of our board of directors, resulting in our sponsor holding 5,690,000 founder shares. Prior to the initial investment in the Company of $25,000 by the Sponsor, the Company had no assets, tangible or intangible. The purchase price of the founder shares was determined by dividing the amount of cash contributed to the Company by the number of founder shares issued.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surrender for no consideration depending on the extent to which the underwriters’ over-allotment was exercised. As a result of the underwriters’ election to partially exercise their over-allotment option and the forfeiture of the remaining over-allotment option, 565,700 founder shares were forfeited and 184,300 founder shares are no longer subject to forfeiture resulting in an aggregate of 5,184,300 founder shares outstanding at March 29, 2021. The founder shares will be worthless if we do not complete the Proposed Transaction or another initial business combination. In addition, our Sponsor purchased an aggregate of 6,147,550 private placement warrants, each exercisable for one Class A ordinary share at $11.50 per share, subject to adjustment as described herein, for an aggregate purchase price of $6,147,550, or $1.00 per warrant, that will also be worthless if we do not complete the Proposed Transaction or another initial business combination within the allocated time period. The personal and financial interests of our officers and directors may have influenced or may influence their motivation in identifying and selecting Bakkt, or another target business combination, completing the Proposed Transaction or another initial business combination and influencing the operation of the business following the initial business combination. This risk may become more acute as the 24-month anniversary of the closing of the initial public offering nears, which is the deadline for our completion of an initial business combination.</w:t>
      </w:r>
    </w:p>
    <w:p>
      <w:pPr>
        <w:spacing w:after="0" w:line="200" w:lineRule="exact"/>
        <w:rPr>
          <w:sz w:val="20"/>
          <w:szCs w:val="20"/>
          <w:color w:val="auto"/>
        </w:rPr>
      </w:pPr>
    </w:p>
    <w:p>
      <w:pPr>
        <w:spacing w:after="0" w:line="294" w:lineRule="exact"/>
        <w:rPr>
          <w:sz w:val="20"/>
          <w:szCs w:val="20"/>
          <w:color w:val="auto"/>
        </w:rPr>
      </w:pPr>
    </w:p>
    <w:p>
      <w:pPr>
        <w:ind w:left="120" w:right="400"/>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the Proposed Transaction or another business combination, which may adversely affect our leverage and financial condition and thus negatively impact the value of our shareholders’ investment in us.</w:t>
      </w:r>
    </w:p>
    <w:p>
      <w:pPr>
        <w:spacing w:after="0" w:line="72"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Although we have no commitments as of the date of this Annual Report on Form 10-K to issue any notes or other debt securities, or to otherwise incur outstanding debt, we may choose to incur substantial debt to complete the Proposed Transaction or another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82" w:lineRule="exact"/>
        <w:rPr>
          <w:sz w:val="20"/>
          <w:szCs w:val="20"/>
          <w:color w:val="auto"/>
        </w:rPr>
      </w:pPr>
    </w:p>
    <w:p>
      <w:pPr>
        <w:ind w:left="1080" w:right="3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the Proposed Transaction or other initial business combination are insufficient to repay our debt obligations;</w:t>
      </w:r>
    </w:p>
    <w:p>
      <w:pPr>
        <w:spacing w:after="0" w:line="75"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is outstanding;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75" w:lineRule="exact"/>
        <w:rPr>
          <w:rFonts w:ascii="Arial" w:cs="Arial" w:eastAsia="Arial" w:hAnsi="Arial"/>
          <w:sz w:val="18"/>
          <w:szCs w:val="18"/>
          <w:color w:val="auto"/>
        </w:rPr>
      </w:pPr>
    </w:p>
    <w:p>
      <w:pPr>
        <w:ind w:left="1080" w:right="66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228" w:lineRule="exact"/>
        <w:rPr>
          <w:sz w:val="20"/>
          <w:szCs w:val="20"/>
          <w:color w:val="auto"/>
        </w:rPr>
      </w:pPr>
    </w:p>
    <w:p>
      <w:pPr>
        <w:jc w:val="both"/>
        <w:ind w:left="120" w:right="40"/>
        <w:spacing w:after="0" w:line="266"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the initial public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7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The net proceeds from the initial public offering and the private placement provided us with $200,113,999 that we may use to complete the Proposed Transaction or another initial business combination (after taking into account the $7,258,020 of deferred underwriting commissions being held in the trust account).</w:t>
      </w:r>
    </w:p>
    <w:p>
      <w:pPr>
        <w:spacing w:after="0" w:line="184"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Although the Merger Agreement contemplates an initial business combination with a single target business, Bakkt, we may effectuate another initial business combination with a single target business or multiple target businesses simultaneously or within a short period of time. However, we may not be able to effectuate such other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the Proposed Transaction or another initial business combination with only Bakkt or another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86"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This lack of diversification may subject us to numerous economic, competitive and regulatory risks, any or all of which may have a substantial adverse impact upon the particular industry in which we may operate subsequent to the Proposed Transaction or other initial business combination.</w:t>
      </w:r>
    </w:p>
    <w:p>
      <w:pPr>
        <w:spacing w:after="0" w:line="228"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253" w:lineRule="exact"/>
        <w:rPr>
          <w:sz w:val="20"/>
          <w:szCs w:val="20"/>
          <w:color w:val="auto"/>
        </w:rPr>
      </w:pPr>
    </w:p>
    <w:p>
      <w:pPr>
        <w:jc w:val="both"/>
        <w:ind w:left="120" w:right="100"/>
        <w:spacing w:after="0" w:line="289" w:lineRule="auto"/>
        <w:rPr>
          <w:sz w:val="20"/>
          <w:szCs w:val="20"/>
          <w:color w:val="auto"/>
        </w:rPr>
      </w:pPr>
      <w:r>
        <w:rPr>
          <w:rFonts w:ascii="Arial" w:cs="Arial" w:eastAsia="Arial" w:hAnsi="Arial"/>
          <w:sz w:val="17"/>
          <w:szCs w:val="17"/>
          <w:b w:val="1"/>
          <w:bCs w:val="1"/>
          <w:color w:val="auto"/>
        </w:rPr>
        <w:t>We are attempting to complete the Proposed Transaction with Bakkt, aprivate company, and if we do not complete the Proposed Transaction we may attempt to complete another initial business with a private company, about which little information is available, which may result in a business combination with Bakkt or another company that is not as profitable as we suspected, if at all.</w:t>
      </w:r>
    </w:p>
    <w:p>
      <w:pPr>
        <w:spacing w:after="0" w:line="5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attempting to complete the Proposed Transaction with Bakkt, a privately held company. In pursuing our business combination strategy if we do not completed the Proposed Transaction, we may seek to effectuate another initial business combination with a different privately held company. Very little public information generally exists about private companies, and we could be required to make our decision on whether to pursue a potential initial business combination on the basis of limited information, which may result in a business combination with Bakkt or another company that is not as profitable as we suspected, if at all.</w:t>
      </w:r>
    </w:p>
    <w:p>
      <w:pPr>
        <w:spacing w:after="0" w:line="292" w:lineRule="exact"/>
        <w:rPr>
          <w:sz w:val="20"/>
          <w:szCs w:val="20"/>
          <w:color w:val="auto"/>
        </w:rPr>
      </w:pPr>
    </w:p>
    <w:p>
      <w:pPr>
        <w:ind w:left="120" w:right="600"/>
        <w:spacing w:after="0" w:line="312" w:lineRule="auto"/>
        <w:rPr>
          <w:sz w:val="20"/>
          <w:szCs w:val="20"/>
          <w:color w:val="auto"/>
        </w:rPr>
      </w:pPr>
      <w:r>
        <w:rPr>
          <w:rFonts w:ascii="Arial" w:cs="Arial" w:eastAsia="Arial" w:hAnsi="Arial"/>
          <w:sz w:val="17"/>
          <w:szCs w:val="17"/>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3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amended and restated memorandum and articles of association provide that in no event will we redeem our public shares in an amount that would cause our net tangible assets to be less than $5,000,001. In addition, the Proposed Transaction does, and any other proposed initial business combination may, impose a minimum cash requirement for: (i) cash consideration to be paid to the target or its owners, (ii) cash for working capital or other general corporate purposes or (iii) the retention of cash to satisfy other conditions. As a result, we may be able to complete the Proposed Transaction or another initial business combination even though a substantial majority of our public shareholders do not agree with the transaction and have redeemed their shares or, if we seek shareholder approval of the Proposed Transaction (as we expect to do) or another initial business combination and do not conduct redemptions in connection with the Proposed Transaction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Transaction or such other proposed business combination exceed the aggregate amount of cash available to us, we will not complete the Proposed Transaction or other business combination or redeem any shares, all Class A ordinary shares submitted for redemption will be returned to the holders thereof, and we instead may search for an alternate business combination.</w:t>
      </w:r>
    </w:p>
    <w:p>
      <w:pPr>
        <w:spacing w:after="0" w:line="272" w:lineRule="exact"/>
        <w:rPr>
          <w:sz w:val="20"/>
          <w:szCs w:val="20"/>
          <w:color w:val="auto"/>
        </w:rPr>
      </w:pPr>
    </w:p>
    <w:p>
      <w:pPr>
        <w:ind w:left="120"/>
        <w:spacing w:after="0" w:line="303" w:lineRule="auto"/>
        <w:rPr>
          <w:sz w:val="20"/>
          <w:szCs w:val="20"/>
          <w:color w:val="auto"/>
        </w:rPr>
      </w:pPr>
      <w:r>
        <w:rPr>
          <w:rFonts w:ascii="Arial" w:cs="Arial" w:eastAsia="Arial" w:hAnsi="Arial"/>
          <w:sz w:val="16"/>
          <w:szCs w:val="16"/>
          <w:b w:val="1"/>
          <w:bCs w:val="1"/>
          <w:color w:val="auto"/>
        </w:rPr>
        <w:t>In order to effectuate an initial business combination, special purpose acquisition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the Proposed Transaction or another initial business combination that our shareholders may not support.</w:t>
      </w:r>
    </w:p>
    <w:p>
      <w:pPr>
        <w:spacing w:after="0" w:line="47"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In order to effectuate a business combination, special purpose acquisition companies have, in the recent past, amended various provisions of their charters and governing instruments, including their warrant agreements. For example, special purpose acquisition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securities. Amending our amended and restated memorandum and articles of association will require a special resolution under Cayman Islands law, being the affirmative vote of a majority of at least two-thirds of the shareholders who attend and vote at a general meeting of the Company, and amending our warrant agreement will require a vote of holders of at least 50% of the public warrants and, solely with respect to any amendment to the terms of the private placement warrants or any provision of the warrant agreement with respect to the private placement warrants, 50% of the then outstanding private placement warrants. In addition, our amended and restated memorandum and articles of association requires us to provide our public shareholders with the opportunity to redeem their public shares for cash if we propose an amendment to our amended and restated memorandum and articles of association (A) to modify the substance or timing of our obligation to allow redemption in connection with our initial business combination or to redeem 100% of our public shares if we do not complete an initial business combination by September 25, 2022 or (B) with respect to any other material provisions relating to shareholders’ rights or pre-initial business combination activity. To the extent any of such amendments would be deemed to fundamentally change the nature of the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72"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holders of not less than two-third of our ordinary shares who attend and vote at a general meeting of the Company (or 65% of our ordinary shares with respect to amendments to the trust agreement governing the release of funds from our Trust Account), which is a lower amendment threshold than that of some other special purpose acquisition companies. It may be easier for us, therefore, to amend our amended and restated memorandum and articles of association to facilitate the completion of an initial business combination that some of our shareholders may not support.</w:t>
      </w:r>
    </w:p>
    <w:p>
      <w:pPr>
        <w:spacing w:after="0" w:line="85"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Our amended and restated memorandum and articles of association provides that any of its provisions related to pre-business combination activity (including the requirement to deposit proceeds of the initial public offering and the private placement of warrants into the trust account and not release such amounts except in specified circumstances, and to provide redemption rights to public shareholders as described herein)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special resolution, under Cayman Islands law being the affirmative vote of a majority of at least two-thirds of the shareholders who attend and vote at a general meeting of the Company, and corresponding provisions of the trust agreement governing the release of funds from our Trust Account may be amended if approved by holders of 65% of our ordinary shares. Our initial shareholders, who collectively beneficially own 20% of our outstanding ordinary shares, may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special purpose acquisition companies, and this may increase our ability to complete the Proposed Transaction or another business combination with which you do not agree. Our shareholders may pursue remedies against us for any breach of our amended and restated memorandum and articles of association.</w:t>
      </w:r>
    </w:p>
    <w:p>
      <w:pPr>
        <w:spacing w:after="0" w:line="184" w:lineRule="exact"/>
        <w:rPr>
          <w:sz w:val="20"/>
          <w:szCs w:val="20"/>
          <w:color w:val="auto"/>
        </w:rPr>
      </w:pPr>
    </w:p>
    <w:p>
      <w:pPr>
        <w:ind w:left="120" w:right="140"/>
        <w:spacing w:after="0" w:line="287" w:lineRule="auto"/>
        <w:rPr>
          <w:sz w:val="20"/>
          <w:szCs w:val="20"/>
          <w:color w:val="auto"/>
        </w:rPr>
      </w:pPr>
      <w:r>
        <w:rPr>
          <w:rFonts w:ascii="Arial" w:cs="Arial" w:eastAsia="Arial" w:hAnsi="Arial"/>
          <w:sz w:val="16"/>
          <w:szCs w:val="16"/>
          <w:color w:val="auto"/>
        </w:rPr>
        <w:t>Our sponsor, officers and directors have agreed, pursuant to written agreements with us, that they will not propose any amendment to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w:t>
      </w:r>
    </w:p>
    <w:p>
      <w:pPr>
        <w:spacing w:after="0" w:line="2"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2022 or (B) with respect to any other material provisions relating to shareholders’ rights or pre-initial business combination activity, unless we provide our public shareholders with the opportunity to redeem their Class A</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ordinary shares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Our shareholders are not parties to, or third-party beneficiaries of, these agreements and, as a result, will not have the ability to pursue remedies against our sponsor, officers, directors or director nominees for any breach of these agreements. As a result, in the event of a breach, our shareholders would need to pursue a shareholder derivative action, subject to applicable law.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letter agreement with our sponsor, officers and directors may be amended without shareholder approval.</w:t>
      </w:r>
    </w:p>
    <w:p>
      <w:pPr>
        <w:spacing w:after="0" w:line="121" w:lineRule="exact"/>
        <w:rPr>
          <w:sz w:val="20"/>
          <w:szCs w:val="20"/>
          <w:color w:val="auto"/>
        </w:rPr>
      </w:pPr>
    </w:p>
    <w:p>
      <w:pPr>
        <w:ind w:left="120" w:right="160"/>
        <w:spacing w:after="0" w:line="271" w:lineRule="auto"/>
        <w:rPr>
          <w:sz w:val="20"/>
          <w:szCs w:val="20"/>
          <w:color w:val="auto"/>
        </w:rPr>
      </w:pPr>
      <w:r>
        <w:rPr>
          <w:rFonts w:ascii="Arial" w:cs="Arial" w:eastAsia="Arial" w:hAnsi="Arial"/>
          <w:sz w:val="17"/>
          <w:szCs w:val="17"/>
          <w:color w:val="auto"/>
        </w:rPr>
        <w:t>Our letter agreement with our Sponsor, officers and directors contain provisions relating to transfer restrictions of our founder shares and private placement warrants, indemnification of the Trust Account, waiver of redemption rights and participation in liquidating distributions from the trust account. The letter agreement may be amended without shareholder approval (although releasing the parties from the restriction not to transfer the founder shares for 185 days following the date of our initial public offering will require the prior written consent of the underwriters). While we do not expect our board to approve any amendment to the letter agreement prior to the completion of the Proposed Transaction or another initial business combination, it may be possible that our board, in exercising its business judgment and subject to its fiduciary duties, chooses to approve one or more amendments to the letter agreement. Any such amendments to the letter agreement would not require approval from our shareholders and may have an adverse effect on the value of an investment in our securities.</w:t>
      </w:r>
    </w:p>
    <w:p>
      <w:pPr>
        <w:spacing w:after="0" w:line="282" w:lineRule="exact"/>
        <w:rPr>
          <w:sz w:val="20"/>
          <w:szCs w:val="20"/>
          <w:color w:val="auto"/>
        </w:rPr>
      </w:pPr>
    </w:p>
    <w:p>
      <w:pPr>
        <w:ind w:left="120" w:right="200"/>
        <w:spacing w:after="0" w:line="347" w:lineRule="auto"/>
        <w:rPr>
          <w:sz w:val="20"/>
          <w:szCs w:val="20"/>
          <w:color w:val="auto"/>
        </w:rPr>
      </w:pPr>
      <w:r>
        <w:rPr>
          <w:rFonts w:ascii="Arial" w:cs="Arial" w:eastAsia="Arial" w:hAnsi="Arial"/>
          <w:sz w:val="16"/>
          <w:szCs w:val="16"/>
          <w:b w:val="1"/>
          <w:bCs w:val="1"/>
          <w:color w:val="auto"/>
        </w:rPr>
        <w:t>We may be unable to obtain additional financing to complete the Proposed Transaction or another initial business combination or to fund the operations and growth of a target business, which could compel us to restructure or abandon a particular business combination.</w:t>
      </w:r>
    </w:p>
    <w:p>
      <w:pPr>
        <w:spacing w:after="0" w:line="1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If the cash portion of the purchase price exceeds the amount available from the trust account, net of amounts needed to satisfy any redemption by public shareholders and the funds provided by the PIPE Investment,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the Proposed Transaction or another initial business combination, we would be compelled to either restructure the transaction or abandon that particular business combination and seek an alternative target business candidate. Further, we may be required to obtain additional financing in connection with the closing of the Proposed Transaction or another initial business combination for general corporate purposes, including for maintenance or expansion of operations of the post-transaction businesses, the payment of principal or interest due on indebtedness incurred in completing the Proposed Transaction or such other initial business combination, or to fund the purchase of other companies. If we are unable to complete the Proposed Transaction or another initial business combination, our public shareholders may only receive their pro rata portion of the funds in the trust account that are available for distribution to public shareholders, and our warrants will expire worthless. In addition, even if we do not need additional financing to complete the Proposed Transaction or another initial business combination, we may require such financing to fund the operations or growth of the target business. The failure to secure additional financing could have a material adverse effect on the continued development or growth of Bakkt or such other target business. None of our officers, directors or shareholders is required to provide any financing to us in connection with or after the Proposed Transaction or another initial business combination.</w:t>
      </w:r>
    </w:p>
    <w:p>
      <w:pPr>
        <w:spacing w:after="0" w:line="275"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Our initial shareholders control a substantial interest in us and thus may exert a substantial influence on actions requiring a shareholder vote, potentially in a manner that you do not support.</w:t>
      </w:r>
    </w:p>
    <w:p>
      <w:pPr>
        <w:spacing w:after="0" w:line="5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initial shareholders own 20% of our issued and outstanding ordinary shares. Accordingly, they may exert a substantial influence on actions requiring a shareholder vote, potentially in a manner that you do not support,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including amendments to our amended and restated memorandum and articles of association. If our initial shareholders purchase any units or additional Class A ordinary shares in the aftermarket or in privately negotiated transactions, this would increase their control. Neither our initial shareholders nor, to our knowledge, any of our officers or directors, have any current intention to purchase additional securities, other than as disclosed in this Annual Report on Form 10-K. Factors that would be considered in making such additional purchases would include consideration of the current trading price of our Class A ordinary shares. In addition, our board of directors, whose members were appointed by our sponsor, is and will be divided into three classes, each of which will generally serve for a term for three years with only one class of directors being appointed in each year. We may not hold an annual or extraordinary general meeting to appoint new directors prior to the completion of the Proposed Transaction or another initial business combination, in which case all of the current directors will continue in office until at least the completion of the Proposed Transaction or other business combination. If there is an annual meeting, as a consequence of our “staggered” board of directors, only a minority of the board of directors will be considered for election and our initial shareholders, because of their ownership position, will have considerable influence regarding the outcome. . . . In addition, the founder shares, all of which are held by our initial shareholders, will, in a vote to continue the Company in a jurisdiction outside the Cayman Islands (which requires the approval of at least two thirds of the votes of all ordinary shares), including as required in connection with the Proposed Transaction, entitle the holders to ten votes for every founder share. This provision of our amended and restated memorandum and articles of association may only be amended by a special resolution passed by a majority of at least two-thirds of our ordinary shares voting in a general meeting. As a result, you will not have any influence over our continuation in a jurisdiction outside the Cayman Islands prior to the completion of the Proposed Transaction or another initial business combination. Accordingly, our initial shareholders will continue to exert control at least until the completion of the Proposed Transaction or another initial business combination.</w:t>
      </w:r>
    </w:p>
    <w:p>
      <w:pPr>
        <w:spacing w:after="0" w:line="278" w:lineRule="exact"/>
        <w:rPr>
          <w:sz w:val="20"/>
          <w:szCs w:val="20"/>
          <w:color w:val="auto"/>
        </w:rPr>
      </w:pPr>
    </w:p>
    <w:p>
      <w:pPr>
        <w:ind w:left="120" w:right="820"/>
        <w:spacing w:after="0" w:line="282"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58"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The federal proxy rules require that the proxy statement with respect to the vote on an initial business combination include historical and pro forma financial statement disclosure.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(“GAAP”), or international financial reporting standards as issued by the International Accounting Standards Board (“IFRS”), depending on the circumstances and the historical financial statements may be required to be audited in accordance with the standards of the Public Company Accounting Oversight Board (United States) (“PCAOB”). These financial statement requirements may limit the pool of potential target businesses we may acquire because some targets may be unable to provide such financial statements in time for us to disclose such statements in accordance with federal proxy rules and complete our initial business combination within the prescribed time frame.</w:t>
      </w:r>
    </w:p>
    <w:p>
      <w:pPr>
        <w:spacing w:after="0" w:line="300" w:lineRule="exact"/>
        <w:rPr>
          <w:sz w:val="20"/>
          <w:szCs w:val="20"/>
          <w:color w:val="auto"/>
        </w:rPr>
      </w:pPr>
    </w:p>
    <w:p>
      <w:pPr>
        <w:ind w:left="120" w:right="400"/>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the Proposed Transaction or another initial business combination, require substantial financial and management resources, and increase the time and costs of completing the Proposed Transaction or another initial business combination.</w:t>
      </w:r>
    </w:p>
    <w:p>
      <w:pPr>
        <w:spacing w:after="0" w:line="7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such as Bakkt with which we seek to complete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Proposed Transaction, or another target business with which we seek to complete another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business combination, including the Proposed Transaction.</w:t>
      </w:r>
    </w:p>
    <w:p>
      <w:pPr>
        <w:spacing w:after="0" w:line="29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Proposed Transaction or another initial business combination and our structure thereafter may not be tax-efficient to our shareholders and warrant holders. As a result of the Proposed Transaction or such other business combination, our tax obligations may be more complex, burdensome and uncertain.</w:t>
      </w:r>
    </w:p>
    <w:p>
      <w:pPr>
        <w:spacing w:after="0" w:line="72" w:lineRule="exact"/>
        <w:rPr>
          <w:sz w:val="20"/>
          <w:szCs w:val="20"/>
          <w:color w:val="auto"/>
        </w:rPr>
      </w:pPr>
    </w:p>
    <w:p>
      <w:pPr>
        <w:ind w:left="120" w:right="40"/>
        <w:spacing w:after="0" w:line="288" w:lineRule="auto"/>
        <w:rPr>
          <w:sz w:val="20"/>
          <w:szCs w:val="20"/>
          <w:color w:val="auto"/>
        </w:rPr>
      </w:pPr>
      <w:r>
        <w:rPr>
          <w:rFonts w:ascii="Arial" w:cs="Arial" w:eastAsia="Arial" w:hAnsi="Arial"/>
          <w:sz w:val="16"/>
          <w:szCs w:val="16"/>
          <w:color w:val="auto"/>
        </w:rPr>
        <w:t>Although we have attempted to structure the Proposed Transaction, and would attempt to structure another initial business combination in a tax-efficient manner, tax structuring considerations are complex, the relevant facts and law are uncertain and may change, and we may prioritize commercial and other considerations over tax considerations. For example, in connection with our initial business combination and subject to any requisite shareholder approval, we may structure our business combination in a manner that requires shareholders and/or warrant holders to recognize gain or income for tax purposes, effect a business combination with a target company in another jurisdiction, or reincorporate in a different jurisdiction (including, but not limited to, the jurisdiction in which the target company or business is located). We do not intend to make any cash distributions to shareholders or warrant holders to pay taxes in connection with the Proposed Transaction, another business combination or thereafter. Accordingly, a shareholder or a warrant holder may need to satisfy any liability resulting from the Proposed Transaction or such other initial business combination with cash from its own funds or by selling all or a portion of the shares received. In addition, shareholders and warrant holders may also be subject to additional income, withholding or other taxes with respect to their ownership of us after our initial business combination.</w:t>
      </w:r>
    </w:p>
    <w:p>
      <w:pPr>
        <w:spacing w:after="0" w:line="168"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addition, we may effect a business combination with a target company that has business operations outside of the United States, and possibly, business operations in multiple jurisdictions. If we effect such a business combination, we could be subject to significant income, withholding and other tax obligations in a number of jurisdictions with respect to income, operations and subsidiaries related to those jurisdictions. Due to the complexity of tax obligations and filings in other jurisdictions, we may have a heightened risk related to audits or examinations by U.S. federal, state, local and non-U.S. taxing authorities. This additional complexity and risk could have an adverse effect on our after-tax profitability and financial condition.</w:t>
      </w:r>
    </w:p>
    <w:p>
      <w:pPr>
        <w:spacing w:after="0" w:line="265"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b w:val="1"/>
          <w:bCs w:val="1"/>
          <w:color w:val="auto"/>
        </w:rPr>
        <w:t>We may engage one or more of our underwriters or one of their respective affiliates to provide additional services to us, which may include acting as financial advisor in connection with the Proposed Transaction or another initial business combination or as placement agent in connection with a related financing transaction. Our underwriters are entitled to receive deferred commissions that will released from the trust only on a completion of the Proposed Transaction or another initial business combination. These financial incentives may cause them to have potential conflicts of interest in rendering any such additional services to us, including, for example, in connection with the sourcing and consummation of the Proposed Transaction or another initial business combination.</w:t>
      </w:r>
    </w:p>
    <w:p>
      <w:pPr>
        <w:spacing w:after="0" w:line="6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We may engage one or more of our underwriters or one of their respective affiliates to provide additional services to us, including, for example, identifying potential targets, providing financial advisory services, acting as a placement agent in a private offering or arranging debt financing. We may pay such underwriter or its affiliate fair and reasonable fees or other compensation that would be determined at that time in an arm’s length negotiation. The underwriters are also entitled to receive deferred commissions that are conditioned on the completion of the Proposed Transaction or another initial business combination. The underwriters’ or their respective affiliates’ financial interests tied to the consummation of a business combination transaction may give rise to potential conflicts of interest in providing any such additional services to us, including potential conflicts of interest in connection with the sourcing and consummation of the Proposed Transaction or another initial business combination.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the Post Business Combination Company</w:t>
      </w:r>
    </w:p>
    <w:p>
      <w:pPr>
        <w:spacing w:after="0" w:line="117" w:lineRule="exact"/>
        <w:rPr>
          <w:sz w:val="20"/>
          <w:szCs w:val="20"/>
          <w:color w:val="auto"/>
        </w:rPr>
      </w:pPr>
    </w:p>
    <w:p>
      <w:pPr>
        <w:ind w:left="120" w:right="80"/>
        <w:spacing w:after="0" w:line="289" w:lineRule="auto"/>
        <w:rPr>
          <w:sz w:val="20"/>
          <w:szCs w:val="20"/>
          <w:color w:val="auto"/>
        </w:rPr>
      </w:pPr>
      <w:r>
        <w:rPr>
          <w:rFonts w:ascii="Arial" w:cs="Arial" w:eastAsia="Arial" w:hAnsi="Arial"/>
          <w:sz w:val="17"/>
          <w:szCs w:val="17"/>
          <w:b w:val="1"/>
          <w:bCs w:val="1"/>
          <w:color w:val="auto"/>
        </w:rPr>
        <w:t>Subsequent to our completion of the Proposed Transaction or another initial business combination, we may be required to take write-downs or write-offs, restructuring and impairment or other charges that could have a significant negative effect on our financial condition, results of operations and the price of our securities, which could cause you to lose some or all of your investment.</w:t>
      </w:r>
    </w:p>
    <w:p>
      <w:pPr>
        <w:spacing w:after="0" w:line="54"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Even if we conduct due diligence on a target business with which we combine, as we have done on Bakkt in connection with the Proposed Transaction, we cannot assure you that this diligence will identify all material issues that may be present with a Bakkt or another target business, that it would be possible to uncover all material issues through a customary amount of due diligence, or that factors outside of Bakkt or another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Proposed Transaction or other initial business combination or thereafter. Accordingly, any shareholders who choose to remain shareholders or following the Proposed Transaction or other business combination could suffer a reduction in the value of their securities. Such shareholders or warrant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or tender offer documents, as applicable, relating to the Proposed Transaction or other business combination contained an actionable material misstatement or material omission.</w:t>
      </w:r>
    </w:p>
    <w:p>
      <w:pPr>
        <w:spacing w:after="0" w:line="271" w:lineRule="exact"/>
        <w:rPr>
          <w:sz w:val="20"/>
          <w:szCs w:val="20"/>
          <w:color w:val="auto"/>
        </w:rPr>
      </w:pPr>
    </w:p>
    <w:p>
      <w:pPr>
        <w:jc w:val="both"/>
        <w:ind w:left="120" w:right="20"/>
        <w:spacing w:after="0" w:line="266" w:lineRule="auto"/>
        <w:rPr>
          <w:sz w:val="20"/>
          <w:szCs w:val="20"/>
          <w:color w:val="auto"/>
        </w:rPr>
      </w:pPr>
      <w:r>
        <w:rPr>
          <w:rFonts w:ascii="Arial" w:cs="Arial" w:eastAsia="Arial" w:hAnsi="Arial"/>
          <w:sz w:val="18"/>
          <w:szCs w:val="18"/>
          <w:b w:val="1"/>
          <w:bCs w:val="1"/>
          <w:color w:val="auto"/>
        </w:rPr>
        <w:t>The officers and directors of Bakkt, or another acquisition candidate, may resign upon completion of our the Proposed Transaction or another initial business combination. The loss of Bakkt’s or another business combination target’s key personnel could negatively impact the operations and profitability of our post-combination business.</w:t>
      </w:r>
    </w:p>
    <w:p>
      <w:pPr>
        <w:spacing w:after="0" w:line="72"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The role of Bakkt’s or another acquisition candidate’s key personnel upon the completion of the Proposed Transaction or another initial business combination cannot be ascertained at this time. Although we contemplate that certain members of Bakkt’s or another acquisition candidate’s management team will remain associated with Bakkt or such other acquisition candidate following the Proposed Transaction or other initial business combination, it is possible that members of the management of Bakkt or such other acquisition candidate will not wish to remain in place.</w:t>
      </w:r>
    </w:p>
    <w:p>
      <w:pPr>
        <w:spacing w:after="0" w:line="261" w:lineRule="exact"/>
        <w:rPr>
          <w:sz w:val="20"/>
          <w:szCs w:val="20"/>
          <w:color w:val="auto"/>
        </w:rPr>
      </w:pPr>
    </w:p>
    <w:p>
      <w:pPr>
        <w:ind w:left="120" w:right="380"/>
        <w:spacing w:after="0" w:line="266" w:lineRule="auto"/>
        <w:rPr>
          <w:sz w:val="20"/>
          <w:szCs w:val="20"/>
          <w:color w:val="auto"/>
        </w:rPr>
      </w:pPr>
      <w:r>
        <w:rPr>
          <w:rFonts w:ascii="Arial" w:cs="Arial" w:eastAsia="Arial" w:hAnsi="Arial"/>
          <w:sz w:val="18"/>
          <w:szCs w:val="18"/>
          <w:b w:val="1"/>
          <w:bCs w:val="1"/>
          <w:color w:val="auto"/>
        </w:rPr>
        <w:t>Our management may not maintain control of Bakkt after the Proposed Transaction or a different target business following another initial business combination. We cannot provide assurance that, upon loss of control of Bakkt or another target business, new management will possess the skills, qualifications or abilities necessary to profitably operate such business.</w:t>
      </w:r>
    </w:p>
    <w:p>
      <w:pPr>
        <w:spacing w:after="0" w:line="72"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Although the Proposed Transaction is structured so that the post-transaction company in which our public shareholders own shares will own 100% of the equity interests of the target, if we do not complete the Proposed Transactionwe may structure another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50% or more of the voting securities of the target, our shareholders prior to the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maintain control of the target business. If the Proposed Transaction is completed, our shareholders immediately prior to such transaction will own less than a majority of the post-business combination enity’s outstanding shares subsequent to such transaction.</w:t>
      </w:r>
    </w:p>
    <w:p>
      <w:pPr>
        <w:spacing w:after="0" w:line="285"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Bakkt or another prospective target business and, as a result, may effect the Proposed Transaction or another initial business combination with a target business whose management may not have the skills, qualifications or abilities to manage a public company.</w:t>
      </w:r>
    </w:p>
    <w:p>
      <w:pPr>
        <w:spacing w:after="0" w:line="72"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When evaluating the desirability of effecting the Proposed Transaction or anotherinitial business combination with a prospective target business, our ability to assess Bakkt’s or such othertarget business’s management may be limited due to a lack of time, resources or information. Our assessment of the capabilities of Bakkt’s or such othertarget business’s management, therefore, may prove to be incorrect and such management may lack the skills, qualifications or abilities we suspected. Should Bakkt’s or such othertarget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Proposed Transaction or other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Proposed Transaction or other initial business combination contained an actionable material misstatement or material omission.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Being an Entity Formed in a Foreign Country and Acquiring and Operating a Business in Foreign Countries</w:t>
      </w:r>
    </w:p>
    <w:p>
      <w:pPr>
        <w:spacing w:after="0" w:line="117" w:lineRule="exact"/>
        <w:rPr>
          <w:sz w:val="20"/>
          <w:szCs w:val="20"/>
          <w:color w:val="auto"/>
        </w:rPr>
      </w:pPr>
    </w:p>
    <w:p>
      <w:pPr>
        <w:ind w:left="120" w:right="240"/>
        <w:spacing w:after="0" w:line="282"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58"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We are an exempted company incorporated under the laws of the Cayman Islands. As a result, it may be difficult for investors to effect service of process within the United States upon our directors or officers, or enforce judgments obtained in the United States courts against our directors or officers.</w:t>
      </w:r>
    </w:p>
    <w:p>
      <w:pPr>
        <w:spacing w:after="0" w:line="184"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have been advised by Maples and Calder (Cayman) LLP,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68"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228"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Although Bakkt is located in the United States, if we do not complete the Proposed Transaction and instead effect our initial business combination with a company located outside of the United States, we would be subject to a variety of additional risks that may adversely affect us.</w:t>
      </w:r>
    </w:p>
    <w:p>
      <w:pPr>
        <w:spacing w:after="0" w:line="7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Although Bakkt is located in the United States, if we do not complete the Proposed Transaction and instead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187"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76"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30" w:lineRule="exact"/>
        <w:rPr>
          <w:rFonts w:ascii="Arial" w:cs="Arial" w:eastAsia="Arial" w:hAnsi="Arial"/>
          <w:sz w:val="18"/>
          <w:szCs w:val="18"/>
          <w:color w:val="auto"/>
        </w:rPr>
      </w:pPr>
    </w:p>
    <w:p>
      <w:pPr>
        <w:ind w:left="5540" w:right="4020" w:hanging="4884"/>
        <w:spacing w:after="0" w:line="449" w:lineRule="auto"/>
        <w:tabs>
          <w:tab w:leader="none" w:pos="1094"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 39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225"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288"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Following the Proposed Transaction or another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292"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If we do not completed the Proposed Transaction, and instead complete another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76"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80"/>
          </w:cols>
          <w:pgMar w:left="320" w:top="459"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1" w:lineRule="auto"/>
        <w:rPr>
          <w:sz w:val="20"/>
          <w:szCs w:val="20"/>
          <w:color w:val="auto"/>
        </w:rPr>
      </w:pPr>
      <w:r>
        <w:rPr>
          <w:rFonts w:ascii="Arial" w:cs="Arial" w:eastAsia="Arial" w:hAnsi="Arial"/>
          <w:sz w:val="16"/>
          <w:szCs w:val="16"/>
          <w:color w:val="auto"/>
        </w:rPr>
        <w:t>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Exchange rate fluctuations and currency policies may cause a target business’ ability to succeed in the international markets to be diminished.</w:t>
      </w:r>
    </w:p>
    <w:p>
      <w:pPr>
        <w:spacing w:after="0" w:line="144"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299"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58"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261"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We are subject to changing law and regulations regarding regulatory matters, corporate governance and public disclosure that have increased both our costs and the risk of non-compliance.</w:t>
      </w:r>
    </w:p>
    <w:p>
      <w:pPr>
        <w:spacing w:after="0" w:line="5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revenue-generating activities to compliance activities.</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employ a mail forwarding service, which may delay or disrupt our ability to receive mail in a timely manner</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Mail addressed to the Company and received at its registered office will be forwarded unopened to the forwarding address supplied by Company to be dealt with. None of the Company, its directors, officers, advisors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or service providers (including the organization which provides registered office services in the Cayman Islands) will bear any responsibility for any delay howsoever caused in mail reaching the forwarding address, which may impair your ability to communicate with 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Sponsor and Management Team</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are dependent upon our officers and directors and their loss could adversely affect our ability to operate.</w:t>
      </w:r>
    </w:p>
    <w:p>
      <w:pPr>
        <w:spacing w:after="0" w:line="121"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Our operations are dependent upon a relatively small group of individuals and, in particular, our officers and directors. We believe that our success depends on the continued service of our officers and directors, at least until we have completed The Proposed Transaction or another initial business combination. In addition, our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 The unexpected loss of the services of one or more of our directors or eofficers could have a detrimental effect on us.</w:t>
      </w:r>
    </w:p>
    <w:p>
      <w:pPr>
        <w:spacing w:after="0" w:line="268" w:lineRule="exact"/>
        <w:rPr>
          <w:sz w:val="20"/>
          <w:szCs w:val="20"/>
          <w:color w:val="auto"/>
        </w:rPr>
      </w:pPr>
    </w:p>
    <w:p>
      <w:pPr>
        <w:ind w:left="120" w:right="160"/>
        <w:spacing w:after="0" w:line="314" w:lineRule="auto"/>
        <w:rPr>
          <w:sz w:val="20"/>
          <w:szCs w:val="20"/>
          <w:color w:val="auto"/>
        </w:rPr>
      </w:pPr>
      <w:r>
        <w:rPr>
          <w:rFonts w:ascii="Arial" w:cs="Arial" w:eastAsia="Arial" w:hAnsi="Arial"/>
          <w:sz w:val="16"/>
          <w:szCs w:val="16"/>
          <w:b w:val="1"/>
          <w:bCs w:val="1"/>
          <w:color w:val="auto"/>
        </w:rPr>
        <w:t>Our ability to successfully effect the Proposed Transaction or another initial business combination and to be successful thereafter will be dependent upon the efforts of our key personnel, some of whom may join us following the Proposed Transaction or such other initial business combination. The loss of key personnel could negatively impact the operations and profitability of our post-combination business.</w:t>
      </w:r>
    </w:p>
    <w:p>
      <w:pPr>
        <w:spacing w:after="0" w:line="38"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ability to successfully effect the Proposed Transaction or another initial business combination is dependent upon the efforts of our key personnel. The role of our key personnel in, Bakkt or such other the target business, however, cannot presently be ascertained. Although some of our key personnel may remain with Bakkt or such other target business in senior management or advisory positions following the Proposed Transaction or such other initial business combination, it is likely that some or all of the management of Bakkt or such other the target business will remain in place. While we intend to closely scrutinize any individuals we engage after the Proposed Transaction or such other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27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the Proposed Transaction or another initial business combination.</w:t>
      </w:r>
    </w:p>
    <w:p>
      <w:pPr>
        <w:spacing w:after="0" w:line="7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 business combination, including the Proposed Transaction, and their other businesses. We do not intend to have any full-time employees prior to the completion of the Proposed Transaction or another initial business combination. Each of our officers is engaged in several other business endeavors for which he may be entitled to substantial compensation, and our executive officers are not obligated to contribute any specific number of hours per week to our affairs. Our independent directors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the Proposed Transaction or another initial business combination.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347" w:lineRule="auto"/>
        <w:rPr>
          <w:sz w:val="20"/>
          <w:szCs w:val="20"/>
          <w:color w:val="auto"/>
        </w:rPr>
      </w:pPr>
      <w:r>
        <w:rPr>
          <w:rFonts w:ascii="Arial" w:cs="Arial" w:eastAsia="Arial" w:hAnsi="Arial"/>
          <w:sz w:val="16"/>
          <w:szCs w:val="16"/>
          <w:b w:val="1"/>
          <w:bCs w:val="1"/>
          <w:color w:val="auto"/>
        </w:rPr>
        <w:t>Our officers and directors presently have, and any of them in the future may have additional, fiduciary or contractual obligations to other entities and, accordingly, may have conflicts of interest in determining to which entity a particular business opportunity should be presented.</w:t>
      </w:r>
    </w:p>
    <w:p>
      <w:pPr>
        <w:spacing w:after="0" w:line="12"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Until we consummate the Proposed Transaction or another initial business combination, we intend to engage in the business of identifying and combining with one or more businesses. Each of our officers and directors presently has, and any of them in the future may have, additional fiduciary or contractual obligations to other entities pursuant to which such officer or director is or will be required to present a business combination opportunity to such entities.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such potential conflicts would materially affect our ability to complete the Proposed Transaction or another initial business combination.</w:t>
      </w:r>
    </w:p>
    <w:p>
      <w:pPr>
        <w:spacing w:after="0" w:line="16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officers, directors, security holders and their respective affiliates may have competitive pecuniary interests that conflict with our interests.</w:t>
      </w:r>
    </w:p>
    <w:p>
      <w:pPr>
        <w:spacing w:after="0" w:line="14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officers, although we do not intend to do so, Bakkt is not affiliated with our sponsor, our directors or officers.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including Bakkt, may have or may in the future, result in a conflict of interest when determining whether the terms, conditions and timing of a particular business combination, including the Proposed Transaction,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However, we might not ultimately be successful in any claim we may make against them for such reason.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not have sufficient funds to satisfy indemnification claims of our directors and officers.</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indemnification provided will be able to be satisfied by us only if (i) we have sufficient funds outside of the trust Account or (ii) we consummate the Proposed Transaction or another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Securities</w:t>
      </w:r>
    </w:p>
    <w:p>
      <w:pPr>
        <w:spacing w:after="0" w:line="117" w:lineRule="exact"/>
        <w:rPr>
          <w:sz w:val="20"/>
          <w:szCs w:val="20"/>
          <w:color w:val="auto"/>
        </w:rPr>
      </w:pPr>
    </w:p>
    <w:p>
      <w:pPr>
        <w:ind w:left="120" w:right="320"/>
        <w:spacing w:after="0" w:line="282"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58" w:lineRule="exact"/>
        <w:rPr>
          <w:sz w:val="20"/>
          <w:szCs w:val="20"/>
          <w:color w:val="auto"/>
        </w:rPr>
      </w:pPr>
    </w:p>
    <w:p>
      <w:pPr>
        <w:ind w:left="120" w:right="100"/>
        <w:spacing w:after="0" w:line="284"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earliest to occur of: (i) our completion of an initial business combination, and then only in connection with those Class A ordinary shares that such shareholder properly elected to redeem, subject to the limitations and on the conditions described herein, (ii) the redemption of any public shares properly submitted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by September 25, 2022 or (B) with respect to any other material provisions relating to shareholders’ rights or pre-initial business combination activity, and</w:t>
      </w:r>
    </w:p>
    <w:p>
      <w:pPr>
        <w:spacing w:after="0" w:line="4" w:lineRule="exact"/>
        <w:rPr>
          <w:sz w:val="20"/>
          <w:szCs w:val="20"/>
          <w:color w:val="auto"/>
        </w:rPr>
      </w:pPr>
    </w:p>
    <w:p>
      <w:pPr>
        <w:ind w:left="120" w:right="20" w:hanging="4"/>
        <w:spacing w:after="0" w:line="251" w:lineRule="auto"/>
        <w:tabs>
          <w:tab w:leader="none" w:pos="43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redemption of our public shares if we are unable to complete an initial business combination by September 25, 2022, subject to applicable law and as further described herein. In addition, if our plan to redeem our public shares if we are unable to complete an initial business combination by September 25, 2022 is not completed for any reason, compliance with Cayman Islands law may require that we submit a plan of dissolution to our then-existing shareholders for approval prior to the distribution of the proceeds held in our trust account. In that case, public shareholders may be forced to wait beyond 24 months from the closing of the initial public offering before they receive funds from our trust account.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302"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The securities in which we invest the proceeds held in the trust account could bear a negative rate of interest, which could reduce the interest income available for payment of taxes or reduce the value of the assets held in trust such that the per share redemption amount received by shareholders may be less than $10.00 per share.</w:t>
      </w:r>
    </w:p>
    <w:p>
      <w:pPr>
        <w:spacing w:after="0" w:line="7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net proceeds of the initial public offering and certain proceeds from the sale of the private placement warrants, in the amount of $207,372,020, are held in an interest-bearing trust account. The proceeds held in the trust account may only be invested in direct U.S. Treasury obligations having a maturity of 185 days or less, or in certain money market funds which invest only in direct U.S.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withdraw to pay income taxes, if any) would be reduced. In the event that we are unable to complete our initial business combination, our public shareholders are entitled to receive their pro-rata share of the proceeds held in the trust account, plus any interest income. If the balance of the trust account is reduced below $207,372,020 as a result of negative interest rates, the amount of funds in the trust account available for distribution to our public shareholders may be reduced below $10.00 per share.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Nasdaq may delist our securities from trading on its exchange, which could limit investors’ ability to make transactions in our securities and subject us to additional trading restrictions.</w:t>
      </w:r>
    </w:p>
    <w:p>
      <w:pPr>
        <w:spacing w:after="0" w:line="58"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We cannot assure you that our securities will be, or will continue to be, listed on the Nasdaq in the future or prior to our initial business combination. In order to continue listing our securities on the Nasdaq prior to our initial business combination, we must maintain certain financial, distribution and share price levels. Generally, we must maintain a minimum amount in Shareholders’ equity (generally $2,500,000) and a minimum number of holders of our securities (generally 300 public holders). Additionally, in connection with our initial business combination, we will be required to demonstrate compliance with the Nasdaq’s initial listing requirements, which are more rigorous than the Nasdaq’s continued listing requirements, in order to continue to maintain the listing of our securities on the Nasdaq. For instance, our share price would generally be required to be at least $4.00 per share and our Shareholders’ equity would generally be required to be at least $5.0 million. We cannot assure you that we will be able to meet those initial listing requirements at that time.</w:t>
      </w:r>
    </w:p>
    <w:p>
      <w:pPr>
        <w:spacing w:after="0" w:line="192" w:lineRule="exact"/>
        <w:rPr>
          <w:sz w:val="20"/>
          <w:szCs w:val="20"/>
          <w:color w:val="auto"/>
        </w:rPr>
      </w:pPr>
    </w:p>
    <w:p>
      <w:pPr>
        <w:jc w:val="both"/>
        <w:ind w:left="120" w:right="320"/>
        <w:spacing w:after="0" w:line="263" w:lineRule="auto"/>
        <w:rPr>
          <w:sz w:val="20"/>
          <w:szCs w:val="20"/>
          <w:color w:val="auto"/>
        </w:rPr>
      </w:pPr>
      <w:r>
        <w:rPr>
          <w:rFonts w:ascii="Arial" w:cs="Arial" w:eastAsia="Arial" w:hAnsi="Arial"/>
          <w:sz w:val="18"/>
          <w:szCs w:val="18"/>
          <w:color w:val="auto"/>
        </w:rPr>
        <w:t>If the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jc w:val="both"/>
        <w:ind w:left="1080" w:right="20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Nasdaq,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Nasdaq, our securities would not qualify as covered securities under the statute and we would be subject to regulation in each state in which we offer our securities.</w:t>
      </w:r>
    </w:p>
    <w:p>
      <w:pPr>
        <w:spacing w:after="0" w:line="270"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Unlike some other similarly structured special purpose acquisition companies, our initial shareholders will receive additional Class A ordinary shares if we issue certain shares to consummate an initial business combination.</w:t>
      </w:r>
    </w:p>
    <w:p>
      <w:pPr>
        <w:spacing w:after="0" w:line="58"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The founder shares will automatically convert into Class A ordinary shares concurrently with or immediately following the consummation of our initial business combination on a one-for-one basis, subject to adjustment for share sub-divisions, share capitalizations reorganizations, recapitalizations and the like, and subject to further adjustment as provided herein. In the case that additional Class A ordinary shares or equity-linked securities are issued or deemed issued in connection with our initial business combination, the number of Class A ordinary shares issuable upon conversion of all founder shares will equal, in the aggregate, on an as-converted basis, 20% of the total number of Class A ordinary shares outstanding after such conversion (after giving effect to any redemptions of Class A ordinary shares by public shareholders), including the total number of Class A ordinary</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or rights exercisable for or convertible into Class A ordinary shares issued, or to be issued, to any seller in the initial business combination and any private placement warrants issued to our sponsor, officers or directors upon conversion of working capital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conversion of founder shares will never occur on a less than one-for-one basis. This is different than some other similarly structured special purpose acquisition companies in which the initial shareholders will only be issued an aggregate of 20% of the total number of shares to be outstanding prior to our initial business combination.</w:t>
      </w:r>
    </w:p>
    <w:p>
      <w:pPr>
        <w:spacing w:after="0" w:line="299" w:lineRule="exact"/>
        <w:rPr>
          <w:sz w:val="20"/>
          <w:szCs w:val="20"/>
          <w:color w:val="auto"/>
        </w:rPr>
      </w:pPr>
    </w:p>
    <w:p>
      <w:pPr>
        <w:ind w:left="120" w:right="100"/>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72" w:lineRule="exact"/>
        <w:rPr>
          <w:sz w:val="20"/>
          <w:szCs w:val="20"/>
          <w:color w:val="auto"/>
        </w:rPr>
      </w:pPr>
    </w:p>
    <w:p>
      <w:pPr>
        <w:ind w:left="120" w:right="120"/>
        <w:spacing w:after="0" w:line="288"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provides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the initial public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272" w:lineRule="exact"/>
        <w:rPr>
          <w:sz w:val="20"/>
          <w:szCs w:val="20"/>
          <w:color w:val="auto"/>
        </w:rPr>
      </w:pPr>
    </w:p>
    <w:p>
      <w:pPr>
        <w:jc w:val="both"/>
        <w:ind w:left="120" w:right="80"/>
        <w:spacing w:after="0" w:line="347" w:lineRule="auto"/>
        <w:rPr>
          <w:sz w:val="20"/>
          <w:szCs w:val="20"/>
          <w:color w:val="auto"/>
        </w:rPr>
      </w:pPr>
      <w:r>
        <w:rPr>
          <w:rFonts w:ascii="Arial" w:cs="Arial" w:eastAsia="Arial" w:hAnsi="Arial"/>
          <w:sz w:val="16"/>
          <w:szCs w:val="16"/>
          <w:b w:val="1"/>
          <w:bCs w:val="1"/>
          <w:color w:val="auto"/>
        </w:rPr>
        <w:t>Provisions in our amended and restated certificate memorandum and articles of association and Cayman Islands law may inhibit a takeover of us, which could limit the price investors might be willing to pay in the future for our Class A ordinary shares and could entrench management.</w:t>
      </w:r>
    </w:p>
    <w:p>
      <w:pPr>
        <w:spacing w:after="0" w:line="12"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Our amended and restated memorandum and articles of association contains provisions that may discourage unsolicited takeover proposals that shareholders may consider to be in their best interests. These provisions include a staggered board of directors and the ability of the board of directors to designate the terms of and issue new series of preferred shares, which may make more difficult the removal of management and may discourage transactions that otherwise could involve payment of a premium over prevailing market prices for our securities.</w:t>
      </w:r>
    </w:p>
    <w:p>
      <w:pPr>
        <w:spacing w:after="0" w:line="275" w:lineRule="exact"/>
        <w:rPr>
          <w:sz w:val="20"/>
          <w:szCs w:val="20"/>
          <w:color w:val="auto"/>
        </w:rPr>
      </w:pPr>
    </w:p>
    <w:p>
      <w:pPr>
        <w:jc w:val="both"/>
        <w:ind w:left="120" w:right="20"/>
        <w:spacing w:after="0" w:line="314" w:lineRule="auto"/>
        <w:rPr>
          <w:sz w:val="20"/>
          <w:szCs w:val="20"/>
          <w:color w:val="auto"/>
        </w:rPr>
      </w:pPr>
      <w:r>
        <w:rPr>
          <w:rFonts w:ascii="Arial" w:cs="Arial" w:eastAsia="Arial" w:hAnsi="Arial"/>
          <w:sz w:val="16"/>
          <w:szCs w:val="16"/>
          <w:b w:val="1"/>
          <w:bCs w:val="1"/>
          <w:color w:val="auto"/>
        </w:rPr>
        <w:t>We may amend the terms of the warrants in a manner that may be adverse to holders of public warrants with the approval by the holders of at least 50% of the then outstanding public warrants. As a result, the exercise price of your warrants could be increased, the exercise period could be shortened and the number of Class A ordinary shares purchasable upon exercise of a warrant could be decreased, all without your approval.</w:t>
      </w:r>
    </w:p>
    <w:p>
      <w:pPr>
        <w:spacing w:after="0" w:line="3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warrants will be issued in registered form under a warrant agreement between Continental Stock Transfer &amp; Trust Company, as warrant agent, and us. The warrant agreement provides that (a) the terms of the warrants may be amended without the consent of any holder for the purpose of curing any ambiguity, to correct any defective provision or mistake, including to conform the provisions of the warrant agreement to the description of the terms of the warrants and the warrant agreement set forth in the prospects for the Company’s initial public offering, (ii) adjusting the provisions relating to cash dividends on ordinary shares as contemplated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 xml:space="preserve">by and in accordance with the warrant agreement (or iii) adding or changing any provisions with respect to matters or questions arising under the warrant agreement as the parties to the warrant agreement may deem necessary or desirable and that the parties deem to not adversely affect the rights </w:t>
      </w:r>
      <w:r>
        <w:rPr>
          <w:rFonts w:ascii="Arial" w:cs="Arial" w:eastAsia="Arial" w:hAnsi="Arial"/>
          <w:sz w:val="16"/>
          <w:szCs w:val="16"/>
          <w:i w:val="1"/>
          <w:iCs w:val="1"/>
          <w:color w:val="auto"/>
        </w:rPr>
        <w:t>provided that</w:t>
      </w:r>
      <w:r>
        <w:rPr>
          <w:rFonts w:ascii="Arial" w:cs="Arial" w:eastAsia="Arial" w:hAnsi="Arial"/>
          <w:sz w:val="16"/>
          <w:szCs w:val="16"/>
          <w:color w:val="auto"/>
        </w:rPr>
        <w:t>, the approval of the holders of at least 50% of the then-outstanding public warrants is required to make any change that adversely affects</w:t>
      </w:r>
      <w:r>
        <w:rPr>
          <w:rFonts w:ascii="Arial" w:cs="Arial" w:eastAsia="Arial" w:hAnsi="Arial"/>
          <w:sz w:val="16"/>
          <w:szCs w:val="16"/>
          <w:i w:val="1"/>
          <w:iCs w:val="1"/>
          <w:color w:val="auto"/>
        </w:rPr>
        <w:t xml:space="preserve"> </w:t>
      </w:r>
      <w:r>
        <w:rPr>
          <w:rFonts w:ascii="Arial" w:cs="Arial" w:eastAsia="Arial" w:hAnsi="Arial"/>
          <w:sz w:val="16"/>
          <w:szCs w:val="16"/>
          <w:color w:val="auto"/>
        </w:rPr>
        <w:t>the interests of the registered holders of public warrants. Accordingly, we may amend the terms of the public warrants in a manner adverse to a holder of public warrants if holders of at least 50%% of the then outstanding public warrants approve of such amendment. Although our ability to amend the terms of the public warrants with the consent of at least 50% of the then outstanding public warrants is unlimited, examples of such amendments could be amendments to, among other things, increase the exercise price of the warrants, convert the warrants into cash or shares, shorten the exercise period or decrease the number of Class A ordinary shares purchasable upon exercise of a warrant.</w:t>
      </w:r>
    </w:p>
    <w:p>
      <w:pPr>
        <w:spacing w:after="0" w:line="269"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Our warrant agreement designates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54" w:lineRule="exact"/>
        <w:rPr>
          <w:sz w:val="20"/>
          <w:szCs w:val="20"/>
          <w:color w:val="auto"/>
        </w:rPr>
      </w:pPr>
    </w:p>
    <w:p>
      <w:pPr>
        <w:jc w:val="both"/>
        <w:ind w:left="120" w:right="60"/>
        <w:spacing w:after="0" w:line="301" w:lineRule="auto"/>
        <w:rPr>
          <w:sz w:val="20"/>
          <w:szCs w:val="20"/>
          <w:color w:val="auto"/>
        </w:rPr>
      </w:pPr>
      <w:r>
        <w:rPr>
          <w:rFonts w:ascii="Arial" w:cs="Arial" w:eastAsia="Arial" w:hAnsi="Arial"/>
          <w:sz w:val="16"/>
          <w:szCs w:val="16"/>
          <w:color w:val="auto"/>
        </w:rPr>
        <w:t>Our warrant agreement provides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57"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Any person or entity purchasing or otherwise acquiring any interest in any of our warrants shall be deemed to have notice of and to have consented to the forum warrant agreement. If any action, the subject matter of which is within the scope the forum provisions of the warrant agreement, is filed in a court other than a court of the State of New York or the United States District Court for the Southern District of New York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(an “enforcement action”), and (y) having service of process made upon such warrant holder in any such enforcement action by service upon such warrant holder’s counsel in the foreign action as agent for such warrant holder.</w:t>
      </w:r>
    </w:p>
    <w:p>
      <w:pPr>
        <w:spacing w:after="0" w:line="18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This choice-of-forum provision may limit a warrant 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A provision of our warrant agreement may make it more difficult for us to consummate the Proposed Transaction or another business combination.</w:t>
      </w:r>
    </w:p>
    <w:p>
      <w:pPr>
        <w:spacing w:after="0" w:line="152"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If (i) we issue additional ordinary shares or equity-linked securities for capital raising purposes in connection with the closing of our initial business combination at a Newly Issued Price of less than $9.20 per Class A ordinary share, (ii) the aggregate gross proceeds from such issuances represent more than 60% of the total equity proceeds, and interest thereon, available for the funding of our initial business combination, and (iii) the Market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Value of our Class A ordinary shares is below $9.20 per share, then the exercise price of the warrants will be adjusted (to the nearest cent) to be equal to 115% of the higher of the Market Value and the Newly Issued Price, and the $18.00 per share redemption trigger prices described below under “Description of Securities—Warrants—Public Warrants—Redemption of warrants when the price per Class A ordinary share equals or exceeds $18.00” and “Redemption of warrants when the price per Class A ordinary share equals or exceeds $10.00” will be adjusted (to the nearest cent) to be equal to 180% of the higher of the Market Value and the Newly Issued Price, and the $10.00 per share redemption trigger price described below under “Description of Securities—Warrants—Public Warrants—Redemption of warrants when the price per Class A ordinary share equals or exceeds $10.00” will be adjusted (to the nearest cent) to be equal to the higher of the Market Value and the Newly Issued Price. This may make it more difficult for us to consummate an initial business combination with a target business.</w:t>
      </w:r>
    </w:p>
    <w:p>
      <w:pPr>
        <w:spacing w:after="0" w:line="282" w:lineRule="exact"/>
        <w:rPr>
          <w:sz w:val="20"/>
          <w:szCs w:val="20"/>
          <w:color w:val="auto"/>
        </w:rPr>
      </w:pPr>
    </w:p>
    <w:p>
      <w:pPr>
        <w:ind w:left="120" w:right="580"/>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58"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 xml:space="preserve">We have the ability to redeem outstanding warrants at any time after they become exercisable and prior to their expiration, at a price of $0.01 per warrant,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closing price of our Class A ordinary shares equals or exceeds $18.00 per share (as adjusted for share sub-divisions, share capitalizations, reorganizations, recapitalizations and the like) for any 20 trading days within a 30 trading-day period ending on the third trading day prior to the date on which we give proper notice of such redemption to the warrant holders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certain other conditions are met. We will not redeem the warrants unless an effective registration statement under the Securities Act covering the Class A ordinary shares issuable upon exercise of the warrants is effective and a current prospectus relating to those Class A ordinary shares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w:t>
      </w:r>
    </w:p>
    <w:p>
      <w:pPr>
        <w:spacing w:after="0" w:line="17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In addition, we have the ability to redeem the outstanding public warrants at any time after they become exercisable and prior to their expiration, at a price of $0.10 per warrant upon a minimum of 30 days’ prior written notice of redemption;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the closing price of our Class A ordinary shares equals or exceeds $10.00 per share (as adjusted for adjustments to the number of shares issuable upon exercise or the exercise price of a warrant as described under the heading “—Warrants—Public Warrants—Redemption Procedures—Anti-dilution Adjustments” in Exhibit 4.5 filed herewith for any 20 trading days within a 30 trading-day period ending on the third trading day prior to proper notice of such redemption and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certain other conditions are met, including that holders will be able to exercise their warrants prior to redemption for a number of Class A ordinary shares determined based on the redemption date and the fair market value of our Class A ordinary shares. The value received upon exercise of the warrants (1) may be less than the value the holders would have received if they had been able to exercise their warrants at a later time at which the underlying share price is higher and (2) may not compensate the holders for the value of the warrants, including because the number of ordinary shares received is capped at 0.361 Class A ordinary shares per warrant (subject to adjustment) irrespective of the remaining life of the warrants. None of the private placement warrants will be redeemable by us so long as they are held by our sponsor or its permitted transferees.</w:t>
      </w:r>
    </w:p>
    <w:p>
      <w:pPr>
        <w:spacing w:after="0" w:line="276" w:lineRule="exact"/>
        <w:rPr>
          <w:sz w:val="20"/>
          <w:szCs w:val="20"/>
          <w:color w:val="auto"/>
        </w:rPr>
      </w:pPr>
    </w:p>
    <w:p>
      <w:pPr>
        <w:ind w:left="120" w:right="900"/>
        <w:spacing w:after="0" w:line="282" w:lineRule="auto"/>
        <w:rPr>
          <w:sz w:val="20"/>
          <w:szCs w:val="20"/>
          <w:color w:val="auto"/>
        </w:rPr>
      </w:pPr>
      <w:r>
        <w:rPr>
          <w:rFonts w:ascii="Arial" w:cs="Arial" w:eastAsia="Arial" w:hAnsi="Arial"/>
          <w:sz w:val="18"/>
          <w:szCs w:val="18"/>
          <w:b w:val="1"/>
          <w:bCs w:val="1"/>
          <w:color w:val="auto"/>
        </w:rPr>
        <w:t>You will not be permitted to exercise your warrants unless we register and qualify the underlying Class A ordinary shares or certain exemptions are available.</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If the issuance of the Class A ordinary shares upon exercise of the warrants is not registered, qualified or exempt from registration or qualification under the Securities Act and applicable state securities laws, holders of warrants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342" w:lineRule="auto"/>
        <w:rPr>
          <w:sz w:val="20"/>
          <w:szCs w:val="20"/>
          <w:color w:val="auto"/>
        </w:rPr>
      </w:pPr>
      <w:r>
        <w:rPr>
          <w:rFonts w:ascii="Arial" w:cs="Arial" w:eastAsia="Arial" w:hAnsi="Arial"/>
          <w:sz w:val="16"/>
          <w:szCs w:val="16"/>
          <w:color w:val="auto"/>
        </w:rPr>
        <w:t>will not be entitled to exercise such warrants and such warrants may have no value and expire worthless. In such event, holders who acquired their warrants as part of a purchase of units will have paid the full unit purchase price solely for the Class A ordinary shares included in the units.</w:t>
      </w:r>
    </w:p>
    <w:p>
      <w:pPr>
        <w:spacing w:after="0" w:line="124" w:lineRule="exact"/>
        <w:rPr>
          <w:sz w:val="20"/>
          <w:szCs w:val="20"/>
          <w:color w:val="auto"/>
        </w:rPr>
      </w:pPr>
    </w:p>
    <w:p>
      <w:pPr>
        <w:ind w:left="120" w:right="140"/>
        <w:spacing w:after="0" w:line="289"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that, as soon as practicable, but in no event later than 15 business days, after the closing the Proposed Transaction or another initial business combination, we will use our best efforts to file with the SEC a registration statement covering the registration under the Securities Act of the Class A ordinary shares issuable upon exercise of the warrants and thereafter will use our best efforts to cause the same to become effective within 60 business days following the Proposed Transaction or other initial business combination and to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w:t>
      </w:r>
    </w:p>
    <w:p>
      <w:pPr>
        <w:spacing w:after="0" w:line="166"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If the Class A ordinary shares issuable upon exercise of the warrants are not registered under the Securities Act, under the terms of the warrant agreement, holders of warrants who seek to exercise their warrants will not be permitted to do so for cash and, instead, will be required to do so on a cashless basis in accordance with Section 3(a)(9) of the Securities Act or another exemption.</w:t>
      </w:r>
    </w:p>
    <w:p>
      <w:pPr>
        <w:spacing w:after="0" w:line="184"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In no event will warrants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If our Class A ordinary shares are at the time of any exercise of a warrant not listed on a national securities exchange such that they satisfy the definition of “covered securities” under Section 18(b)(1) of the Securities Act, we may, at our option, not permit holders of warrants who seek to exercise their warrants to do so for cash and, instead, require them to do so on a cashless basis in accordance with Section 3(a)(9) of the Securities Act; in the event we so elect, we will not be required to file or maintain in effect a registration statement or register or qualify the shares underlying the warrants under applicable state securities laws, and in the event we do not so elect, we will use our best efforts to register or qualify the shares underlying the warrants under applicable state securities laws to the extent an exemption is not available.</w:t>
      </w:r>
    </w:p>
    <w:p>
      <w:pPr>
        <w:spacing w:after="0" w:line="178"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no event will we be required to net cash settle any warrant, or issue securities (other than upon a cashless exercise as described above) or other compensation in exchange for the warrants in the event that we are unable to register or qualify the shares underlying the warrants under the Securities Act or applicable state securities laws.</w:t>
      </w:r>
    </w:p>
    <w:p>
      <w:pPr>
        <w:spacing w:after="0" w:line="288"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You may only be able to exercise your public warrants on a “cashless basis” under certain circumstances, and if you do so, you will receive fewer Class A ordinary shares from such exercise than if you were to exercise such warrants for cash.</w:t>
      </w:r>
    </w:p>
    <w:p>
      <w:pPr>
        <w:spacing w:after="0" w:line="5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warrant agreement provides that in the following circumstances holders of warrants who seek to exercise their warrants will not be permitted to do for cash and will, instead, be required to do so on a cashless basis in accordance with Section 3(a)(9) of the Securities Act: (i) if the Class A ordinary shares issuable upon exercise of the warrants are not registered under the Securities Act in accordance with the terms of the warrant agreement; (ii) if we have so elected and the Class A ordinary shares are at the time of any exercise of a warrant not listed on a national securities exchange such that they satisfy the definition of “covered securities” under Section 18(b)(1) of the Securities Act and (iii) if we have so elected and we call the public warrants for redemption. If you</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exercise your public warrants on a cashless basis under the circumstances described in clauses (i) and (ii) in the preceding sentence, you would pay the warrant exercise price by surrendering the warrants for that number of Class A ordinary shares equal to the quotient obtained by dividing (x) the product of the number of Class A ordinary shares underlying the warrants, multiplied by the excess of the “fair market value” of our Class A ordinary shares (as defined in the next sentence) over the exercise price of the warrants by (y) the fair market value. The “fair market value” is the average reported closing price of the Class A ordinary shares for the 10 trading days ending on the third trading day prior to the date on which the notice of exercise is received by the warrant agent or on which the notice of redemption is sent to the holders of warrants, as applicable. As a result, you would receive fewer Class A ordinary shares from such exercise than if you were to exercise such warrants for cash.</w:t>
      </w:r>
    </w:p>
    <w:p>
      <w:pPr>
        <w:spacing w:after="0" w:line="281" w:lineRule="exact"/>
        <w:rPr>
          <w:sz w:val="20"/>
          <w:szCs w:val="20"/>
          <w:color w:val="auto"/>
        </w:rPr>
      </w:pPr>
    </w:p>
    <w:p>
      <w:pPr>
        <w:ind w:left="120" w:right="80"/>
        <w:spacing w:after="0" w:line="266" w:lineRule="auto"/>
        <w:rPr>
          <w:sz w:val="20"/>
          <w:szCs w:val="20"/>
          <w:color w:val="auto"/>
        </w:rPr>
      </w:pPr>
      <w:r>
        <w:rPr>
          <w:rFonts w:ascii="Arial" w:cs="Arial" w:eastAsia="Arial" w:hAnsi="Arial"/>
          <w:sz w:val="18"/>
          <w:szCs w:val="18"/>
          <w:b w:val="1"/>
          <w:bCs w:val="1"/>
          <w:color w:val="auto"/>
        </w:rPr>
        <w:t>The grant of registration rights to our initial shareholders and holders of our private placement warrants may make it more difficult to complete our initial business combination, and the future exercise of such rights may adversely affect the market price of our Class A ordinary shares.</w:t>
      </w:r>
    </w:p>
    <w:p>
      <w:pPr>
        <w:spacing w:after="0" w:line="7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and upon conversion of the founder shares) are entitled to registration rights pursuant to a registration rights agreement requiring us to register such securities and any other securities of the company acquired by them prior to the consummation of our initial business combination for resale.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We will bear the cost of registering these securities.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ordinary shares owned by our initial shareholders, holders of our private placement warrants or holders of our working capital loans or their respective permitted transferees are registered.</w:t>
      </w:r>
    </w:p>
    <w:p>
      <w:pPr>
        <w:spacing w:after="0" w:line="168"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In addition, the Merger Agreement contemplates that, at the Closing, the Sponsor, the Company, Bakkt equity holders and certain of their respective affiliates will enter into the Registration Rights Agreement, pursuant to which the Company will agree to register for resale, pursuant to Rule 415 under the Securities Act, certain of the Company’s shares of Class A common stock and warrants that are held by the parties thereto from time to time. This Registration Rights Agreement will terminate and replace the existing registration rights agreement currently in place between the Company, the Sponsor and certain of their respective affiliates. Each of the Stockholders (as defined in the Registration Rights Agreement) and their respective transferees will be entitled to request to sell all or a portion of their registrable securities in underwritten shelf takedown offerings, in each case subject to certain offering thresholds, applicable lock-up restrictions, issuer suspension periods and certain other conditions. Demanding Holders (as defined in the Registration Rights Agreement) are limited to three demand underwritten offerings for the term of the Registration Rights Agreement. In addition, the Stockholders (as defined in the Registration Rights Agreement) have certain “piggy-back” registration rights, subject to customary underwriter cutbacks, issuer suspension periods and certain other conditions. The Registration Rights Agreement includes customary indemnification provisions. The Company will bear the expenses incurred in connection with the filing of any registration statements filed pursuant to the terms of the Registration Rights Agreement, including the fees of one legal counsel to each of the Stockholders (as defined in the Registration Rights Agreement).</w:t>
      </w:r>
    </w:p>
    <w:p>
      <w:pPr>
        <w:spacing w:after="0" w:line="272"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5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issued warrants to purchase 10,368,601 of our Class A ordinary shares as part of the units sold in the initial public offering and, simultaneously with the closing of the initial public offering, we issued in a private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placement an aggregate of 6,147,440 private placement warrants, each exercisable to purchase one Class A ordinary share at $11.50 per share, subject to adjustment as described herein. In addition, if our sponsor makes any working capital loans it may convert those loans into up to an additional 1,500,000 private placement warrants, at the price of $1.00 per warrant. To the extent we issue ordinary shares to effectuate a business transaction,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28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special purpose acquisition companies.</w:t>
      </w:r>
    </w:p>
    <w:p>
      <w:pPr>
        <w:spacing w:after="0" w:line="5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17" w:lineRule="exact"/>
        <w:rPr>
          <w:sz w:val="20"/>
          <w:szCs w:val="20"/>
          <w:color w:val="auto"/>
        </w:rPr>
      </w:pPr>
    </w:p>
    <w:p>
      <w:pPr>
        <w:ind w:left="120" w:right="260"/>
        <w:spacing w:after="0" w:line="282" w:lineRule="auto"/>
        <w:rPr>
          <w:sz w:val="20"/>
          <w:szCs w:val="20"/>
          <w:color w:val="auto"/>
        </w:rPr>
      </w:pPr>
      <w:r>
        <w:rPr>
          <w:rFonts w:ascii="Arial" w:cs="Arial" w:eastAsia="Arial" w:hAnsi="Arial"/>
          <w:sz w:val="18"/>
          <w:szCs w:val="18"/>
          <w:b w:val="1"/>
          <w:bCs w:val="1"/>
          <w:color w:val="auto"/>
        </w:rPr>
        <w:t>We are a blank check company with no operating history and no revenues, and you have no basis on which to evaluate our ability to achieve our business objective.</w:t>
      </w:r>
    </w:p>
    <w:p>
      <w:pPr>
        <w:spacing w:after="0" w:line="5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We are a blank check company incorporated as a Cayman Islands exempted company with no operating results, and we will not commence operations until obtaining funding through the initial public offering. Because we lack an operating history, you have no basis upon which to evaluate our ability to achieve our business objective of completing our initial business combination.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280" w:lineRule="exact"/>
        <w:rPr>
          <w:sz w:val="20"/>
          <w:szCs w:val="20"/>
          <w:color w:val="auto"/>
        </w:rPr>
      </w:pPr>
    </w:p>
    <w:p>
      <w:pPr>
        <w:ind w:left="120" w:right="280"/>
        <w:spacing w:after="0" w:line="347" w:lineRule="auto"/>
        <w:rPr>
          <w:sz w:val="20"/>
          <w:szCs w:val="20"/>
          <w:color w:val="auto"/>
        </w:rPr>
      </w:pPr>
      <w:r>
        <w:rPr>
          <w:rFonts w:ascii="Arial" w:cs="Arial" w:eastAsia="Arial" w:hAnsi="Arial"/>
          <w:sz w:val="16"/>
          <w:szCs w:val="16"/>
          <w:b w:val="1"/>
          <w:bCs w:val="1"/>
          <w:color w:val="auto"/>
        </w:rPr>
        <w:t>Past performance by our management team and their affiliates, including investments and transactions in which they have participated and businesses with which they have been associated, may not be indicative of future performance of an investment in the Company.</w:t>
      </w:r>
    </w:p>
    <w:p>
      <w:pPr>
        <w:spacing w:after="0" w:line="1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Information regarding our management team and their affiliates, including investments and transactions in which they have participated and businesses with which they have been associated, is presented for informational purposes only. Any past experience and performance by our management team and their affiliates and the businesses with which they have been associated, is not a guarantee that we have or will be able to successfully identify a suitable candidate for our initial business combination, that we will be able to provide positive returns to our shareholders, or of any results with respect to the Proposed Transaction or any other initial business combination we may consummate. You should not rely on the historical experiences of our management team and their affiliates, including investments and transactions in which they have participated and businesses with which they have been associated, as indicative of the future performance of an investment in us or as indicative of every prior investment by each of the members of our management team or their affiliates. The market price of our securities may be influenced by numerous factors, many of which are beyond our control, and our securityholders may experience losses on their investment in our securities.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Cyber incidents or attacks directed at us could result in information theft, data corruption, operational disruption and/or financial loss.</w:t>
      </w:r>
    </w:p>
    <w:p>
      <w:pPr>
        <w:spacing w:after="0" w:line="133"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268" w:lineRule="exact"/>
        <w:rPr>
          <w:sz w:val="20"/>
          <w:szCs w:val="20"/>
          <w:color w:val="auto"/>
        </w:rPr>
      </w:pPr>
    </w:p>
    <w:p>
      <w:pPr>
        <w:ind w:left="120" w:right="40"/>
        <w:spacing w:after="0" w:line="314" w:lineRule="auto"/>
        <w:rPr>
          <w:sz w:val="20"/>
          <w:szCs w:val="20"/>
          <w:color w:val="auto"/>
        </w:rPr>
      </w:pPr>
      <w:r>
        <w:rPr>
          <w:rFonts w:ascii="Arial" w:cs="Arial" w:eastAsia="Arial" w:hAnsi="Arial"/>
          <w:sz w:val="16"/>
          <w:szCs w:val="16"/>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38"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internal controls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72"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ordinary shares held by non-affiliates exceeds $250 million as of the prior June 30, or (2) our annual revenues exceeded $100 million during such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Our warrants are accounted for as liabilities and the changes in value of our warrants could have a material effect on our financial results.</w:t>
      </w:r>
    </w:p>
    <w:p>
      <w:pPr>
        <w:spacing w:after="0" w:line="144"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On April 12, 2021, the Acting Director of the Division of Corporation Finance and Acting Chief Accountant of the SEC together issued a statement regarding the accounting and reporting considerations for warrants issued by special purpose acquisition companies entitled “Staff Statement on Accounting and Reporting Considerations for Warrants Issued by Special Purpose Acquisition Companies (“SPACs”)” (the “SEC Staff Statement”). Specifically, the SEC Staff Statement focused on certain settlement terms and provisions related to certain tender offers following a business combination, which terms are similar to those contained in the warrant agreement governing our warrants. As a result of the SEC Staff Statement, we reevaluated the accounting treatment of our 10,368,601 Public Warrants and 6,147,440 Private Placement Warrants, and determined to classify the warrants as derivative liabilities measured at fair value, with changes in fair value each period reported in earnings.</w:t>
      </w:r>
    </w:p>
    <w:p>
      <w:pPr>
        <w:spacing w:after="0" w:line="166" w:lineRule="exact"/>
        <w:rPr>
          <w:sz w:val="20"/>
          <w:szCs w:val="20"/>
          <w:color w:val="auto"/>
        </w:rPr>
      </w:pPr>
    </w:p>
    <w:p>
      <w:pPr>
        <w:ind w:left="120" w:right="200"/>
        <w:spacing w:after="0" w:line="270" w:lineRule="auto"/>
        <w:rPr>
          <w:sz w:val="20"/>
          <w:szCs w:val="20"/>
          <w:color w:val="auto"/>
        </w:rPr>
      </w:pPr>
      <w:r>
        <w:rPr>
          <w:rFonts w:ascii="Arial" w:cs="Arial" w:eastAsia="Arial" w:hAnsi="Arial"/>
          <w:sz w:val="17"/>
          <w:szCs w:val="17"/>
          <w:color w:val="auto"/>
        </w:rPr>
        <w:t>As a result, included on our balance sheet as of December 31, 2021 contained elsewhere in this Annual Report are derivative liabilities related to our warrants. Accounting Standards Codification 815, Derivatives and Hedging (“ASC 815”), provides for the remeasurement of the fair value of such derivatives at each balance sheet date, with a resulting non-cash gain or loss related to the change in the fair value being recognized in earnings in the statement of operations. As a result of the recurring fair value measurement, our financial statements and results of operations may fluctuate quarterly, based on factors, which are outside of our control. Due to the recurring fair value measurement, we expect that we will recognize non-cash gains or losses on our warrants each reporting period and that the amount of such gains or losses could be material. The impact of changes in fair value on earnings may have an adverse effect on the market price of our ordinary shares. In addition, potential targets may seek a special purpose acquisition company that does not have warrants that are accounted for as liability, which may make it more difficult for us to consummate an initial business combination with a target business.</w:t>
      </w:r>
    </w:p>
    <w:p>
      <w:pPr>
        <w:spacing w:after="0" w:line="285" w:lineRule="exact"/>
        <w:rPr>
          <w:sz w:val="20"/>
          <w:szCs w:val="20"/>
          <w:color w:val="auto"/>
        </w:rPr>
      </w:pPr>
    </w:p>
    <w:p>
      <w:pPr>
        <w:ind w:left="120" w:right="320"/>
        <w:spacing w:after="0" w:line="312" w:lineRule="auto"/>
        <w:rPr>
          <w:sz w:val="20"/>
          <w:szCs w:val="20"/>
          <w:color w:val="auto"/>
        </w:rPr>
      </w:pPr>
      <w:r>
        <w:rPr>
          <w:rFonts w:ascii="Arial" w:cs="Arial" w:eastAsia="Arial" w:hAnsi="Arial"/>
          <w:sz w:val="17"/>
          <w:szCs w:val="17"/>
          <w:b w:val="1"/>
          <w:bCs w:val="1"/>
          <w:color w:val="auto"/>
        </w:rPr>
        <w:t>We have identified a material weakness in our internal control over financial reporting. This material weakness could continue to adversely affect our ability to report our results of operations and financial condition accurately and in a timely manner.</w:t>
      </w:r>
    </w:p>
    <w:p>
      <w:pPr>
        <w:spacing w:after="0" w:line="3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As described elsewhere in this Annual Report, we identified a material weakness in our internal control over financial reporting related to the accounting for a significant and unusual transaction related to the warrants we issued in connection with our initial public offering in September 2020. As a result of this material weakness, our management concluded that our internal control over financial reporting was not effective as of December 31, 2020. This material weakness resulted in a material misstatement of our warrant liabilities, change in fair value of warrant liabilities, Class A common stock subject to possible redemption, additional paid-in capital, accumulated deficit and related financial disclosures as of and for the period ended December 31, 2020 (the “Affected Period”).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To respond to this material weakness, we have devoted significant effort and resources to the remediation and improvement of our internal control over financial reporting, see “Note 2—Restatement of Previously Issued Financial Statements” to the accompanying consolidated financial statements, as well as Part II, Item 9A: Controls and Procedures included in this Annual Report.</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Efforts to remediate this material weakness may not be effective or prevent any future material weakness or significant deficiency in our internal control over financial reporting. If our efforts are not successful or other material weaknesses or control deficiencies occur in the future, we may be unable to report our financial results accurately on a timely basis, which could cause our reported financial results to be materially misstated and result in the loss of investor confidence and cause the market price of our common stock to decline. Ineffective internal controls could also cause investors to lose confidence in our reported financial information, which could have a negative effect on the trading price of our stock.</w:t>
      </w:r>
    </w:p>
    <w:p>
      <w:pPr>
        <w:spacing w:after="0" w:line="176" w:lineRule="exact"/>
        <w:rPr>
          <w:sz w:val="20"/>
          <w:szCs w:val="20"/>
          <w:color w:val="auto"/>
        </w:rPr>
      </w:pPr>
    </w:p>
    <w:p>
      <w:pPr>
        <w:ind w:left="120" w:right="420"/>
        <w:spacing w:after="0" w:line="257" w:lineRule="auto"/>
        <w:rPr>
          <w:sz w:val="20"/>
          <w:szCs w:val="20"/>
          <w:color w:val="auto"/>
        </w:rPr>
      </w:pPr>
      <w:r>
        <w:rPr>
          <w:rFonts w:ascii="Arial" w:cs="Arial" w:eastAsia="Arial" w:hAnsi="Arial"/>
          <w:sz w:val="18"/>
          <w:szCs w:val="18"/>
          <w:color w:val="auto"/>
        </w:rPr>
        <w:t>We can give no assurance that the measures we have taken or plan to take in the future will remediate the material weakness identified or that any additional material weaknesses or restatements of financial results will not arise in the future due to a failure to implement and maintain adequate internal control over financial reporting or circumvention of these controls. In addition, even if we are successful in strengthening our controls and procedures, in the future those controls and procedures may not be adequate to prevent or identify irregularities or errors or to facilitate the fair presentation of our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We may face litigation and other risks as a result of the material weakness in our internal control over financial reporting.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Following the issuance of the SEC Staff Statement, our management and our audit committee concluded that it was appropriate to restate our previously issued audited financial statements as of December 31, 2020. As discussed elsewhere in this Annual Report, we identified a material weakness in our internal controls over financial reporting related to the accounting for a significant and unusual transaction related to the warrants we issued in connection with our initial public offering in December 2020.</w:t>
      </w:r>
    </w:p>
    <w:p>
      <w:pPr>
        <w:spacing w:after="0" w:line="18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a result of such material weakness, the restatement of our financial statements for the Affected Period, the change in accounting for the warrants, and other matters raised or that may in the future be raised by the SEC, we may face potential litigation or other disputes which may include, among others, claims invoking the federal and state securities laws, contractual claims or other claims arising from the restatement and material weaknesses in our internal control over financial reporting and the preparation of our consolidated financial statements. As of the date of this Annual Report, we have no knowledge of any such litigation or dispute. However, we can provide no assurance that such litigation or dispute will not arise in the future. Any such litigation or dispute, whether successful or not, could have a material adverse effect on our business and results of operations and financial condition.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180"/>
        <w:spacing w:after="0" w:line="258" w:lineRule="auto"/>
        <w:rPr>
          <w:sz w:val="20"/>
          <w:szCs w:val="20"/>
          <w:color w:val="auto"/>
        </w:rPr>
      </w:pPr>
      <w:r>
        <w:rPr>
          <w:rFonts w:ascii="Arial" w:cs="Arial" w:eastAsia="Arial" w:hAnsi="Arial"/>
          <w:sz w:val="18"/>
          <w:szCs w:val="18"/>
          <w:color w:val="auto"/>
        </w:rPr>
        <w:t>Our executive offices are located at 150 North Riverside Plaza, Suite 5200, Chicago, IL. Our executive offices are provided to us by an affiliate of the Sponsor and we have agreed to pay such affiliate of the Sponsor a total of</w:t>
      </w:r>
    </w:p>
    <w:p>
      <w:pPr>
        <w:spacing w:after="0" w:line="1" w:lineRule="exact"/>
        <w:rPr>
          <w:sz w:val="20"/>
          <w:szCs w:val="20"/>
          <w:color w:val="auto"/>
        </w:rPr>
      </w:pPr>
    </w:p>
    <w:p>
      <w:pPr>
        <w:ind w:left="120" w:right="260"/>
        <w:spacing w:after="0" w:line="260" w:lineRule="auto"/>
        <w:rPr>
          <w:sz w:val="20"/>
          <w:szCs w:val="20"/>
          <w:color w:val="auto"/>
        </w:rPr>
      </w:pPr>
      <w:r>
        <w:rPr>
          <w:rFonts w:ascii="Arial" w:cs="Arial" w:eastAsia="Arial" w:hAnsi="Arial"/>
          <w:sz w:val="18"/>
          <w:szCs w:val="18"/>
          <w:color w:val="auto"/>
        </w:rPr>
        <w:t>$10,000 per month for office space, utilities and secretarial and administrative support. We consider our current office space adequate for our current operations.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59"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or any of our officers or directors in their corporate capacity.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880"/>
          </w:cols>
          <w:pgMar w:left="320" w:top="459" w:right="6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right="1700"/>
        <w:spacing w:after="0" w:line="377" w:lineRule="auto"/>
        <w:rPr>
          <w:sz w:val="20"/>
          <w:szCs w:val="20"/>
          <w:color w:val="auto"/>
        </w:rPr>
      </w:pPr>
      <w:r>
        <w:rPr>
          <w:rFonts w:ascii="Arial" w:cs="Arial" w:eastAsia="Arial" w:hAnsi="Arial"/>
          <w:sz w:val="18"/>
          <w:szCs w:val="18"/>
          <w:b w:val="1"/>
          <w:bCs w:val="1"/>
          <w:color w:val="auto"/>
        </w:rPr>
        <w:t>Item 5. Market for Registrant’s Common Equity, Related Shareholder Matters and Issuer Purchases of Equity Securities. Market Information</w:t>
      </w:r>
    </w:p>
    <w:p>
      <w:pPr>
        <w:spacing w:after="0" w:line="2"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Our units, Class A ordinary shares and warrants are traded on the Nasdaq Stock Market under the symbols “VIHAU,” “VIH” and “VIHAW,”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w:t>
      </w:r>
    </w:p>
    <w:p>
      <w:pPr>
        <w:spacing w:after="0" w:line="121"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As of March 19, 2021, there was 1 holder of record of our units, 1 holder of record of our Class A ordinary shares and 2 holders of record of our warrants.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an initial business combination. The payment of cash dividends in the future will be dependent upon our revenues and earnings, if any, capital requirements and general financial conditions subsequent to completion of an initial business combination. The payment of any cash dividends subsequent to an initial business combination will be within the discretion of our board of directors at such time. If we incur any indebtedness, our ability to declare dividends may be limited by restrictive covenants we may agree to in connection therewith.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Sales of Unregistered Securities; Use of Proceeds from Registered Offerings</w:t>
      </w:r>
    </w:p>
    <w:p>
      <w:pPr>
        <w:spacing w:after="0" w:line="121"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On August 3, 2020, our Sponsor, paid $25,000, or approximately $0.004 per share, to cover certain of our offering costs in exchange for 5,750,000 Class B ordinary shares. In September 2020, our Sponsor transferred an aggregate of 60,000 Class B ordinary shares to member of our board of directors, resulting in our Sponsor holding 5,690,000 Class B ordinary shares. Such securities were issued in connection with our organization pursuant to the exemption from registration contained in Section 4(a)(2) of the Securities Act. The number of founder shares issued was determined based on the expectation that the total size of our initial public offering would be a maximum of 23,000,000 units if the underwriters’ over-allotment option was exercised in full and therefore that such founder shares would represent 20% of the outstanding shares after our initial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8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September 25, 2020, we consummated our Initial Public Offering of 20,000,000 Units. On October 1, 2020, in connection with underwriters’ election to partially exercise their option to purchase additional Units, we sold an additional 737,202 Units., at a price of $10.00 per Unit, generating total gross proceeds of $207,372,020. Jefferies LLC acted as the sole book-running manager. The securities sold in the offering were registered under the Securities Act on registration statements on Form S-1 (No. 333-248619). The registration statements became effective on September 22, 2020.</w:t>
      </w:r>
    </w:p>
    <w:p>
      <w:pPr>
        <w:spacing w:after="0" w:line="15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part and the sale of the Private Placement Warrants, we consummated a private placement of 6,147,440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Private Placement Warrants to our Sponsor at a price of $1.00 per Private Placement Warrant, generating total proceeds of $6,147,440. Such securities were issued pursuant to the exemption from registration contained in Section 4(a)(2) of the Securities Act.</w:t>
      </w:r>
    </w:p>
    <w:p>
      <w:pPr>
        <w:spacing w:after="0" w:line="170"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Of the gross proceeds received from the Initial Public Offering including the partial exercise of the option to purchase additional Units, and the sale of the Private Placement Warrants, $207,372,020 was placed in the Trust Account.</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We paid a total of $4,147,440 in underwriting discounts and commissions and $501,146 for other offering costs related to the Initial Public Offering. In addition, the underwriters agreed to defer $7,258,021 in underwriting discounts and commissions.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There has been no material change in the planned use of proceeds from the public offering as described in the prospectus filed by the Company on September 24, 2020.</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On January 11, 2021, concurrently with the execution of the Merger Agreement, we entered into the Subscription Agreements with the PIPE Investors, pursuant to, and on the terms and subject to the conditions of which, the PIPE Investors have collectively subscribed for 32,500,000 the Company’s shares of Class A common stock. The PIPE Investment will be consummated immediately prior to the Closing.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 Such securities have not been registered under the Securities Act in reliance upon the exemption from registration contained in Section 4(a)(2) of the Securities Act. The Subscription Agreements provide for certain customary registration rights for the PIPE Investors.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References to “we”, “us”, “our” or the “Company” are to VPC Impact Acquisition Holdings, except where the context requires otherwise. The following discussion should be read in conjunction with our consolidated financial statements and related notes thereto included elsewhere in this Annual Report on Form 10-K.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This Annual Report on Form 10-K includes forward-looking statements within the meaning of Section 27A of the Securities Act,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In this Annual Report Form on 10-K/A for the period ended December 31, 2020, we are restating our audited financial statements as of, and for the period ended December 31, 2020.</w:t>
      </w:r>
    </w:p>
    <w:p>
      <w:pPr>
        <w:spacing w:after="0" w:line="170"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The restatement results from our prior accounting for our outstanding warrants to purchase comment stock issued in connection with our initial public offering and private placement on September 25, 2020 which had been classified as a component of equity on the premise that the instruments were indexed to our own stock and were eligible to be accounted for as equity instruments instead of classifying them as derivative liabilities.</w:t>
      </w:r>
    </w:p>
    <w:p>
      <w:pPr>
        <w:spacing w:after="0" w:line="14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On April 12, 2021, the SEC Staff issued the SEC Staff Statement expressing the SEC Staff’s view that certain terms and conditions common to SPAC warrants may require the warrants to be classified as liabilities on the SPAC’s balance sheet instead of equity. Since issuance on September 25, 2020, our warrants were accounted for as equity within our balance sheet, and after discussion and evaluation, including with our independent auditors, we have concluded that our warrants should be presented as liabilities with subsequent fair value remeasurement.</w:t>
      </w:r>
    </w:p>
    <w:p>
      <w:pPr>
        <w:spacing w:after="0" w:line="17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Historically, our outstanding warrants to purchase common stock (the “Warrants”) were reflected as a component of equity instead of liabilities on the balance sheets and the statements of operations did not include the subsequent non-cash changes in estimated fair value of the Warrants, based on our application of ASC 815-40. The views expressed in the SEC Staff Statement were not consistent with our historical interpretation of the specific provisions within the warrant agreement and the Company’s application of ASC 815-40 to the warrant agreement. In consultation with our audit committee, we concluded that our previously issued financial statements of affected periods should be restated and that the warrants should be classified as liabilities measured at fair value upon issuance, with subsequent changes in fair value reported in our Statement of Operations each reporting period.</w:t>
      </w:r>
    </w:p>
    <w:p>
      <w:pPr>
        <w:spacing w:after="0" w:line="16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accounting for the warrants as derivative liabilities instead of as equity did not have any effect on our previously reported revenue, operating expenses, operating income, cash flows or cash.</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connection with the restatement, our management reassessed the effectiveness of its disclosure controls and procedures for the periods affected by the restatement. As a result of that reassessment, we determined that its disclosure controls and procedures for such periods were not effective with respect to the classification of the Company’s Warrants as components of equity instead of as derivative liabilities. For more information, see Item 9A included in this report on Form 10-K/A.</w:t>
      </w:r>
    </w:p>
    <w:p>
      <w:pPr>
        <w:spacing w:after="0" w:line="18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restatement is more fully described in Note 2 “Restatement of Previously Issued Financial Statements” to the consolidated financial statements included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January 11, 2021, the Company entered into the Merger Agreement, with the Merger Sub, and Bakkt. The Merger Agreement provides that, among other things and upon the terms and subject to the conditions thereof, the following Proposed Transaction:</w:t>
      </w:r>
    </w:p>
    <w:p>
      <w:pPr>
        <w:spacing w:after="0" w:line="62" w:lineRule="exact"/>
        <w:rPr>
          <w:sz w:val="20"/>
          <w:szCs w:val="20"/>
          <w:color w:val="auto"/>
        </w:rPr>
      </w:pPr>
    </w:p>
    <w:p>
      <w:pPr>
        <w:ind w:left="560" w:right="80" w:hanging="4"/>
        <w:spacing w:after="0" w:line="277" w:lineRule="auto"/>
        <w:tabs>
          <w:tab w:leader="none" w:pos="7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the Closing, in accordance with the DLLCA, the Merger with and into Bakkt will occur, the separate corporate existence of Merger Sub will cease and Bakkt will be the surviving limited liability company, to be renamed Bakkt Opco Holdings, LLC;</w:t>
      </w:r>
    </w:p>
    <w:p>
      <w:pPr>
        <w:spacing w:after="0" w:line="62" w:lineRule="exact"/>
        <w:rPr>
          <w:rFonts w:ascii="Arial" w:cs="Arial" w:eastAsia="Arial" w:hAnsi="Arial"/>
          <w:sz w:val="18"/>
          <w:szCs w:val="18"/>
          <w:color w:val="auto"/>
        </w:rPr>
      </w:pPr>
    </w:p>
    <w:p>
      <w:pPr>
        <w:ind w:left="560" w:right="560" w:hanging="4"/>
        <w:spacing w:after="0" w:line="277" w:lineRule="auto"/>
        <w:tabs>
          <w:tab w:leader="none" w:pos="8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immediately prior to the closing of the PIPE Investment (as defined below) and the effective time of the Merger, in connection with the Domestication described below, VIH will be renamed “Bakkt Holdings, Inc.”; and</w:t>
      </w:r>
    </w:p>
    <w:p>
      <w:pPr>
        <w:spacing w:after="0" w:line="62" w:lineRule="exact"/>
        <w:rPr>
          <w:rFonts w:ascii="Arial" w:cs="Arial" w:eastAsia="Arial" w:hAnsi="Arial"/>
          <w:sz w:val="18"/>
          <w:szCs w:val="18"/>
          <w:color w:val="auto"/>
        </w:rPr>
      </w:pPr>
    </w:p>
    <w:p>
      <w:pPr>
        <w:jc w:val="both"/>
        <w:ind w:left="560" w:right="320" w:hanging="4"/>
        <w:spacing w:after="0" w:line="263" w:lineRule="auto"/>
        <w:tabs>
          <w:tab w:leader="none" w:pos="8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Bakkt Opco Units and 208,200,000 shares of class V common stock of Bakkt PubCo, which will be non-economic, voting shares of Bakkt Pubco.</w:t>
      </w:r>
    </w:p>
    <w:p>
      <w:pPr>
        <w:spacing w:after="0" w:line="18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board of directors of the Company has unanimously (i) approved and declared advisable the Merger Agreement, the Proposed Transaction and the other transactions contemplated thereby and (ii) resolved to recommend approval of the Merger Agreement and related matters by the shareholders of VIH.</w:t>
      </w:r>
    </w:p>
    <w:p>
      <w:pPr>
        <w:spacing w:after="0" w:line="184"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color w:val="auto"/>
        </w:rPr>
        <w:t>Prior to the Closing, subject to the approval of our shareholders, and in accordance with the DGCL, the CICA and our amended and restated memorandum and articles of association, we will effect a Domestication and be renamed “Bakkt Holdings, Inc.”</w:t>
      </w:r>
    </w:p>
    <w:p>
      <w:pPr>
        <w:spacing w:after="0" w:line="14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Bakkt Equity Holders.</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On January 11, 2021, concurrently with the execution of the Merger Agreement, we entered into subscription agreements with the PIPE Investors, which include certain existing equity holders of the Company and Bakkt, pursuant to, and on the terms and subject to the conditions of which, the PIPE Investors, which include certain existing equity holders of the Company and Bakkt, have collectively subscribed for the PIPE Investment.</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Bakkt Disclosure Statement that we will file with the SEC. Unless specifically stated, this Annual Report does not give effect to the Proposed Transaction and does not contain the risks associated with the Proposed Transaction. Such risks and effects relating to the Proposed Transaction will be included in the Bakkt Disclosure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have neither engaged in any operations (other than searching for a Business Combination after our Initial Public Offering) nor generated any revenues to date. Our only activities from inception to December 31, 2020 were organizational activities, those necessary to prepare for the Initial Public Offering, described below,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1" w:lineRule="auto"/>
        <w:rPr>
          <w:sz w:val="20"/>
          <w:szCs w:val="20"/>
          <w:color w:val="auto"/>
        </w:rPr>
      </w:pPr>
      <w:r>
        <w:rPr>
          <w:rFonts w:ascii="Arial" w:cs="Arial" w:eastAsia="Arial" w:hAnsi="Arial"/>
          <w:sz w:val="16"/>
          <w:szCs w:val="16"/>
          <w:color w:val="auto"/>
        </w:rPr>
        <w:t>after the Initial Public Offering, identifying a target company for a Business Combination. We do not expect to generate any operating revenues until after the completion of our Business Combination, at the earliest.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5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As a result of the restatement described in Note 2 of the notes to the consolidated financial statements included herein, we classify the warrants issued in connection with our Initial Public Offering as liabilities at their fair value and adjust the warrant instrument to fair value at each reporting period. This liability is subject to re-measurement at each balance sheet date until exercised, and any change in fair value is recognized in our statement of operations.</w:t>
      </w:r>
    </w:p>
    <w:p>
      <w:pPr>
        <w:spacing w:after="0" w:line="18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period from July 31, 2020 (inception) through December 31, 2020, we had a net loss of $4,861,190, which consisted of formation and operating expenses of $3,988,331 and a change in the fair value of warrant liabilities of $877,052, offset by interest earned on marketable securities held in the Trust Account of $4,193.</w:t>
      </w:r>
    </w:p>
    <w:p>
      <w:pPr>
        <w:spacing w:after="0" w:line="184"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For the period from July 31, 2020 (inception) through September 30, 2020, we had a net loss of $3,032,369, which consisted of formation and operating expenses of $2,932,533 and a change in the fair value of warrant liabilities of $100,000, offset by interest earned on investments held in the Trust Account of $164.</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September 25, 2020, we consummated the Initial Public Offering of the Units, at a price of $10.00 per Unit, generating gross proceeds of</w:t>
      </w:r>
    </w:p>
    <w:p>
      <w:pPr>
        <w:spacing w:after="0" w:line="35"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color w:val="auto"/>
        </w:rPr>
        <w:t>$200,000,000. Simultaneously with the closing of the Initial Public Offering, we consummated the sale the Private Placement Warrants to the Sponsor at a price of $1.00 per Private Placement Warrant generating gross proceeds of $6,000,000.</w:t>
      </w:r>
    </w:p>
    <w:p>
      <w:pPr>
        <w:spacing w:after="0" w:line="18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$11,501,146 in transaction costs, including $4,000,000 of underwriting fees, $7,000,000 of deferred underwriting fees and $501,146 of other offering costs.</w:t>
      </w:r>
    </w:p>
    <w:p>
      <w:pPr>
        <w:spacing w:after="0" w:line="187" w:lineRule="exact"/>
        <w:rPr>
          <w:sz w:val="20"/>
          <w:szCs w:val="20"/>
          <w:color w:val="auto"/>
        </w:rPr>
      </w:pPr>
    </w:p>
    <w:p>
      <w:pPr>
        <w:jc w:val="both"/>
        <w:ind w:left="120" w:right="240"/>
        <w:spacing w:after="0" w:line="257" w:lineRule="auto"/>
        <w:rPr>
          <w:sz w:val="20"/>
          <w:szCs w:val="20"/>
          <w:color w:val="auto"/>
        </w:rPr>
      </w:pPr>
      <w:r>
        <w:rPr>
          <w:rFonts w:ascii="Arial" w:cs="Arial" w:eastAsia="Arial" w:hAnsi="Arial"/>
          <w:sz w:val="18"/>
          <w:szCs w:val="18"/>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 We incurred $11,906,606 in transaction costs, including $4,147,440 of underwriting fees, $7,258,021 of deferred underwriting fees and $501,146 of other offering costs.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the period from July 31, 2020 (inception) through December 31, 2020, net cash used in operating activities was $341,800, which consisted of our net loss of $4,681,190, interest earned on investments of $4,193, formation expenses paid by the Sponsor of $6,606, a change in the fair value of warrant liabilities of $3,090,130, transaction costs allocable to warrant liabilities of $768,391, and changes in operating assets and liabilities, which used $658,456 of cash from operating activities.</w:t>
      </w:r>
    </w:p>
    <w:p>
      <w:pPr>
        <w:spacing w:after="0" w:line="18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For the period from July 31, 2020 (inception) through September 30, 2020, net cash used in operating activities was $289,300, which consisted of our net loss of $17,379, interest earned on investments of $164, formation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expenses paid by the Sponsor of $6,606, a change in the fair value of warrant liabilities of $100,000, compensation expenses related to warrant liabilities of $2,160,000, transaction costs allocable to warrant liabilities of $754,990 and changes in operating assets and liabilities, which used $278,363 of cash from operating activities.</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At December 31, 2020, we had investments held in the Trust Account of $207,376,213.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At December 31, 2020, we had cash of $1,177,678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7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78"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192"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As a result of the restatement described in Note 2 “Restatement of Previously Issued Financial Statements” to the consolidated financial statements included herein, we classify the warrants issued in connection with our initial public offering and private placement as liabilities at their fair value and adjust the warrant instruments to fair value at each reporting period. These liabilities are subject to remeasurement at each balance sheet date until exercised, and any change in fair value is recognized in our statement of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Derivative Warrant Liabilities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We issued an aggregate of 16,516,041 warrants in connection with our initial public offering and private placement, which, as a result of the restatement described in Note 2 “Restatement of Previously Issued Financial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57" w:lineRule="auto"/>
        <w:rPr>
          <w:sz w:val="20"/>
          <w:szCs w:val="20"/>
          <w:color w:val="auto"/>
        </w:rPr>
      </w:pPr>
      <w:r>
        <w:rPr>
          <w:rFonts w:ascii="Arial" w:cs="Arial" w:eastAsia="Arial" w:hAnsi="Arial"/>
          <w:sz w:val="18"/>
          <w:szCs w:val="18"/>
          <w:color w:val="auto"/>
        </w:rPr>
        <w:t>Statements” to the consolidated financial statements included herein, are recognized as derivative liabilities in accordance with ASC 815-40. Accordingly, we recognize the warrants as liabilities at fair value and adjust the instruments to fair value at each reporting period. The liabilities are subject to remeasurement at each balance sheet date until exercised, and any change in fair value is recognized in the Company’s statement of operations. The fair value of warrants issued in connection with our initial public offering and private placement has been estimated using Option Pricing Model simulations at each measurement date.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2020.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We do not have any long-term debt obligations, capital lease obligations, operating lease obligations, purchase obligations or long-term liabilities, other than an agreement to pay our Sponsor a monthly fee of $10,000 for office space, secretarial and administrative services.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 reported. Actual results could materially differ from those estimates. We have identified the following critical accounting policies: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account for our Class A ordinary shares subject to possible redemption in accordance with the guidance in Accounting Standards Codification (“ASC”) Topic 480 “Distinguishing Liabilities from Equity.”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statements of operations.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500" w:firstLine="440"/>
        <w:spacing w:after="0" w:line="275" w:lineRule="auto"/>
        <w:rPr>
          <w:sz w:val="20"/>
          <w:szCs w:val="20"/>
          <w:color w:val="auto"/>
        </w:rPr>
      </w:pPr>
      <w:r>
        <w:rPr>
          <w:rFonts w:ascii="Arial" w:cs="Arial" w:eastAsia="Arial" w:hAnsi="Arial"/>
          <w:sz w:val="17"/>
          <w:szCs w:val="17"/>
          <w:color w:val="auto"/>
        </w:rPr>
        <w:t>We apply the two-class method in calculating earnings per share. Net income per ordinary share, basic and diluted for Class A redeemable ordinary shares is calculated by dividing the interest income earned on the Trust Account by the weighted average number of Class A redeemable ordinary shares outstanding since original issuance. Net loss per common share, basic and diluted for Class B non-redeemable ordinary shares is calculated by dividing the net income (loss), less income attributable to Class A redeemable ordinary shares, by the weighted average number of Class B non-redeemable ordinary shares outstanding for the periods presented.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40"/>
          </w:cols>
          <w:pgMar w:left="320" w:top="459" w:right="5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9200" w:type="dxa"/>
            <w:vAlign w:val="bottom"/>
            <w:gridSpan w:val="9"/>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84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8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rPr>
              <w:t>VPC IMPACT ACQUISITION HOLDINGS</w:t>
            </w:r>
          </w:p>
        </w:tc>
        <w:tc>
          <w:tcPr>
            <w:tcW w:w="184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80" w:type="dxa"/>
            <w:vAlign w:val="bottom"/>
            <w:gridSpan w:val="3"/>
          </w:tcPr>
          <w:p>
            <w:pPr>
              <w:jc w:val="center"/>
              <w:ind w:right="880"/>
              <w:spacing w:after="0"/>
              <w:rPr>
                <w:sz w:val="20"/>
                <w:szCs w:val="20"/>
                <w:color w:val="auto"/>
              </w:rPr>
            </w:pPr>
            <w:r>
              <w:rPr>
                <w:rFonts w:ascii="Arial" w:cs="Arial" w:eastAsia="Arial" w:hAnsi="Arial"/>
                <w:sz w:val="18"/>
                <w:szCs w:val="18"/>
                <w:b w:val="1"/>
                <w:bCs w:val="1"/>
                <w:color w:val="auto"/>
              </w:rPr>
              <w:t>INDEX TO CONSOLIDATED FINANCIAL STATEMENTS</w:t>
            </w:r>
          </w:p>
        </w:tc>
        <w:tc>
          <w:tcPr>
            <w:tcW w:w="1840" w:type="dxa"/>
            <w:vAlign w:val="bottom"/>
          </w:tcPr>
          <w:p>
            <w:pPr>
              <w:spacing w:after="0"/>
              <w:rPr>
                <w:sz w:val="20"/>
                <w:szCs w:val="20"/>
                <w:color w:val="auto"/>
              </w:rPr>
            </w:pPr>
          </w:p>
        </w:tc>
      </w:tr>
      <w:tr>
        <w:trPr>
          <w:trHeight w:val="418"/>
        </w:trPr>
        <w:tc>
          <w:tcPr>
            <w:tcW w:w="120" w:type="dxa"/>
            <w:vAlign w:val="bottom"/>
          </w:tcPr>
          <w:p>
            <w:pPr>
              <w:spacing w:after="0"/>
              <w:rPr>
                <w:sz w:val="24"/>
                <w:szCs w:val="24"/>
                <w:color w:val="auto"/>
              </w:rPr>
            </w:pPr>
          </w:p>
        </w:tc>
        <w:tc>
          <w:tcPr>
            <w:tcW w:w="422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66">
              <w:r>
                <w:rPr>
                  <w:rFonts w:ascii="Arial" w:cs="Arial" w:eastAsia="Arial" w:hAnsi="Arial"/>
                  <w:sz w:val="18"/>
                  <w:szCs w:val="18"/>
                  <w:color w:val="0000EE"/>
                  <w:w w:val="91"/>
                </w:rPr>
                <w:t>Report of Independent Registered Public Accounting Firm</w:t>
              </w:r>
            </w:hyperlink>
          </w:p>
        </w:tc>
        <w:tc>
          <w:tcPr>
            <w:tcW w:w="4860" w:type="dxa"/>
            <w:vAlign w:val="bottom"/>
            <w:gridSpan w:val="2"/>
          </w:tcPr>
          <w:p>
            <w:pPr>
              <w:spacing w:after="0"/>
              <w:rPr>
                <w:sz w:val="24"/>
                <w:szCs w:val="24"/>
                <w:color w:val="auto"/>
              </w:rPr>
            </w:pPr>
          </w:p>
        </w:tc>
        <w:tc>
          <w:tcPr>
            <w:tcW w:w="1840" w:type="dxa"/>
            <w:vAlign w:val="bottom"/>
          </w:tcPr>
          <w:p>
            <w:pPr>
              <w:jc w:val="center"/>
              <w:ind w:left="1170"/>
              <w:spacing w:after="0"/>
              <w:rPr>
                <w:sz w:val="20"/>
                <w:szCs w:val="20"/>
                <w:color w:val="auto"/>
              </w:rPr>
            </w:pPr>
            <w:r>
              <w:rPr>
                <w:rFonts w:ascii="Arial" w:cs="Arial" w:eastAsia="Arial" w:hAnsi="Arial"/>
                <w:sz w:val="18"/>
                <w:szCs w:val="18"/>
                <w:color w:val="auto"/>
                <w:w w:val="89"/>
              </w:rPr>
              <w:t>66</w:t>
            </w:r>
          </w:p>
        </w:tc>
      </w:tr>
      <w:tr>
        <w:trPr>
          <w:trHeight w:val="222"/>
        </w:trPr>
        <w:tc>
          <w:tcPr>
            <w:tcW w:w="120" w:type="dxa"/>
            <w:vAlign w:val="bottom"/>
          </w:tcPr>
          <w:p>
            <w:pPr>
              <w:spacing w:after="0"/>
              <w:rPr>
                <w:sz w:val="19"/>
                <w:szCs w:val="19"/>
                <w:color w:val="auto"/>
              </w:rPr>
            </w:pPr>
          </w:p>
        </w:tc>
        <w:tc>
          <w:tcPr>
            <w:tcW w:w="9080" w:type="dxa"/>
            <w:vAlign w:val="bottom"/>
            <w:gridSpan w:val="8"/>
          </w:tcPr>
          <w:p>
            <w:pPr>
              <w:spacing w:after="0"/>
              <w:rPr>
                <w:sz w:val="20"/>
                <w:szCs w:val="20"/>
                <w:color w:val="auto"/>
              </w:rPr>
            </w:pPr>
            <w:r>
              <w:rPr>
                <w:rFonts w:ascii="Arial" w:cs="Arial" w:eastAsia="Arial" w:hAnsi="Arial"/>
                <w:sz w:val="18"/>
                <w:szCs w:val="18"/>
                <w:color w:val="auto"/>
              </w:rPr>
              <w:t>Consolidated Financial Statements:</w:t>
            </w:r>
          </w:p>
        </w:tc>
        <w:tc>
          <w:tcPr>
            <w:tcW w:w="18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202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67">
              <w:r>
                <w:rPr>
                  <w:rFonts w:ascii="Arial" w:cs="Arial" w:eastAsia="Arial" w:hAnsi="Arial"/>
                  <w:sz w:val="18"/>
                  <w:szCs w:val="18"/>
                  <w:color w:val="0000EE"/>
                  <w:w w:val="88"/>
                </w:rPr>
                <w:t>Consolidated Balance Sheet</w:t>
              </w:r>
            </w:hyperlink>
          </w:p>
        </w:tc>
        <w:tc>
          <w:tcPr>
            <w:tcW w:w="7060" w:type="dxa"/>
            <w:vAlign w:val="bottom"/>
            <w:gridSpan w:val="6"/>
          </w:tcPr>
          <w:p>
            <w:pPr>
              <w:spacing w:after="0"/>
              <w:rPr>
                <w:sz w:val="16"/>
                <w:szCs w:val="16"/>
                <w:color w:val="auto"/>
              </w:rPr>
            </w:pPr>
          </w:p>
        </w:tc>
        <w:tc>
          <w:tcPr>
            <w:tcW w:w="1840" w:type="dxa"/>
            <w:vAlign w:val="bottom"/>
          </w:tcPr>
          <w:p>
            <w:pPr>
              <w:jc w:val="center"/>
              <w:ind w:left="1170"/>
              <w:spacing w:after="0" w:line="190" w:lineRule="exact"/>
              <w:rPr>
                <w:sz w:val="20"/>
                <w:szCs w:val="20"/>
                <w:color w:val="auto"/>
              </w:rPr>
            </w:pPr>
            <w:r>
              <w:rPr>
                <w:rFonts w:ascii="Arial" w:cs="Arial" w:eastAsia="Arial" w:hAnsi="Arial"/>
                <w:sz w:val="18"/>
                <w:szCs w:val="18"/>
                <w:color w:val="auto"/>
                <w:w w:val="89"/>
              </w:rPr>
              <w:t>67</w:t>
            </w:r>
          </w:p>
        </w:tc>
      </w:tr>
      <w:tr>
        <w:trPr>
          <w:trHeight w:val="196"/>
        </w:trPr>
        <w:tc>
          <w:tcPr>
            <w:tcW w:w="12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 of Operations</w:t>
              </w:r>
            </w:hyperlink>
          </w:p>
        </w:tc>
        <w:tc>
          <w:tcPr>
            <w:tcW w:w="6340" w:type="dxa"/>
            <w:vAlign w:val="bottom"/>
            <w:gridSpan w:val="4"/>
          </w:tcPr>
          <w:p>
            <w:pPr>
              <w:spacing w:after="0"/>
              <w:rPr>
                <w:sz w:val="17"/>
                <w:szCs w:val="17"/>
                <w:color w:val="auto"/>
              </w:rPr>
            </w:pPr>
          </w:p>
        </w:tc>
        <w:tc>
          <w:tcPr>
            <w:tcW w:w="1840" w:type="dxa"/>
            <w:vAlign w:val="bottom"/>
          </w:tcPr>
          <w:p>
            <w:pPr>
              <w:jc w:val="center"/>
              <w:ind w:left="1170"/>
              <w:spacing w:after="0" w:line="196" w:lineRule="exact"/>
              <w:rPr>
                <w:sz w:val="20"/>
                <w:szCs w:val="20"/>
                <w:color w:val="auto"/>
              </w:rPr>
            </w:pPr>
            <w:r>
              <w:rPr>
                <w:rFonts w:ascii="Arial" w:cs="Arial" w:eastAsia="Arial" w:hAnsi="Arial"/>
                <w:sz w:val="18"/>
                <w:szCs w:val="18"/>
                <w:color w:val="auto"/>
                <w:w w:val="89"/>
              </w:rPr>
              <w:t>68</w:t>
            </w:r>
          </w:p>
        </w:tc>
      </w:tr>
      <w:tr>
        <w:trPr>
          <w:trHeight w:val="196"/>
        </w:trPr>
        <w:tc>
          <w:tcPr>
            <w:tcW w:w="120" w:type="dxa"/>
            <w:vAlign w:val="bottom"/>
          </w:tcPr>
          <w:p>
            <w:pPr>
              <w:spacing w:after="0"/>
              <w:rPr>
                <w:sz w:val="17"/>
                <w:szCs w:val="17"/>
                <w:color w:val="auto"/>
              </w:rPr>
            </w:pPr>
          </w:p>
        </w:tc>
        <w:tc>
          <w:tcPr>
            <w:tcW w:w="9080" w:type="dxa"/>
            <w:vAlign w:val="bottom"/>
            <w:gridSpan w:val="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 of Changes in Shareholders’ Equity</w:t>
              </w:r>
            </w:hyperlink>
          </w:p>
        </w:tc>
        <w:tc>
          <w:tcPr>
            <w:tcW w:w="1840" w:type="dxa"/>
            <w:vAlign w:val="bottom"/>
          </w:tcPr>
          <w:p>
            <w:pPr>
              <w:jc w:val="center"/>
              <w:ind w:left="1170"/>
              <w:spacing w:after="0" w:line="196" w:lineRule="exact"/>
              <w:rPr>
                <w:sz w:val="20"/>
                <w:szCs w:val="20"/>
                <w:color w:val="auto"/>
              </w:rPr>
            </w:pPr>
            <w:r>
              <w:rPr>
                <w:rFonts w:ascii="Arial" w:cs="Arial" w:eastAsia="Arial" w:hAnsi="Arial"/>
                <w:sz w:val="18"/>
                <w:szCs w:val="18"/>
                <w:color w:val="auto"/>
                <w:w w:val="89"/>
              </w:rPr>
              <w:t>69</w:t>
            </w:r>
          </w:p>
        </w:tc>
      </w:tr>
      <w:tr>
        <w:trPr>
          <w:trHeight w:val="196"/>
        </w:trPr>
        <w:tc>
          <w:tcPr>
            <w:tcW w:w="12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Consolidated Statement of Cash Flows</w:t>
              </w:r>
            </w:hyperlink>
          </w:p>
        </w:tc>
        <w:tc>
          <w:tcPr>
            <w:tcW w:w="1520" w:type="dxa"/>
            <w:vAlign w:val="bottom"/>
            <w:tcBorders>
              <w:top w:val="single" w:sz="8" w:color="0000EE"/>
            </w:tcBorders>
            <w:gridSpan w:val="2"/>
          </w:tcPr>
          <w:p>
            <w:pPr>
              <w:spacing w:after="0"/>
              <w:rPr>
                <w:sz w:val="17"/>
                <w:szCs w:val="17"/>
                <w:color w:val="auto"/>
              </w:rPr>
            </w:pPr>
          </w:p>
        </w:tc>
        <w:tc>
          <w:tcPr>
            <w:tcW w:w="4760" w:type="dxa"/>
            <w:vAlign w:val="bottom"/>
          </w:tcPr>
          <w:p>
            <w:pPr>
              <w:spacing w:after="0"/>
              <w:rPr>
                <w:sz w:val="17"/>
                <w:szCs w:val="17"/>
                <w:color w:val="auto"/>
              </w:rPr>
            </w:pPr>
          </w:p>
        </w:tc>
        <w:tc>
          <w:tcPr>
            <w:tcW w:w="1840" w:type="dxa"/>
            <w:vAlign w:val="bottom"/>
          </w:tcPr>
          <w:p>
            <w:pPr>
              <w:jc w:val="center"/>
              <w:ind w:left="1170"/>
              <w:spacing w:after="0" w:line="196" w:lineRule="exact"/>
              <w:rPr>
                <w:sz w:val="20"/>
                <w:szCs w:val="20"/>
                <w:color w:val="auto"/>
              </w:rPr>
            </w:pPr>
            <w:r>
              <w:rPr>
                <w:rFonts w:ascii="Arial" w:cs="Arial" w:eastAsia="Arial" w:hAnsi="Arial"/>
                <w:sz w:val="18"/>
                <w:szCs w:val="18"/>
                <w:color w:val="auto"/>
                <w:w w:val="89"/>
              </w:rPr>
              <w:t>70</w:t>
            </w:r>
          </w:p>
        </w:tc>
      </w:tr>
      <w:tr>
        <w:trPr>
          <w:trHeight w:val="196"/>
        </w:trPr>
        <w:tc>
          <w:tcPr>
            <w:tcW w:w="120" w:type="dxa"/>
            <w:vAlign w:val="bottom"/>
          </w:tcPr>
          <w:p>
            <w:pPr>
              <w:spacing w:after="0"/>
              <w:rPr>
                <w:sz w:val="17"/>
                <w:szCs w:val="17"/>
                <w:color w:val="auto"/>
              </w:rPr>
            </w:pPr>
          </w:p>
        </w:tc>
        <w:tc>
          <w:tcPr>
            <w:tcW w:w="9080" w:type="dxa"/>
            <w:vAlign w:val="bottom"/>
            <w:gridSpan w:val="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Notes to Financial Statements</w:t>
              </w:r>
            </w:hyperlink>
          </w:p>
        </w:tc>
        <w:tc>
          <w:tcPr>
            <w:tcW w:w="1840" w:type="dxa"/>
            <w:vAlign w:val="bottom"/>
          </w:tcPr>
          <w:p>
            <w:pPr>
              <w:jc w:val="center"/>
              <w:ind w:left="1150"/>
              <w:spacing w:after="0" w:line="196" w:lineRule="exact"/>
              <w:rPr>
                <w:sz w:val="20"/>
                <w:szCs w:val="20"/>
                <w:color w:val="auto"/>
              </w:rPr>
            </w:pPr>
            <w:r>
              <w:rPr>
                <w:rFonts w:ascii="Arial" w:cs="Arial" w:eastAsia="Arial" w:hAnsi="Arial"/>
                <w:sz w:val="18"/>
                <w:szCs w:val="18"/>
                <w:color w:val="auto"/>
                <w:w w:val="92"/>
              </w:rPr>
              <w:t>71 to 90</w:t>
            </w:r>
          </w:p>
        </w:tc>
      </w:tr>
      <w:tr>
        <w:trPr>
          <w:trHeight w:val="385"/>
        </w:trPr>
        <w:tc>
          <w:tcPr>
            <w:tcW w:w="120" w:type="dxa"/>
            <w:vAlign w:val="bottom"/>
          </w:tcPr>
          <w:p>
            <w:pPr>
              <w:spacing w:after="0"/>
              <w:rPr>
                <w:sz w:val="24"/>
                <w:szCs w:val="24"/>
                <w:color w:val="auto"/>
              </w:rPr>
            </w:pPr>
          </w:p>
        </w:tc>
        <w:tc>
          <w:tcPr>
            <w:tcW w:w="2140" w:type="dxa"/>
            <w:vAlign w:val="bottom"/>
            <w:tcBorders>
              <w:top w:val="single" w:sz="8" w:color="0000EE"/>
            </w:tcBorders>
            <w:gridSpan w:val="3"/>
          </w:tcPr>
          <w:p>
            <w:pPr>
              <w:spacing w:after="0"/>
              <w:rPr>
                <w:sz w:val="24"/>
                <w:szCs w:val="24"/>
                <w:color w:val="auto"/>
              </w:rPr>
            </w:pPr>
          </w:p>
        </w:tc>
        <w:tc>
          <w:tcPr>
            <w:tcW w:w="6940" w:type="dxa"/>
            <w:vAlign w:val="bottom"/>
            <w:gridSpan w:val="5"/>
          </w:tcPr>
          <w:p>
            <w:pPr>
              <w:jc w:val="center"/>
              <w:ind w:right="200"/>
              <w:spacing w:after="0"/>
              <w:rPr>
                <w:sz w:val="20"/>
                <w:szCs w:val="20"/>
                <w:color w:val="auto"/>
              </w:rPr>
            </w:pPr>
            <w:r>
              <w:rPr>
                <w:rFonts w:ascii="Arial" w:cs="Arial" w:eastAsia="Arial" w:hAnsi="Arial"/>
                <w:sz w:val="18"/>
                <w:szCs w:val="18"/>
                <w:color w:val="auto"/>
                <w:w w:val="89"/>
              </w:rPr>
              <w:t>65</w:t>
            </w:r>
          </w:p>
        </w:tc>
        <w:tc>
          <w:tcPr>
            <w:tcW w:w="18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320" w:top="446" w:right="5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VPC Impact Acquisition Holdings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consolidated balance sheet of VPC Impact Acquisition Holdings (the “Company”) as of December 31, 2020, the related consolidated statements of operations, changes in shareholders’ equity and cash flows for the period from July 31, 2020 (inception) through December 31, 2020, and the related notes (collectively referred to as the “consolidated financial statements”). In our opinion, the consolidated financial statements present fairly, in all material respects, the financial position of the Company as of December 31, 2020, and the results of its operations and its cash flows for the period from July 31, 2020 (inception) through December 31, 2020, in conformity with accounting principles generally accepted in the United States of America.</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Restatement of Financial Statements</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 xml:space="preserve">As discussed in Note 2 to the consolidated financial statements, the Securities and Exchange Commission issued a public statement entitled </w:t>
      </w:r>
      <w:r>
        <w:rPr>
          <w:rFonts w:ascii="Arial" w:cs="Arial" w:eastAsia="Arial" w:hAnsi="Arial"/>
          <w:sz w:val="16"/>
          <w:szCs w:val="16"/>
          <w:i w:val="1"/>
          <w:iCs w:val="1"/>
          <w:color w:val="auto"/>
        </w:rPr>
        <w:t>Staff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on Accounting and Reporting Considerations for Warrants Issued by Special Purpose Acquisition Companies (“SPACs”) </w:t>
      </w:r>
      <w:r>
        <w:rPr>
          <w:rFonts w:ascii="Arial" w:cs="Arial" w:eastAsia="Arial" w:hAnsi="Arial"/>
          <w:sz w:val="16"/>
          <w:szCs w:val="16"/>
          <w:color w:val="auto"/>
        </w:rPr>
        <w:t>(the “SEC Staff</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on April 12, 2021, which discusses the accounting for certain warrants as liabilities. The Company previously accounted for its warrants as equity instruments. Management evaluated its warrants against the SEC Staff Statement, and determined that the warrants should be accounted for as liabilities. Accordingly, the 2020 consolidated financial statements have been restated to correct the accounting and related disclosure for the warrants.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21, 2021</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99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rPr>
              <w:t>VPC IMPACT ACQUISITION HOLDINGS</w:t>
            </w: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BALANCE SHEET</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w w:val="96"/>
              </w:rPr>
              <w:t>DECEMBER 31, 2020</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60" w:type="dxa"/>
            <w:vAlign w:val="bottom"/>
          </w:tcPr>
          <w:p>
            <w:pPr>
              <w:jc w:val="center"/>
              <w:spacing w:after="0"/>
              <w:rPr>
                <w:sz w:val="20"/>
                <w:szCs w:val="20"/>
                <w:color w:val="auto"/>
              </w:rPr>
            </w:pPr>
            <w:r>
              <w:rPr>
                <w:rFonts w:ascii="Arial" w:cs="Arial" w:eastAsia="Arial" w:hAnsi="Arial"/>
                <w:sz w:val="18"/>
                <w:szCs w:val="18"/>
                <w:b w:val="1"/>
                <w:bCs w:val="1"/>
                <w:color w:val="auto"/>
                <w:w w:val="96"/>
              </w:rPr>
              <w:t>AS RESTATED</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1,177,678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234,959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1,412,637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207,376,213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208,788,850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0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893,415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ind w:left="360"/>
              <w:spacing w:after="0"/>
              <w:rPr>
                <w:sz w:val="20"/>
                <w:szCs w:val="20"/>
                <w:color w:val="auto"/>
              </w:rPr>
            </w:pPr>
            <w:r>
              <w:rPr>
                <w:rFonts w:ascii="Arial" w:cs="Arial" w:eastAsia="Arial" w:hAnsi="Arial"/>
                <w:sz w:val="18"/>
                <w:szCs w:val="18"/>
                <w:color w:val="auto"/>
              </w:rPr>
              <w:t>Accrued offering costs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895,645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Deferred underwriting fee payable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7,258,021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22,513,065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30,666,731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Class A ordinary shares subject to possible redemption, 17,312,211 shares at $10.00 per share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173,122,110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22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9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Class A ordinary shares, $0.0001 par value; 200,000,000 shares authorized; 3,424,991 shares issued and outstanding (excluding</w:t>
            </w: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17,312,211 shares subject to possible redemption)</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Class B ordinary shares, $0.0001 par value; 20,000,000 shares authorized; 5,184,300 shares issued and outstanding</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9,860,338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(4,861,190)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208,788,850</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46" w:right="4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rPr>
              <w:t>VPC IMPACT ACQUISITION HOLDINGS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6"/>
              </w:rPr>
              <w:t>AS RESTATED</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1,006,862</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Loss from operations</w:t>
            </w: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(1,006,862)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Interest earned on marketable securities held in Trust Account</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(768,391)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(3,090,130)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(4,861,190)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20,737,202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ordinary shares</w:t>
            </w: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5,184,300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1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40"/>
          </w:cols>
          <w:pgMar w:left="320" w:top="44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PERIOD FROM JULY 31, 2020 (INCEPTION) THROUGH DECEMBER 31, 2020</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RESTATED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1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Class A</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ind w:left="540"/>
              <w:spacing w:after="0"/>
              <w:rPr>
                <w:sz w:val="20"/>
                <w:szCs w:val="20"/>
                <w:color w:val="auto"/>
              </w:rPr>
            </w:pPr>
            <w:r>
              <w:rPr>
                <w:rFonts w:ascii="Arial" w:cs="Arial" w:eastAsia="Arial" w:hAnsi="Arial"/>
                <w:sz w:val="14"/>
                <w:szCs w:val="14"/>
                <w:b w:val="1"/>
                <w:bCs w:val="1"/>
                <w:color w:val="auto"/>
                <w:w w:val="85"/>
              </w:rPr>
              <w:t>Class B</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Total</w:t>
            </w:r>
          </w:p>
        </w:tc>
      </w:tr>
      <w:tr>
        <w:trPr>
          <w:trHeight w:val="162"/>
        </w:trPr>
        <w:tc>
          <w:tcPr>
            <w:tcW w:w="3820" w:type="dxa"/>
            <w:vAlign w:val="bottom"/>
          </w:tcPr>
          <w:p>
            <w:pPr>
              <w:spacing w:after="0"/>
              <w:rPr>
                <w:sz w:val="14"/>
                <w:szCs w:val="14"/>
                <w:color w:val="auto"/>
              </w:rPr>
            </w:pPr>
          </w:p>
        </w:tc>
        <w:tc>
          <w:tcPr>
            <w:tcW w:w="19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Ordinary Shares</w:t>
            </w:r>
          </w:p>
        </w:tc>
        <w:tc>
          <w:tcPr>
            <w:tcW w:w="1740" w:type="dxa"/>
            <w:vAlign w:val="bottom"/>
            <w:gridSpan w:val="5"/>
          </w:tcPr>
          <w:p>
            <w:pPr>
              <w:ind w:left="240"/>
              <w:spacing w:after="0"/>
              <w:rPr>
                <w:sz w:val="20"/>
                <w:szCs w:val="20"/>
                <w:color w:val="auto"/>
              </w:rPr>
            </w:pPr>
            <w:r>
              <w:rPr>
                <w:rFonts w:ascii="Arial" w:cs="Arial" w:eastAsia="Arial" w:hAnsi="Arial"/>
                <w:sz w:val="14"/>
                <w:szCs w:val="14"/>
                <w:b w:val="1"/>
                <w:bCs w:val="1"/>
                <w:color w:val="auto"/>
              </w:rPr>
              <w:t>Ordinary Shares</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Paid in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Shareholders’</w:t>
            </w:r>
          </w:p>
        </w:tc>
      </w:tr>
      <w:tr>
        <w:trPr>
          <w:trHeight w:val="171"/>
        </w:trPr>
        <w:tc>
          <w:tcPr>
            <w:tcW w:w="3820" w:type="dxa"/>
            <w:vAlign w:val="bottom"/>
          </w:tcPr>
          <w:p>
            <w:pPr>
              <w:spacing w:after="0"/>
              <w:rPr>
                <w:sz w:val="14"/>
                <w:szCs w:val="14"/>
                <w:color w:val="auto"/>
              </w:rPr>
            </w:pPr>
          </w:p>
        </w:tc>
        <w:tc>
          <w:tcPr>
            <w:tcW w:w="114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Equity</w:t>
            </w:r>
          </w:p>
        </w:tc>
      </w:tr>
      <w:tr>
        <w:trPr>
          <w:trHeight w:val="209"/>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Balance—July 31, 2020 (inception)</w:t>
            </w:r>
          </w:p>
        </w:tc>
        <w:tc>
          <w:tcPr>
            <w:tcW w:w="920" w:type="dxa"/>
            <w:vAlign w:val="bottom"/>
            <w:tcBorders>
              <w:top w:val="single" w:sz="8" w:color="auto"/>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9"/>
              </w:rPr>
              <w:t>Issuance of Class B ordinary shares to Sponsor</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5,750,000</w:t>
            </w:r>
          </w:p>
        </w:tc>
        <w:tc>
          <w:tcPr>
            <w:tcW w:w="180" w:type="dxa"/>
            <w:vAlign w:val="bottom"/>
          </w:tcPr>
          <w:p>
            <w:pPr>
              <w:spacing w:after="0"/>
              <w:rPr>
                <w:sz w:val="18"/>
                <w:szCs w:val="18"/>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24,425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25,000</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Forfeiture of 565,700 Sponsor shares</w:t>
            </w:r>
          </w:p>
        </w:tc>
        <w:tc>
          <w:tcPr>
            <w:tcW w:w="11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(565,700)</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3820" w:type="dxa"/>
            <w:vAlign w:val="bottom"/>
          </w:tcPr>
          <w:p>
            <w:pPr>
              <w:spacing w:after="0" w:line="201" w:lineRule="exact"/>
              <w:rPr>
                <w:sz w:val="20"/>
                <w:szCs w:val="20"/>
                <w:color w:val="auto"/>
              </w:rPr>
            </w:pPr>
            <w:r>
              <w:rPr>
                <w:rFonts w:ascii="Arial" w:cs="Arial" w:eastAsia="Arial" w:hAnsi="Arial"/>
                <w:sz w:val="18"/>
                <w:szCs w:val="18"/>
                <w:color w:val="auto"/>
              </w:rPr>
              <w:t>Sale of 20,737,202 Units, net of underwriting</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discounts, fair value of Public warrants and</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offering costs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20,737,202</w:t>
            </w: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2,074</w:t>
            </w:r>
          </w:p>
        </w:tc>
        <w:tc>
          <w:tcPr>
            <w:tcW w:w="10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182,956,235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182,958,309</w:t>
            </w: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 subject to possible redemption</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(17,312,211)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(1,731)</w:t>
            </w:r>
          </w:p>
        </w:tc>
        <w:tc>
          <w:tcPr>
            <w:tcW w:w="10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(173,120,379)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(173,122,110)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ind w:left="6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rPr>
              <w:t>(4,861,190)</w:t>
            </w:r>
          </w:p>
        </w:tc>
        <w:tc>
          <w:tcPr>
            <w:tcW w:w="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(4,861,190)</w:t>
            </w:r>
          </w:p>
        </w:tc>
      </w:tr>
      <w:tr>
        <w:trPr>
          <w:trHeight w:val="27"/>
        </w:trPr>
        <w:tc>
          <w:tcPr>
            <w:tcW w:w="38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Balance—December 31, 2020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3,424,991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343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5,184,300</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9,860,338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(4,861,190)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5,000,009</w:t>
            </w:r>
          </w:p>
        </w:tc>
      </w:tr>
      <w:tr>
        <w:trPr>
          <w:trHeight w:val="20"/>
        </w:trPr>
        <w:tc>
          <w:tcPr>
            <w:tcW w:w="3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990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rPr>
              <w:t>VPC IMPACT ACQUISITION HOLDINGS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9"/>
              </w:rPr>
              <w:t>FOR THE PERIOD FROM JULY 31, 2020 (INCEPTION) THROUGH DECEMBER 31, 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540" w:type="dxa"/>
            <w:vAlign w:val="bottom"/>
          </w:tcPr>
          <w:p>
            <w:pPr>
              <w:jc w:val="center"/>
              <w:spacing w:after="0"/>
              <w:rPr>
                <w:sz w:val="20"/>
                <w:szCs w:val="20"/>
                <w:color w:val="auto"/>
              </w:rPr>
            </w:pPr>
            <w:r>
              <w:rPr>
                <w:rFonts w:ascii="Arial" w:cs="Arial" w:eastAsia="Arial" w:hAnsi="Arial"/>
                <w:sz w:val="18"/>
                <w:szCs w:val="18"/>
                <w:b w:val="1"/>
                <w:bCs w:val="1"/>
                <w:color w:val="auto"/>
                <w:w w:val="96"/>
              </w:rPr>
              <w:t>AS RESTATED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(4,861,190)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Formation costs paid by Sponsor in exchange for Founder shares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6,606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3,090,130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costs allocable to warrant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768,391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893,415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(341,800)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Investment of cash in Trust Account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2"/>
              </w:rPr>
              <w:t>(207,372,020)</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5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(207,372,020)</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w w:val="97"/>
              </w:rPr>
              <w:t>203,224,580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Placements Warrants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6,147,440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Repayment of promissory note—related party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(397,793)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208,891,498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780" w:type="dxa"/>
            <w:vAlign w:val="bottom"/>
            <w:gridSpan w:val="2"/>
          </w:tcPr>
          <w:p>
            <w:pPr>
              <w:spacing w:after="0"/>
              <w:rPr>
                <w:sz w:val="20"/>
                <w:szCs w:val="20"/>
                <w:color w:val="auto"/>
              </w:rPr>
            </w:pPr>
            <w:r>
              <w:rPr>
                <w:rFonts w:ascii="Arial" w:cs="Arial" w:eastAsia="Arial" w:hAnsi="Arial"/>
                <w:sz w:val="18"/>
                <w:szCs w:val="18"/>
                <w:color w:val="auto"/>
              </w:rPr>
              <w:t>Cash—Beginning</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Cash—Ending</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97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7"/>
              </w:rPr>
              <w:t>174,883,010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(1,760,900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classification of warrant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20,960,000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Deferred underwriting fee payable</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7,258,021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 through promissory note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82,729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included in accrued offering costs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Forfeiture of Founder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7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46"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Company has one subsidiary, Pylon Merger Company LLC, a direct wholly owned subsidiary of the Company formed in Delaware on December 18, 2020.</w:t>
      </w:r>
    </w:p>
    <w:p>
      <w:pPr>
        <w:spacing w:after="0" w:line="170"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July 31, 2020 (inception) through December 31, 2020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4.</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5.</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Transaction costs charged to equity amounted to $11,906,606, consisting of $4,147,440 of underwriting fees, $7,258,021 of deferred underwriting fees and $501,145 of other offering costs. In addition, at September 25, 2020 cash of $1,205,178 was held outside of the Trust Account (as defined below) and is available for working capital purposes.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5540" w:right="3460" w:hanging="5424"/>
        <w:spacing w:after="0" w:line="433" w:lineRule="auto"/>
        <w:tabs>
          <w:tab w:leader="none" w:pos="387"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distribution of the funds in the Trust Account to the Company’s shareholders, as described below. 71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7). There will be no redemption rights upon the completion of a Business Combination with respect to the Company’s warrants.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6)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Sponsor has agreed (a) to waive its redemption rights with respect to any Founder Shares and Public Shares held by it in connection with the completion of a Business Combination and (b) not to propose 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amendment to the Amended and Restated Memorandum and Articles of Association (i) 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9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7)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 Public Offering against certain liabilities, including liabilities under the Securities Act of 1933, as amended (the “Securities Act”). In the event that an executed waiver is deemed to be unenforceable against a</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 Francis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December 31, 2020, the Company had approximately $1.2 million in its operating bank accounts and working capital of approximately $0.5 million.</w:t>
      </w:r>
    </w:p>
    <w:p>
      <w:pPr>
        <w:spacing w:after="0" w:line="170"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6),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6). As of December 31, 2020, there were no amounts outstanding under any Working Capital Loan.</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2—RESTATEMENT OF PREVIOUSLY ISSUED FINANCIAL STATEMENTS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Company previously accounted for its outstanding Public Warrants (as defined in Note 4) and Private Placement Warrants issued in connection with its Initial Public Offering as components of equity instead of as derivative liabilities. The warrant agreement governing the warrants includes a provision that provides for potential changes to the settlement amounts dependent upon the characteristics of the holder of the warrant. In addition, the warrant agreement includes a provision that in the event of a tender or exchange offer made to and accepted by holders of more than 50% of the outstanding shares of a single class of common shares, all holders of the warrants would be entitled to receive cash for their warrants (the “tender offer provision”).</w:t>
      </w:r>
    </w:p>
    <w:p>
      <w:pPr>
        <w:spacing w:after="0" w:line="19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On April 12, 2021, the SEC released a Staff Statement on Accounting and Reporting Considerations for Warrants Issued by Special Purpose Acquisition Companies (the “SEC Staff Statement”). Specifically, the SEC Staff Statement focused on certain settlement terms and provisions related to certain tender offers following a business combination, which terms are similar to those contained in the warrant agreement governing our warrants. Following the SEC Staff Statement, the Company’s management further evaluated the warrants under Accounting Standards Codification (“ASC”) Subtopic 815-40, Contracts in Entity’s Own Equity. ASC Section 815-40-15 addresses equity versus liability treatment and classification of equity-linked financial instruments, including warrants, and states that a warrant may be classified as a component of equity only if, among other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things, the warrant is indexed to the issuer’s common stock. Under ASC Section 815-40-15, a warrant is not indexed to the issuer’s common stock if the terms of the warrant require an adjustment to the exercise price upon a specified event and that event is not an input to the fair value of the warrant. Based on management’s evaluation, the Company’s audit committee, in consultation with management and after discussion with the Company’s independent registered public accounting firm, concluded that the Company’s Private Placement Warrants are not indexed to the Company’s common shares in the manner contemplated by ASC Section 815-40-15 because the holder of the instrument is not an input into the pricing of a fixed-for-fixed option on equity shares. In addition, based on management’s evaluation, the Company’s audit committee, in consultation with management and after discussion with the Company’s independent registered public accounting firm, concluded the tender offer provision included in the warrant agreement fails the “classified in shareholders’ equity” criteria as contemplated by ASC Section 815-40-25.</w:t>
      </w:r>
    </w:p>
    <w:p>
      <w:pPr>
        <w:spacing w:after="0" w:line="178"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As a result of the above, the Company should have classified the warrants as derivative liabilities in its previously issued financial statements. Under this accounting treatment, the Company is required to measure the fair value of the warrants at the end of each reporting period and recognize changes in the fair value from the prior period in the Company’s operating results for the current period.</w:t>
      </w:r>
    </w:p>
    <w:p>
      <w:pPr>
        <w:spacing w:after="0" w:line="16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Company’s accounting for the warrants as components of equity instead of as derivative liabilities did not have any effect on the Company’s previously reported operating expenses, cash flows or cash.</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Balance Sheet as of September 25, 2020 (audited)</w:t>
            </w:r>
          </w:p>
        </w:tc>
        <w:tc>
          <w:tcPr>
            <w:tcW w:w="1660" w:type="dxa"/>
            <w:vAlign w:val="bottom"/>
            <w:gridSpan w:val="2"/>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As Reported</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Restatement</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 Restated</w:t>
            </w:r>
          </w:p>
        </w:tc>
        <w:tc>
          <w:tcPr>
            <w:tcW w:w="260" w:type="dxa"/>
            <w:vAlign w:val="bottom"/>
          </w:tcPr>
          <w:p>
            <w:pPr>
              <w:spacing w:after="0"/>
              <w:rPr>
                <w:sz w:val="14"/>
                <w:szCs w:val="14"/>
                <w:color w:val="auto"/>
              </w:rPr>
            </w:pPr>
          </w:p>
        </w:tc>
      </w:tr>
      <w:tr>
        <w:trPr>
          <w:trHeight w:val="209"/>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20,960,000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20,960,000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7,002,230</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20,960,000</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27,962,230</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2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189,517,240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(20,960,000)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168,557,240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Class A ordinary shares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209</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314</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5,005,991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2,914,781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7,920,772</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(6,606)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(2,914,990)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(2,921,596)</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5,000,008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5,000,008</w:t>
            </w:r>
          </w:p>
        </w:tc>
      </w:tr>
      <w:tr>
        <w:trPr>
          <w:trHeight w:val="230"/>
        </w:trPr>
        <w:tc>
          <w:tcPr>
            <w:tcW w:w="4680" w:type="dxa"/>
            <w:vAlign w:val="bottom"/>
            <w:gridSpan w:val="4"/>
          </w:tcPr>
          <w:p>
            <w:pPr>
              <w:spacing w:after="0"/>
              <w:rPr>
                <w:sz w:val="20"/>
                <w:szCs w:val="20"/>
                <w:color w:val="auto"/>
              </w:rPr>
            </w:pPr>
            <w:r>
              <w:rPr>
                <w:rFonts w:ascii="Arial" w:cs="Arial" w:eastAsia="Arial" w:hAnsi="Arial"/>
                <w:sz w:val="18"/>
                <w:szCs w:val="18"/>
                <w:color w:val="auto"/>
              </w:rPr>
              <w:t>Number of shares subject to possible redemption</w:t>
            </w:r>
          </w:p>
        </w:tc>
        <w:tc>
          <w:tcPr>
            <w:tcW w:w="244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18,951,724</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(2,096,000)</w:t>
            </w:r>
          </w:p>
        </w:tc>
        <w:tc>
          <w:tcPr>
            <w:tcW w:w="28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16,855,724</w:t>
            </w:r>
          </w:p>
        </w:tc>
      </w:tr>
      <w:tr>
        <w:trPr>
          <w:trHeight w:val="350"/>
        </w:trPr>
        <w:tc>
          <w:tcPr>
            <w:tcW w:w="31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1"/>
              </w:rPr>
              <w:t>Balance Sheet as of September 30, 2020 (unaudited)</w:t>
            </w:r>
          </w:p>
        </w:tc>
        <w:tc>
          <w:tcPr>
            <w:tcW w:w="15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0"/>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21,060,000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21,060,000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7,002,230</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21,060,000</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28,062,230</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2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189,506,470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(21,060,000)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168,446,470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Class A ordinary shares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316</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5,016,761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3,014,779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8,031,540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2440" w:type="dxa"/>
            <w:vAlign w:val="bottom"/>
          </w:tcPr>
          <w:p>
            <w:pPr>
              <w:spacing w:after="0"/>
              <w:rPr>
                <w:sz w:val="18"/>
                <w:szCs w:val="18"/>
                <w:color w:val="auto"/>
              </w:rPr>
            </w:pP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(17,379)</w:t>
            </w:r>
          </w:p>
        </w:tc>
        <w:tc>
          <w:tcPr>
            <w:tcW w:w="2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(3,014,990)</w:t>
            </w:r>
          </w:p>
        </w:tc>
        <w:tc>
          <w:tcPr>
            <w:tcW w:w="280" w:type="dxa"/>
            <w:vAlign w:val="bottom"/>
          </w:tcPr>
          <w:p>
            <w:pPr>
              <w:spacing w:after="0"/>
              <w:rPr>
                <w:sz w:val="18"/>
                <w:szCs w:val="18"/>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(3,032,369)</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5,000,005</w:t>
            </w:r>
          </w:p>
        </w:tc>
      </w:tr>
      <w:tr>
        <w:trPr>
          <w:trHeight w:val="230"/>
        </w:trPr>
        <w:tc>
          <w:tcPr>
            <w:tcW w:w="4680" w:type="dxa"/>
            <w:vAlign w:val="bottom"/>
            <w:gridSpan w:val="4"/>
          </w:tcPr>
          <w:p>
            <w:pPr>
              <w:spacing w:after="0"/>
              <w:rPr>
                <w:sz w:val="20"/>
                <w:szCs w:val="20"/>
                <w:color w:val="auto"/>
              </w:rPr>
            </w:pPr>
            <w:r>
              <w:rPr>
                <w:rFonts w:ascii="Arial" w:cs="Arial" w:eastAsia="Arial" w:hAnsi="Arial"/>
                <w:sz w:val="18"/>
                <w:szCs w:val="18"/>
                <w:color w:val="auto"/>
              </w:rPr>
              <w:t>Number of shares subject to possible redemption</w:t>
            </w:r>
          </w:p>
        </w:tc>
        <w:tc>
          <w:tcPr>
            <w:tcW w:w="244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18,950,647</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(2,106,000)</w:t>
            </w:r>
          </w:p>
        </w:tc>
        <w:tc>
          <w:tcPr>
            <w:tcW w:w="28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16,844,647</w:t>
            </w:r>
          </w:p>
        </w:tc>
      </w:tr>
      <w:tr>
        <w:trPr>
          <w:trHeight w:val="350"/>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Balance Sheet as of December 31, 2020 (audited)</w:t>
            </w:r>
          </w:p>
        </w:tc>
        <w:tc>
          <w:tcPr>
            <w:tcW w:w="1700" w:type="dxa"/>
            <w:vAlign w:val="bottom"/>
            <w:gridSpan w:val="3"/>
          </w:tcPr>
          <w:p>
            <w:pPr>
              <w:spacing w:after="0"/>
              <w:rPr>
                <w:sz w:val="24"/>
                <w:szCs w:val="24"/>
                <w:color w:val="auto"/>
              </w:rPr>
            </w:pP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10"/>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Warrant Liabilities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22,513,065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9"/>
              </w:rPr>
              <w:t>22,513,065</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Total Liabilities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8,153,666</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22,513,065</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30,666,731</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24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w w:val="87"/>
              </w:rPr>
              <w:t>195,635,180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(22,513,070)</w:t>
            </w:r>
          </w:p>
        </w:tc>
        <w:tc>
          <w:tcPr>
            <w:tcW w:w="2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173,122,110</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Class A ordinary shares</w:t>
            </w:r>
          </w:p>
        </w:tc>
        <w:tc>
          <w:tcPr>
            <w:tcW w:w="2440" w:type="dxa"/>
            <w:vAlign w:val="bottom"/>
          </w:tcPr>
          <w:p>
            <w:pPr>
              <w:spacing w:after="0"/>
              <w:rPr>
                <w:sz w:val="18"/>
                <w:szCs w:val="18"/>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225</w:t>
            </w:r>
          </w:p>
        </w:tc>
        <w:tc>
          <w:tcPr>
            <w:tcW w:w="280" w:type="dxa"/>
            <w:vAlign w:val="bottom"/>
          </w:tcPr>
          <w:p>
            <w:pPr>
              <w:spacing w:after="0"/>
              <w:rPr>
                <w:sz w:val="18"/>
                <w:szCs w:val="18"/>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343</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6,002,037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3,858,301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9,860,338</w:t>
            </w:r>
          </w:p>
        </w:tc>
      </w:tr>
      <w:tr>
        <w:trPr>
          <w:trHeight w:val="216"/>
        </w:trPr>
        <w:tc>
          <w:tcPr>
            <w:tcW w:w="4680" w:type="dxa"/>
            <w:vAlign w:val="bottom"/>
            <w:gridSpan w:val="4"/>
          </w:tcPr>
          <w:p>
            <w:pPr>
              <w:spacing w:after="0"/>
              <w:rPr>
                <w:sz w:val="20"/>
                <w:szCs w:val="20"/>
                <w:color w:val="auto"/>
              </w:rPr>
            </w:pPr>
            <w:r>
              <w:rPr>
                <w:rFonts w:ascii="Arial" w:cs="Arial" w:eastAsia="Arial" w:hAnsi="Arial"/>
                <w:sz w:val="18"/>
                <w:szCs w:val="18"/>
                <w:color w:val="auto"/>
              </w:rPr>
              <w:t>Accumulated deficit</w:t>
            </w:r>
          </w:p>
        </w:tc>
        <w:tc>
          <w:tcPr>
            <w:tcW w:w="244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200"/>
              <w:spacing w:after="0"/>
              <w:rPr>
                <w:sz w:val="20"/>
                <w:szCs w:val="20"/>
                <w:color w:val="auto"/>
              </w:rPr>
            </w:pPr>
            <w:r>
              <w:rPr>
                <w:rFonts w:ascii="Arial" w:cs="Arial" w:eastAsia="Arial" w:hAnsi="Arial"/>
                <w:sz w:val="18"/>
                <w:szCs w:val="18"/>
                <w:color w:val="auto"/>
              </w:rPr>
              <w:t>(1,002,669)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(3,858,521)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(4,861,190)</w:t>
            </w:r>
          </w:p>
        </w:tc>
      </w:tr>
      <w:tr>
        <w:trPr>
          <w:trHeight w:val="216"/>
        </w:trPr>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5,000,004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5,000,009</w:t>
            </w:r>
          </w:p>
        </w:tc>
      </w:tr>
      <w:tr>
        <w:trPr>
          <w:trHeight w:val="230"/>
        </w:trPr>
        <w:tc>
          <w:tcPr>
            <w:tcW w:w="4680" w:type="dxa"/>
            <w:vAlign w:val="bottom"/>
            <w:gridSpan w:val="4"/>
          </w:tcPr>
          <w:p>
            <w:pPr>
              <w:spacing w:after="0"/>
              <w:rPr>
                <w:sz w:val="20"/>
                <w:szCs w:val="20"/>
                <w:color w:val="auto"/>
              </w:rPr>
            </w:pPr>
            <w:r>
              <w:rPr>
                <w:rFonts w:ascii="Arial" w:cs="Arial" w:eastAsia="Arial" w:hAnsi="Arial"/>
                <w:sz w:val="18"/>
                <w:szCs w:val="18"/>
                <w:color w:val="auto"/>
              </w:rPr>
              <w:t>Number of shares subject to possible redemption</w:t>
            </w:r>
          </w:p>
        </w:tc>
        <w:tc>
          <w:tcPr>
            <w:tcW w:w="2440" w:type="dxa"/>
            <w:vAlign w:val="bottom"/>
          </w:tcPr>
          <w:p>
            <w:pPr>
              <w:spacing w:after="0"/>
              <w:rPr>
                <w:sz w:val="20"/>
                <w:szCs w:val="20"/>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w w:val="97"/>
              </w:rPr>
              <w:t>19,563,518</w:t>
            </w:r>
          </w:p>
        </w:tc>
        <w:tc>
          <w:tcPr>
            <w:tcW w:w="2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(2,251,306)</w:t>
            </w:r>
          </w:p>
        </w:tc>
        <w:tc>
          <w:tcPr>
            <w:tcW w:w="28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17,312,211</w:t>
            </w:r>
          </w:p>
        </w:tc>
      </w:tr>
      <w:tr>
        <w:trPr>
          <w:trHeight w:val="350"/>
        </w:trPr>
        <w:tc>
          <w:tcPr>
            <w:tcW w:w="2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40" w:type="dxa"/>
            <w:vAlign w:val="bottom"/>
          </w:tcPr>
          <w:p>
            <w:pPr>
              <w:jc w:val="right"/>
              <w:ind w:right="1430"/>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for the period from July 31, 2020 (Inception)</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9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through September 30, 2020 (unaudited)</w:t>
            </w: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As Reported</w:t>
            </w:r>
          </w:p>
        </w:tc>
        <w:tc>
          <w:tcPr>
            <w:tcW w:w="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Restatement</w:t>
            </w:r>
          </w:p>
        </w:tc>
        <w:tc>
          <w:tcPr>
            <w:tcW w:w="8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Restated</w:t>
            </w:r>
          </w:p>
        </w:tc>
      </w:tr>
      <w:tr>
        <w:trPr>
          <w:trHeight w:val="203"/>
        </w:trPr>
        <w:tc>
          <w:tcPr>
            <w:tcW w:w="6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(754,990)</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(754,990)</w:t>
            </w:r>
          </w:p>
        </w:tc>
        <w:tc>
          <w:tcPr>
            <w:tcW w:w="180" w:type="dxa"/>
            <w:vAlign w:val="bottom"/>
            <w:tcBorders>
              <w:top w:val="single" w:sz="8" w:color="CCEEFF"/>
            </w:tcBorders>
            <w:shd w:val="clear" w:color="auto" w:fill="CCEEFF"/>
          </w:tcPr>
          <w:p>
            <w:pPr>
              <w:spacing w:after="0"/>
              <w:rPr>
                <w:sz w:val="17"/>
                <w:szCs w:val="17"/>
                <w:color w:val="auto"/>
              </w:rPr>
            </w:pP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(2,260,000)</w:t>
            </w: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(2,260,000)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(17,379)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(3,014,990)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(3,032,369)</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Class 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(0.58)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327"/>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for the period from July 31, 2020 (Inception)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7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through December 31, 2020 (audited)</w:t>
            </w: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10"/>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(768,391)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(768,391)</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(3,090,130)</w:t>
            </w: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(3,090,130)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(1,002,669)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(3,858,521)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(4,861,190)</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Basic and diluted net (loss) per ordinary share, Class B</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(0.19)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(0.75)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(0.94)</w:t>
            </w:r>
          </w:p>
        </w:tc>
      </w:tr>
      <w:tr>
        <w:trPr>
          <w:trHeight w:val="327"/>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Statement of Cash Flows for the period from July 31, 2020 (inception)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through September 30, 2020 (audited)</w:t>
            </w: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As Reported</w:t>
            </w:r>
          </w:p>
        </w:tc>
        <w:tc>
          <w:tcPr>
            <w:tcW w:w="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Restatement</w:t>
            </w:r>
          </w:p>
        </w:tc>
        <w:tc>
          <w:tcPr>
            <w:tcW w:w="8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Restated</w:t>
            </w:r>
          </w:p>
        </w:tc>
      </w:tr>
      <w:tr>
        <w:trPr>
          <w:trHeight w:val="203"/>
        </w:trPr>
        <w:tc>
          <w:tcPr>
            <w:tcW w:w="6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(17,379)</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(3,014,990)</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(3,032,369)</w:t>
            </w: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(754,990)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(754,990)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(2,260,000)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(2,260,000)</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189,517,240</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(20,960,000)</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168,557,240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(10,770)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(100,000)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(110,770)</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Initial classification of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20,960,000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20,960,000</w:t>
            </w:r>
          </w:p>
        </w:tc>
      </w:tr>
      <w:tr>
        <w:trPr>
          <w:trHeight w:val="327"/>
        </w:trPr>
        <w:tc>
          <w:tcPr>
            <w:tcW w:w="6960" w:type="dxa"/>
            <w:vAlign w:val="bottom"/>
            <w:gridSpan w:val="2"/>
          </w:tcPr>
          <w:p>
            <w:pPr>
              <w:spacing w:after="0"/>
              <w:rPr>
                <w:sz w:val="20"/>
                <w:szCs w:val="20"/>
                <w:color w:val="auto"/>
              </w:rPr>
            </w:pPr>
            <w:r>
              <w:rPr>
                <w:rFonts w:ascii="Arial" w:cs="Arial" w:eastAsia="Arial" w:hAnsi="Arial"/>
                <w:sz w:val="14"/>
                <w:szCs w:val="14"/>
                <w:b w:val="1"/>
                <w:bCs w:val="1"/>
                <w:color w:val="auto"/>
              </w:rPr>
              <w:t>Statement of Cash Flows for the period from July 31, 2020 (inception)</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91"/>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through December 31, 2020 (audited)</w:t>
            </w: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1"/>
              </w:rPr>
              <w:t>As Reported</w:t>
            </w:r>
          </w:p>
        </w:tc>
        <w:tc>
          <w:tcPr>
            <w:tcW w:w="80" w:type="dxa"/>
            <w:vAlign w:val="bottom"/>
          </w:tcPr>
          <w:p>
            <w:pPr>
              <w:spacing w:after="0"/>
              <w:rPr>
                <w:sz w:val="16"/>
                <w:szCs w:val="16"/>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0"/>
              </w:rPr>
              <w:t>Restatement</w:t>
            </w:r>
          </w:p>
        </w:tc>
        <w:tc>
          <w:tcPr>
            <w:tcW w:w="8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As Restated</w:t>
            </w:r>
          </w:p>
        </w:tc>
      </w:tr>
      <w:tr>
        <w:trPr>
          <w:trHeight w:val="203"/>
        </w:trPr>
        <w:tc>
          <w:tcPr>
            <w:tcW w:w="6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(1,002,669)</w:t>
            </w: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(3,858,521)</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(4,861,190)</w:t>
            </w: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Transaction costs allocable to warrant liabilities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(768,391)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(768,391)</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9"/>
              </w:rPr>
              <w:t>(3,090,130)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(3,090,130)</w:t>
            </w:r>
          </w:p>
        </w:tc>
      </w:tr>
      <w:tr>
        <w:trPr>
          <w:trHeight w:val="216"/>
        </w:trPr>
        <w:tc>
          <w:tcPr>
            <w:tcW w:w="6960" w:type="dxa"/>
            <w:vAlign w:val="bottom"/>
            <w:gridSpan w:val="2"/>
          </w:tcPr>
          <w:p>
            <w:pPr>
              <w:spacing w:after="0"/>
              <w:rPr>
                <w:sz w:val="20"/>
                <w:szCs w:val="20"/>
                <w:color w:val="auto"/>
              </w:rPr>
            </w:pPr>
            <w:r>
              <w:rPr>
                <w:rFonts w:ascii="Arial" w:cs="Arial" w:eastAsia="Arial" w:hAnsi="Arial"/>
                <w:sz w:val="18"/>
                <w:szCs w:val="18"/>
                <w:color w:val="auto"/>
              </w:rPr>
              <w:t>Initial classification of Class A Ordinary Shares subject to possible redemption</w:t>
            </w:r>
          </w:p>
        </w:tc>
        <w:tc>
          <w:tcPr>
            <w:tcW w:w="10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196,631,240</w:t>
            </w:r>
          </w:p>
        </w:tc>
        <w:tc>
          <w:tcPr>
            <w:tcW w:w="80" w:type="dxa"/>
            <w:vAlign w:val="bottom"/>
          </w:tcPr>
          <w:p>
            <w:pPr>
              <w:spacing w:after="0"/>
              <w:rPr>
                <w:sz w:val="18"/>
                <w:szCs w:val="18"/>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(21,748,230)</w:t>
            </w:r>
          </w:p>
        </w:tc>
        <w:tc>
          <w:tcPr>
            <w:tcW w:w="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174,883,010</w:t>
            </w: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(996,060)</w:t>
            </w:r>
          </w:p>
        </w:tc>
        <w:tc>
          <w:tcPr>
            <w:tcW w:w="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(764,840)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(1,760,900)</w:t>
            </w:r>
          </w:p>
        </w:tc>
      </w:tr>
      <w:tr>
        <w:trPr>
          <w:trHeight w:val="230"/>
        </w:trPr>
        <w:tc>
          <w:tcPr>
            <w:tcW w:w="6960" w:type="dxa"/>
            <w:vAlign w:val="bottom"/>
            <w:gridSpan w:val="2"/>
          </w:tcPr>
          <w:p>
            <w:pPr>
              <w:spacing w:after="0"/>
              <w:rPr>
                <w:sz w:val="20"/>
                <w:szCs w:val="20"/>
                <w:color w:val="auto"/>
              </w:rPr>
            </w:pPr>
            <w:r>
              <w:rPr>
                <w:rFonts w:ascii="Arial" w:cs="Arial" w:eastAsia="Arial" w:hAnsi="Arial"/>
                <w:sz w:val="18"/>
                <w:szCs w:val="18"/>
                <w:color w:val="auto"/>
              </w:rPr>
              <w:t>Initial classification of warrant liability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20,960,000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20,960,000</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pursuant to the rules and regulations of the SEC.</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described in Note 2—Restatement of Previously Issued Financial Statements, the Company’s consolidated financial statements for the year ended December 31, 2020 (collectively, the “Affected Period”), are restated in this Annual Report on Form 10-K/A (Amendment No. 1) (this “Annual Report”) to correct the misapplication of accounting guidance related to the Company’s warrants in the Company’s previously issued audited and unaudited condensed consolidated financial statements for such periods. The restated consolidated financial statements are indicated as “Restated” in the audited consolidated financial statements and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accompanying notes, as applicable. See Note 2—Restatement of Previously Issued Financial Statements for further discussion.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ind w:left="120" w:right="5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Company’s portfolio of investments held in trust is comprised solely of U.S. Treasury money market funds, within the meaning set forth in Section 2(a)(16) 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 at fair value at the end of each reporting period. Gains and losses resulting from the change in fair value of these investments are included in interest earned on marketable securities held in Trust Account in the accompanying consolidated statement of operations. The estimated fair values of investments held in the Trust Account are determined using available market information.</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Accounting Standards Codification (“ASC”) Topic 480 “Distinguishing Liabilities from Equity.”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December 31, 2020, 17,312,211 Class A ordinary shares subject to possible redemption are presented as temporary equity, outside of the shareholders’ equity section of the Company’s consolidated balance sheet.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Liability (Restated)</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a liability at their initial fair value on the date of issuance, and each balance sheet date thereafter. Changes in the estimated fair value of the warrants are recognized as a non-cash gain or loss on the consolidated statements of operations. The fair value of the public warrants were initially estimated using the Option Pricing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59" w:right="4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Method with subsequent remeasurements utilizing the trading stock price, whereas the private warrants were estimated using a Option Pricing Method approach for all periods (see Note 10).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Offering costs consist of legal, accounting, underwriting fees and other costs incurred through the Initial Public Offering that are directly related to the Initial Public Offering. Offering costs amounting to $11,906,606 were charged to shareholders’ equity upon the completion of the Initial Public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10,368,601 warrants issued in connection with the Initial Public Offering (the “Public Warrants”) and the 6,147,440 Private Placement Warrants are recognized as derivative liabilities in accordance with ASC 815-40. Accordingly, the Company recognizes the warrant instruments as liabilities at fair value and adjust the instruments to fair value at each reporting period. The liabilities are subject to re-measurement at each balance sheet date until exercised, and any change in fair value is recognized in the Company’s consolidated statement of operations. The fair value of the Public Warrants issued in connection with the Public Offering and Private Placement Warrants were initially measured at fair value using a Option Pricing simulation model and subsequently, the fair value of the Private Placement Warrants have been estimated using a Black Scholes simulation model each measurement date. The fair value of Public Warrants issued in connection with the Initial Public Offering have subsequently been measured based on the listed market price of such warrants.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Ordinary Share (Restated)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share is computed by dividing net income (loss) by the weighted average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16,516,041 shares of Class A ordinary shares in the aggregate.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Company’s consolidated statement of operations includes a presentation of income (loss) per share for ordinary shares subject to possible redemption in a manner similar to the two-class method of income (loss) per share. Net income per share, basic and diluted, for Class A redeemable ordinary shares is calculated by dividing the interest income earned on the Trust Account of $4,193 for the period from July 31, 2020 (inception) through December 31, 2020 by the weighted average number of Class A redeemable ordinary shares outstanding for the period. Net loss per share, basic and diluted, for Class B non-redeemable ordinary shares is calculated by dividing the net loss, adjusted for income attributable to Class A redeemable ordinary shares of $4,193 by the weighted average number of Class B non-redeemable ordinary shares outstanding for the period. Class B non-redeemable ordinary shares includes the Founder Shares as these shares do not have any redemption features and do not participate in the income earned on the Trust Account.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reflects the calculation of basic and diluted net income (loss) per ordinary share (in dollars, except per share amounts):</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For the Period</w:t>
            </w:r>
          </w:p>
        </w:tc>
      </w:tr>
      <w:tr>
        <w:trPr>
          <w:trHeight w:val="148"/>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from</w:t>
            </w:r>
          </w:p>
        </w:tc>
      </w:tr>
      <w:tr>
        <w:trPr>
          <w:trHeight w:val="148"/>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3"/>
              </w:rPr>
              <w:t>July 31, 2020</w:t>
            </w:r>
          </w:p>
        </w:tc>
      </w:tr>
      <w:tr>
        <w:trPr>
          <w:trHeight w:val="148"/>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7"/>
              </w:rPr>
              <w:t>(inception)</w:t>
            </w:r>
          </w:p>
        </w:tc>
      </w:tr>
      <w:tr>
        <w:trPr>
          <w:trHeight w:val="148"/>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Through</w:t>
            </w:r>
          </w:p>
        </w:tc>
      </w:tr>
      <w:tr>
        <w:trPr>
          <w:trHeight w:val="149"/>
        </w:trPr>
        <w:tc>
          <w:tcPr>
            <w:tcW w:w="6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620" w:type="dxa"/>
            <w:vAlign w:val="bottom"/>
            <w:tcBorders>
              <w:bottom w:val="single" w:sz="8" w:color="CCEEFF"/>
            </w:tcBorders>
          </w:tcPr>
          <w:p>
            <w:pPr>
              <w:spacing w:after="0"/>
              <w:rPr>
                <w:sz w:val="14"/>
                <w:szCs w:val="14"/>
                <w:color w:val="auto"/>
              </w:rPr>
            </w:pP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2020</w:t>
            </w:r>
          </w:p>
        </w:tc>
        <w:tc>
          <w:tcPr>
            <w:tcW w:w="120" w:type="dxa"/>
            <w:vAlign w:val="bottom"/>
            <w:tcBorders>
              <w:bottom w:val="single" w:sz="8" w:color="CCEEFF"/>
            </w:tcBorders>
          </w:tcPr>
          <w:p>
            <w:pPr>
              <w:spacing w:after="0"/>
              <w:rPr>
                <w:sz w:val="14"/>
                <w:szCs w:val="14"/>
                <w:color w:val="auto"/>
              </w:rPr>
            </w:pPr>
          </w:p>
        </w:tc>
      </w:tr>
      <w:tr>
        <w:trPr>
          <w:trHeight w:val="183"/>
        </w:trPr>
        <w:tc>
          <w:tcPr>
            <w:tcW w:w="662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Redeemable Class A Ordinary Shares</w:t>
            </w: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620" w:type="dxa"/>
            <w:vAlign w:val="bottom"/>
          </w:tcPr>
          <w:p>
            <w:pPr>
              <w:ind w:left="340"/>
              <w:spacing w:after="0"/>
              <w:rPr>
                <w:sz w:val="20"/>
                <w:szCs w:val="20"/>
                <w:color w:val="auto"/>
              </w:rPr>
            </w:pPr>
            <w:r>
              <w:rPr>
                <w:rFonts w:ascii="Arial" w:cs="Arial" w:eastAsia="Arial" w:hAnsi="Arial"/>
                <w:sz w:val="17"/>
                <w:szCs w:val="17"/>
                <w:color w:val="auto"/>
              </w:rPr>
              <w:t>Numerator: Earnings allocable to Redeemable Class A Ordinary Shares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6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Interest Income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4,193</w:t>
            </w:r>
          </w:p>
        </w:tc>
      </w:tr>
      <w:tr>
        <w:trPr>
          <w:trHeight w:val="209"/>
        </w:trPr>
        <w:tc>
          <w:tcPr>
            <w:tcW w:w="6620" w:type="dxa"/>
            <w:vAlign w:val="bottom"/>
          </w:tcPr>
          <w:p>
            <w:pPr>
              <w:ind w:left="1020"/>
              <w:spacing w:after="0"/>
              <w:rPr>
                <w:sz w:val="20"/>
                <w:szCs w:val="20"/>
                <w:color w:val="auto"/>
              </w:rPr>
            </w:pPr>
            <w:r>
              <w:rPr>
                <w:rFonts w:ascii="Arial" w:cs="Arial" w:eastAsia="Arial" w:hAnsi="Arial"/>
                <w:sz w:val="17"/>
                <w:szCs w:val="17"/>
                <w:color w:val="auto"/>
              </w:rPr>
              <w:t>Redeemable Net Earnings</w:t>
            </w: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4,193</w:t>
            </w: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Denominator: Weighted Average Redeemable Class A Ordinary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680"/>
              <w:spacing w:after="0"/>
              <w:rPr>
                <w:sz w:val="20"/>
                <w:szCs w:val="20"/>
                <w:color w:val="auto"/>
              </w:rPr>
            </w:pPr>
            <w:r>
              <w:rPr>
                <w:rFonts w:ascii="Arial" w:cs="Arial" w:eastAsia="Arial" w:hAnsi="Arial"/>
                <w:sz w:val="17"/>
                <w:szCs w:val="17"/>
                <w:color w:val="auto"/>
              </w:rPr>
              <w:t>Redeemable Class A Ordinary Shares, Basic and Diluted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w w:val="89"/>
              </w:rPr>
              <w:t>20,737,202</w:t>
            </w:r>
          </w:p>
        </w:tc>
      </w:tr>
      <w:tr>
        <w:trPr>
          <w:trHeight w:val="20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Income Per Share/Basic and Diluted Redeemable Class A Ordinary Shares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r>
      <w:tr>
        <w:trPr>
          <w:trHeight w:val="308"/>
        </w:trPr>
        <w:tc>
          <w:tcPr>
            <w:tcW w:w="6620" w:type="dxa"/>
            <w:vAlign w:val="bottom"/>
          </w:tcPr>
          <w:p>
            <w:pPr>
              <w:spacing w:after="0"/>
              <w:rPr>
                <w:sz w:val="20"/>
                <w:szCs w:val="20"/>
                <w:color w:val="auto"/>
              </w:rPr>
            </w:pPr>
            <w:r>
              <w:rPr>
                <w:rFonts w:ascii="Arial" w:cs="Arial" w:eastAsia="Arial" w:hAnsi="Arial"/>
                <w:sz w:val="17"/>
                <w:szCs w:val="17"/>
                <w:color w:val="auto"/>
              </w:rPr>
              <w:t>Non-Redeemable Class B Ordinary Shares</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5"/>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Numerator: Net Income (Loss) minus Redeemable Net Earnings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680"/>
              <w:spacing w:after="0"/>
              <w:rPr>
                <w:sz w:val="20"/>
                <w:szCs w:val="20"/>
                <w:color w:val="auto"/>
              </w:rPr>
            </w:pPr>
            <w:r>
              <w:rPr>
                <w:rFonts w:ascii="Arial" w:cs="Arial" w:eastAsia="Arial" w:hAnsi="Arial"/>
                <w:sz w:val="17"/>
                <w:szCs w:val="17"/>
                <w:color w:val="auto"/>
              </w:rPr>
              <w:t>Net Income (Loss)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7"/>
                <w:szCs w:val="17"/>
                <w:color w:val="auto"/>
                <w:w w:val="94"/>
              </w:rPr>
              <w:t>(4,861,190)</w:t>
            </w:r>
          </w:p>
        </w:tc>
      </w:tr>
      <w:tr>
        <w:trPr>
          <w:trHeight w:val="203"/>
        </w:trPr>
        <w:tc>
          <w:tcPr>
            <w:tcW w:w="6620" w:type="dxa"/>
            <w:vAlign w:val="bottom"/>
            <w:shd w:val="clear" w:color="auto" w:fill="CCEEFF"/>
          </w:tcPr>
          <w:p>
            <w:pPr>
              <w:ind w:left="680"/>
              <w:spacing w:after="0"/>
              <w:rPr>
                <w:sz w:val="20"/>
                <w:szCs w:val="20"/>
                <w:color w:val="auto"/>
              </w:rPr>
            </w:pPr>
            <w:r>
              <w:rPr>
                <w:rFonts w:ascii="Arial" w:cs="Arial" w:eastAsia="Arial" w:hAnsi="Arial"/>
                <w:sz w:val="17"/>
                <w:szCs w:val="17"/>
                <w:color w:val="auto"/>
              </w:rPr>
              <w:t>Redeemable Net Earnings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(4,193)</w:t>
            </w:r>
          </w:p>
        </w:tc>
      </w:tr>
      <w:tr>
        <w:trPr>
          <w:trHeight w:val="210"/>
        </w:trPr>
        <w:tc>
          <w:tcPr>
            <w:tcW w:w="6620" w:type="dxa"/>
            <w:vAlign w:val="bottom"/>
          </w:tcPr>
          <w:p>
            <w:pPr>
              <w:ind w:left="1020"/>
              <w:spacing w:after="0"/>
              <w:rPr>
                <w:sz w:val="20"/>
                <w:szCs w:val="20"/>
                <w:color w:val="auto"/>
              </w:rPr>
            </w:pPr>
            <w:r>
              <w:rPr>
                <w:rFonts w:ascii="Arial" w:cs="Arial" w:eastAsia="Arial" w:hAnsi="Arial"/>
                <w:sz w:val="17"/>
                <w:szCs w:val="17"/>
                <w:color w:val="auto"/>
              </w:rPr>
              <w:t>Non-Redeemable Net Loss</w:t>
            </w:r>
          </w:p>
        </w:tc>
        <w:tc>
          <w:tcPr>
            <w:tcW w:w="7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(4,865,383)</w:t>
            </w:r>
          </w:p>
        </w:tc>
        <w:tc>
          <w:tcPr>
            <w:tcW w:w="120" w:type="dxa"/>
            <w:vAlign w:val="bottom"/>
          </w:tcPr>
          <w:p>
            <w:pPr>
              <w:spacing w:after="0"/>
              <w:rPr>
                <w:sz w:val="18"/>
                <w:szCs w:val="18"/>
                <w:color w:val="auto"/>
              </w:rPr>
            </w:pPr>
          </w:p>
        </w:tc>
      </w:tr>
      <w:tr>
        <w:trPr>
          <w:trHeight w:val="20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Denominator: Weighted Average Non-Redeemable Class B Ordinary Shares</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620" w:type="dxa"/>
            <w:vAlign w:val="bottom"/>
          </w:tcPr>
          <w:p>
            <w:pPr>
              <w:ind w:left="680"/>
              <w:spacing w:after="0"/>
              <w:rPr>
                <w:sz w:val="20"/>
                <w:szCs w:val="20"/>
                <w:color w:val="auto"/>
              </w:rPr>
            </w:pPr>
            <w:r>
              <w:rPr>
                <w:rFonts w:ascii="Arial" w:cs="Arial" w:eastAsia="Arial" w:hAnsi="Arial"/>
                <w:sz w:val="17"/>
                <w:szCs w:val="17"/>
                <w:color w:val="auto"/>
              </w:rPr>
              <w:t>Non-Redeemable Class B Ordinary Shares, Basic and Diluted</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7"/>
                <w:szCs w:val="17"/>
                <w:color w:val="auto"/>
              </w:rPr>
              <w:t>5,184,300</w:t>
            </w:r>
          </w:p>
        </w:tc>
      </w:tr>
      <w:tr>
        <w:trPr>
          <w:trHeight w:val="203"/>
        </w:trPr>
        <w:tc>
          <w:tcPr>
            <w:tcW w:w="66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 Per Share/Basic and Diluted Non-Redeemable Class B Ordinary Shares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(0.94)</w:t>
            </w:r>
          </w:p>
        </w:tc>
      </w:tr>
    </w:tbl>
    <w:p>
      <w:pPr>
        <w:spacing w:after="0" w:line="20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As of December 31, 2020, The Company has not considered the effect of the warrants sold in the Initial Public Offering and Private Placement to purchase an aggregate of 16,000,000 shares of Class A common stock</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80"/>
          </w:cols>
          <w:pgMar w:left="320" w:top="459" w:right="4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in the calculation of diluted loss per share, since their inclusion would be antidilutive under the treasury stock method. As a result, diluted loss per common share is the same as basic loss per common share for the period presented.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limits of $250,000. The Company has not experienced losses on this account and management believes the Company is not exposed to significant risks on such account.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fair value of the Company’s assets and liabilities other than the warrant liabilities, which qualify as financial instruments under ASC Topic 820, “Fair Value Measurement,” approximates the carrying amounts represented in the Company’s consolidated balance sheet, primarily due to their short-term nature.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 (Restated)</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 (Restated)</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4—INITIAL PUBLIC OFFERING</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5—PRIVATE PLACEMENT</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9).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w:t>
      </w:r>
    </w:p>
    <w:p>
      <w:pPr>
        <w:spacing w:after="0" w:line="192"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that results in all of the Public Shareholders having the right to exchange their Class A ordinary shares for cash, securities or other property.</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August 3, 2020, the Company issued an unsecured promissory note (the “Promissory Note”) to the Sponsor, pursuant to which the Company may borrow up to an aggregate principal amount of $300,000. The Promissory Note was non-interest bearing and payable on the earlier of (i) December 31, 2020 and (ii) the completion of the Initial Public Offering. The outstanding balance under the Promissory Note of $82,729 was repaid at the closing of the Initial Public Offering on September 25,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As of December 31, 2020, $30,000 were earned and remained unpaid in the accrued expenses line item on the consolidated balance sheet.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order to finance transaction costs in connection with a Business Combination, the Sponsor or an affiliate of the Sponsor, or certain of the Company’s officers and directors will loan, and have the means to provide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2020, the Company had no outstanding borrowings under the Working Capital Loans.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8—SHAREHOLDERS’ EQUITY</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At December 31, 2020, there were no preference shares issued or outstanding.</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b w:val="1"/>
          <w:bCs w:val="1"/>
          <w:i w:val="1"/>
          <w:iCs w:val="1"/>
          <w:color w:val="auto"/>
        </w:rPr>
        <w:t>Class A Ordinary Shares</w:t>
      </w:r>
      <w:r>
        <w:rPr>
          <w:rFonts w:ascii="Arial" w:cs="Arial" w:eastAsia="Arial" w:hAnsi="Arial"/>
          <w:sz w:val="17"/>
          <w:szCs w:val="17"/>
          <w:color w:val="auto"/>
        </w:rPr>
        <w:t>—The Company is authorized to issue 200,000,000 Class A ordinary shares, with a par value of $0.0001 per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ordinary shares are entitled to one vote for each share. At December 31, 2020, there were 3,424,991 Class A ordinary shares issued and outstanding, excluding 17,312,211 Class A ordinary shares subject to possible redemption.</w:t>
      </w:r>
    </w:p>
    <w:p>
      <w:pPr>
        <w:spacing w:after="0" w:line="165"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b w:val="1"/>
          <w:bCs w:val="1"/>
          <w:i w:val="1"/>
          <w:iCs w:val="1"/>
          <w:color w:val="auto"/>
        </w:rPr>
        <w:t>Class B Ordinary Shares</w:t>
      </w:r>
      <w:r>
        <w:rPr>
          <w:rFonts w:ascii="Arial" w:cs="Arial" w:eastAsia="Arial" w:hAnsi="Arial"/>
          <w:sz w:val="18"/>
          <w:szCs w:val="18"/>
          <w:color w:val="auto"/>
        </w:rPr>
        <w:t>—The Company is authorized to issue 20,000,000 Class B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Class B ordinary shares are entitled to one vote for each share. At December 31, 2020, there were 5,184,300 Class B ordinary shares issued and outstanding.</w:t>
      </w:r>
    </w:p>
    <w:p>
      <w:pPr>
        <w:spacing w:after="0" w:line="18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9—WARRANTS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260" w:hanging="4"/>
        <w:spacing w:after="0" w:line="277" w:lineRule="auto"/>
        <w:tabs>
          <w:tab w:leader="none" w:pos="365" w:val="left"/>
        </w:tabs>
        <w:numPr>
          <w:ilvl w:val="0"/>
          <w:numId w:val="24"/>
        </w:numPr>
        <w:rPr>
          <w:rFonts w:ascii="Arial" w:cs="Arial" w:eastAsia="Arial" w:hAnsi="Arial"/>
          <w:sz w:val="18"/>
          <w:szCs w:val="18"/>
          <w:color w:val="auto"/>
        </w:rPr>
      </w:pPr>
      <w:r>
        <w:rPr>
          <w:rFonts w:ascii="Arial" w:cs="Arial" w:eastAsia="Arial" w:hAnsi="Arial"/>
          <w:sz w:val="18"/>
          <w:szCs w:val="18"/>
          <w:color w:val="auto"/>
        </w:rPr>
        <w:t>30 days after the completion of a Business Combination and (b) one year from the closing of the Initial Public Offering. The Public Warrants will expire five years from the completion of a Business Combination or earlier upon redemption or liquidation.</w:t>
      </w:r>
    </w:p>
    <w:p>
      <w:pPr>
        <w:spacing w:after="0" w:line="17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and only if, the reported closing price of the Company’s Class A ordinary shares equals or exceeds $18.00 per share (as adjusted) for any 20 trading days within a 30-trading day period ending three trading days prior to the date on which the Company sends the notice of redemption to the warrant holders.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color w:val="auto"/>
        </w:rPr>
        <w:t>. Once the warrants become exercisable,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the Company’s Class A ordinary shares equals or exceeds $10.00 per Public Share (as adjusted) for any 20 trading days within the 30-trading day period ending three trading days before the Company sends the notice of redemption to the warrant holders; and</w:t>
      </w:r>
    </w:p>
    <w:p>
      <w:pPr>
        <w:spacing w:after="0" w:line="89"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10—FAIR VALUE MEASUREMENTS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1120" w:right="20" w:hanging="998"/>
        <w:spacing w:after="0" w:line="308" w:lineRule="auto"/>
        <w:tabs>
          <w:tab w:leader="none" w:pos="110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1120" w:right="460" w:hanging="998"/>
        <w:spacing w:after="0" w:line="277" w:lineRule="auto"/>
        <w:tabs>
          <w:tab w:leader="none" w:pos="11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At December 31, 2020, assets held in the Trust Account were comprised of $207,376,213 in money market funds which are invested primarily in U.S. Treasury Securities. During the year ended December 31, 2020, the Company did not withdraw any interest income from the Trust Account.</w:t>
      </w:r>
    </w:p>
    <w:p>
      <w:pPr>
        <w:spacing w:after="0" w:line="12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assets that are measured at fair value on a recurring basis at December 31, 2020 and indicates the fair value hierarchy of the valuation inputs the Company utilized to determine such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5640" w:type="dxa"/>
            <w:vAlign w:val="bottom"/>
            <w:vMerge w:val="restart"/>
          </w:tcPr>
          <w:p>
            <w:pPr>
              <w:spacing w:after="0"/>
              <w:rPr>
                <w:sz w:val="14"/>
                <w:szCs w:val="14"/>
                <w:color w:val="auto"/>
              </w:rPr>
            </w:pPr>
          </w:p>
        </w:tc>
        <w:tc>
          <w:tcPr>
            <w:tcW w:w="9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89"/>
              </w:rPr>
              <w:t>Level</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5640" w:type="dxa"/>
            <w:vAlign w:val="bottom"/>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360" w:type="dxa"/>
            <w:vAlign w:val="bottom"/>
            <w:gridSpan w:val="2"/>
          </w:tcPr>
          <w:p>
            <w:pPr>
              <w:spacing w:after="0" w:line="201" w:lineRule="exact"/>
              <w:rPr>
                <w:sz w:val="20"/>
                <w:szCs w:val="20"/>
                <w:color w:val="auto"/>
              </w:rPr>
            </w:pPr>
            <w:r>
              <w:rPr>
                <w:rFonts w:ascii="Arial" w:cs="Arial" w:eastAsia="Arial" w:hAnsi="Arial"/>
                <w:sz w:val="18"/>
                <w:szCs w:val="18"/>
                <w:color w:val="auto"/>
              </w:rPr>
              <w:t>Investments held in Trust Account—U.S. Treasury Securities Money Market</w:t>
            </w: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60" w:type="dxa"/>
            <w:vAlign w:val="bottom"/>
            <w:gridSpan w:val="2"/>
          </w:tcPr>
          <w:p>
            <w:pPr>
              <w:ind w:left="180"/>
              <w:spacing w:after="0"/>
              <w:rPr>
                <w:sz w:val="20"/>
                <w:szCs w:val="20"/>
                <w:color w:val="auto"/>
              </w:rPr>
            </w:pPr>
            <w:r>
              <w:rPr>
                <w:rFonts w:ascii="Arial" w:cs="Arial" w:eastAsia="Arial" w:hAnsi="Arial"/>
                <w:sz w:val="18"/>
                <w:szCs w:val="18"/>
                <w:color w:val="auto"/>
              </w:rPr>
              <w:t>Fund</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207,376,213</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Warrant Liability—Public Warrants</w:t>
            </w: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11,509,147</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11,003,918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balance sheet. The warrant liabilities are measured at fair value at inception and on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recurring basis, with changes in fair value presented within change in fair value of warrant liabilities in the consolidated statement of operations.</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Initial Measurement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established the initial fair value for the Warrants on September 25, 2020, the date of the Company’s Initial Public Offering, using an Option Pricing Method for the Public Warrants and a Black-Scholes Model for the Private Placement Warrants. The Company allocated the proceeds received from (i) the sale of Units (which is inclusive of one share of Class A ordinary shares and one-fourth of one Public Warrant), and (ii) the sale of Private Placement Warrants, first to the Warrants based on their fair values as determined at initial measurement, with the remaining proceeds allocated to Class A ordinary shares subject to possible redemption, Class A ordinary shares and Class B ordinary shares based on their relative fair values at the initial measurement date. The Warrants were classified as Level 3 at the initial measurement date due to the use of unobservable inputs.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inputs into the Option Pricing Method for the Public Warrants were as follows at initial measurement: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Input</w:t>
            </w:r>
          </w:p>
        </w:tc>
        <w:tc>
          <w:tcPr>
            <w:tcW w:w="1580" w:type="dxa"/>
            <w:vAlign w:val="bottom"/>
          </w:tcPr>
          <w:p>
            <w:pPr>
              <w:spacing w:after="0"/>
              <w:rPr>
                <w:sz w:val="14"/>
                <w:szCs w:val="14"/>
                <w:color w:val="auto"/>
              </w:rPr>
            </w:pPr>
          </w:p>
        </w:tc>
        <w:tc>
          <w:tcPr>
            <w:tcW w:w="2540" w:type="dxa"/>
            <w:vAlign w:val="bottom"/>
            <w:gridSpan w:val="3"/>
          </w:tcPr>
          <w:p>
            <w:pPr>
              <w:jc w:val="right"/>
              <w:ind w:right="1260"/>
              <w:spacing w:after="0"/>
              <w:rPr>
                <w:sz w:val="20"/>
                <w:szCs w:val="20"/>
                <w:color w:val="auto"/>
              </w:rPr>
            </w:pPr>
            <w:r>
              <w:rPr>
                <w:rFonts w:ascii="Arial" w:cs="Arial" w:eastAsia="Arial" w:hAnsi="Arial"/>
                <w:sz w:val="14"/>
                <w:szCs w:val="14"/>
                <w:b w:val="1"/>
                <w:bCs w:val="1"/>
                <w:color w:val="auto"/>
                <w:w w:val="96"/>
              </w:rPr>
              <w:t>September 25, 2020</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8"/>
        </w:trPr>
        <w:tc>
          <w:tcPr>
            <w:tcW w:w="3160" w:type="dxa"/>
            <w:vAlign w:val="bottom"/>
            <w:gridSpan w:val="2"/>
            <w:vMerge w:val="continue"/>
          </w:tcPr>
          <w:p>
            <w:pPr>
              <w:spacing w:after="0"/>
              <w:rPr>
                <w:sz w:val="13"/>
                <w:szCs w:val="13"/>
                <w:color w:val="auto"/>
              </w:rPr>
            </w:pPr>
          </w:p>
        </w:tc>
        <w:tc>
          <w:tcPr>
            <w:tcW w:w="1580" w:type="dxa"/>
            <w:vAlign w:val="bottom"/>
          </w:tcPr>
          <w:p>
            <w:pPr>
              <w:spacing w:after="0"/>
              <w:rPr>
                <w:sz w:val="13"/>
                <w:szCs w:val="13"/>
                <w:color w:val="auto"/>
              </w:rPr>
            </w:pPr>
          </w:p>
        </w:tc>
        <w:tc>
          <w:tcPr>
            <w:tcW w:w="25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(Initial Measurement)</w:t>
            </w:r>
          </w:p>
        </w:tc>
        <w:tc>
          <w:tcPr>
            <w:tcW w:w="200" w:type="dxa"/>
            <w:vAlign w:val="bottom"/>
          </w:tcPr>
          <w:p>
            <w:pPr>
              <w:spacing w:after="0"/>
              <w:rPr>
                <w:sz w:val="13"/>
                <w:szCs w:val="13"/>
                <w:color w:val="auto"/>
              </w:rPr>
            </w:pPr>
          </w:p>
        </w:tc>
        <w:tc>
          <w:tcPr>
            <w:tcW w:w="68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Risk-free interest rate</w:t>
            </w:r>
          </w:p>
        </w:tc>
        <w:tc>
          <w:tcPr>
            <w:tcW w:w="1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020"/>
              <w:spacing w:after="0" w:line="203" w:lineRule="exact"/>
              <w:rPr>
                <w:sz w:val="20"/>
                <w:szCs w:val="20"/>
                <w:color w:val="auto"/>
              </w:rPr>
            </w:pPr>
            <w:r>
              <w:rPr>
                <w:rFonts w:ascii="Arial" w:cs="Arial" w:eastAsia="Arial" w:hAnsi="Arial"/>
                <w:sz w:val="18"/>
                <w:szCs w:val="18"/>
                <w:color w:val="auto"/>
              </w:rPr>
              <w:t>0.26%</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Trading days per year</w:t>
            </w:r>
          </w:p>
        </w:tc>
        <w:tc>
          <w:tcPr>
            <w:tcW w:w="1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210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1180"/>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210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9.36</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inputs into the Black-Scholes Model for the Private Placement Warrants were as follows at initial measurement:</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2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Input</w:t>
            </w:r>
          </w:p>
        </w:tc>
        <w:tc>
          <w:tcPr>
            <w:tcW w:w="780" w:type="dxa"/>
            <w:vAlign w:val="bottom"/>
          </w:tcPr>
          <w:p>
            <w:pPr>
              <w:spacing w:after="0"/>
              <w:rPr>
                <w:sz w:val="14"/>
                <w:szCs w:val="14"/>
                <w:color w:val="auto"/>
              </w:rPr>
            </w:pPr>
          </w:p>
        </w:tc>
        <w:tc>
          <w:tcPr>
            <w:tcW w:w="19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6"/>
              </w:rPr>
              <w:t>September 25, 2020</w:t>
            </w:r>
          </w:p>
        </w:tc>
        <w:tc>
          <w:tcPr>
            <w:tcW w:w="4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40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8"/>
        </w:trPr>
        <w:tc>
          <w:tcPr>
            <w:tcW w:w="234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92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(Initial Measurement)</w:t>
            </w: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ind w:right="213"/>
              <w:spacing w:after="0" w:line="158" w:lineRule="exact"/>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0" w:type="dxa"/>
            <w:vAlign w:val="bottom"/>
            <w:tcBorders>
              <w:bottom w:val="single" w:sz="8" w:color="CCEEFF"/>
            </w:tcBorders>
            <w:shd w:val="clear" w:color="auto" w:fill="000000"/>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3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Risk-free interest rate</w:t>
            </w:r>
          </w:p>
        </w:tc>
        <w:tc>
          <w:tcPr>
            <w:tcW w:w="7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400"/>
              <w:spacing w:after="0" w:line="203" w:lineRule="exact"/>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rPr>
              <w:t>0.42%</w:t>
            </w: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Trading days per year</w:t>
            </w: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252</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252</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24.0%</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3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11.50</w:t>
            </w: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11.50</w:t>
            </w:r>
          </w:p>
        </w:tc>
        <w:tc>
          <w:tcPr>
            <w:tcW w:w="6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9.36</w:t>
            </w: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9.36</w:t>
            </w:r>
          </w:p>
        </w:tc>
        <w:tc>
          <w:tcPr>
            <w:tcW w:w="6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September 25, 2020, the Private Placement Warrants and Public Warrants were determined to be $1.36 and $1.28 per warrant, respectively, for aggregate values of $8.2 million and $12.8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Measurement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Warrants are measured at fair value on a recurring basis. The subsequent measurement of the Public Warrants as of December 31, 2020 is classified as Level 1 due to the use of an observable market quote in an active market.</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of December 31, 2020, the aggregate values of the Private Placement Warrants and Public Warrants were $11.0 million and $11.5 million,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warrant liabilities: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20" w:type="dxa"/>
            <w:vAlign w:val="bottom"/>
            <w:gridSpan w:val="3"/>
          </w:tcPr>
          <w:p>
            <w:pPr>
              <w:ind w:left="480"/>
              <w:spacing w:after="0"/>
              <w:rPr>
                <w:sz w:val="20"/>
                <w:szCs w:val="20"/>
                <w:color w:val="auto"/>
              </w:rPr>
            </w:pPr>
            <w:r>
              <w:rPr>
                <w:rFonts w:ascii="Arial" w:cs="Arial" w:eastAsia="Arial" w:hAnsi="Arial"/>
                <w:sz w:val="14"/>
                <w:szCs w:val="14"/>
                <w:b w:val="1"/>
                <w:bCs w:val="1"/>
                <w:color w:val="auto"/>
                <w:w w:val="92"/>
              </w:rPr>
              <w:t>Private Placement</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Public</w:t>
            </w:r>
          </w:p>
        </w:tc>
        <w:tc>
          <w:tcPr>
            <w:tcW w:w="1560" w:type="dxa"/>
            <w:vAlign w:val="bottom"/>
            <w:gridSpan w:val="4"/>
          </w:tcPr>
          <w:p>
            <w:pPr>
              <w:ind w:left="300"/>
              <w:spacing w:after="0"/>
              <w:rPr>
                <w:sz w:val="20"/>
                <w:szCs w:val="20"/>
                <w:color w:val="auto"/>
              </w:rPr>
            </w:pPr>
            <w:r>
              <w:rPr>
                <w:rFonts w:ascii="Arial" w:cs="Arial" w:eastAsia="Arial" w:hAnsi="Arial"/>
                <w:sz w:val="14"/>
                <w:szCs w:val="14"/>
                <w:b w:val="1"/>
                <w:bCs w:val="1"/>
                <w:color w:val="auto"/>
              </w:rPr>
              <w:t>Warrant 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September 25, 2020</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Initial measurement on September 25, 2020 (IPO)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8,160,000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12,800,000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4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spacing w:after="0"/>
              <w:rPr>
                <w:sz w:val="20"/>
                <w:szCs w:val="20"/>
                <w:color w:val="auto"/>
              </w:rPr>
            </w:pPr>
            <w:r>
              <w:rPr>
                <w:rFonts w:ascii="Arial" w:cs="Arial" w:eastAsia="Arial" w:hAnsi="Arial"/>
                <w:sz w:val="18"/>
                <w:szCs w:val="18"/>
                <w:color w:val="auto"/>
              </w:rPr>
              <w:t>Fair value as of September 30, 2020</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8,160,000</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12,800,000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21,060,000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Measurement on October 1, 2020 (Over-Allotment)</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200,518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475,495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676,013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2,643,400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w w:val="91"/>
              </w:rPr>
              <w:t>(1,866,348)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777,052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6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11,003,918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11,509,147</w:t>
            </w:r>
          </w:p>
        </w:tc>
        <w:tc>
          <w:tcPr>
            <w:tcW w:w="3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Due to the use of quoted prices in an active market (Level 1) to measure the fair value of the Public Warrants, subsequent to initial measurement, the Company had transfers out of Level 3 totaling $13,275,495 during the period from September 25, 2020 through December 31, 2020.</w:t>
      </w:r>
    </w:p>
    <w:p>
      <w:pPr>
        <w:spacing w:after="0" w:line="124"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Level 3 financial liabilities consist of the Private Placement Warrant liability for which there is no current market for these securities such that the determination of fair value requires significant judgment or estimation. Changes in fair value measurements categorized within Level 3 of the fair value hierarchy are analyzed each period based on changes in estimates or assumptions and recorded as appropriate.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financial statements were issued. Based upon this review, other than as described below, the Company did not identify any subsequent events that would have required adjustment or disclosure in the consolidated financial statements, with the exception of the following matters: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principal executive officer and principal financial and accounting officer (our “Certifying Officers”), the effectiveness of our disclosure controls and procedures as of December 31, 2020, pursuant to Rule 13a-15(b) under the Exchange Act. In connection with this Amendment, our management re-evaluated, with the participation of our current Chief Executive Officer and Chief Financial Officer, the effectiveness of our disclosure controls and procedures as of December 31, 2020 pursuant to Rules 13a-15 (e) and 15d-15 (e) under the Exchange Act and determined that, due solely to the material weakness in our internal control over financial reporting described below in “Management’s Report on Internal Control over Financial Reporting” our disclosure controls and procedures were not effective as of December 31, 2020. In light of this material weakness, we performed additional analysis as deemed necessary to ensure that our financial statements were prepared in accordance with U.S. generally accepted accounting principles.</w:t>
      </w:r>
    </w:p>
    <w:p>
      <w:pPr>
        <w:spacing w:after="0" w:line="1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In light of this material weakness, we performed additional analysis as deemed necessary to ensure that our financial statements were prepared in accordance with U.S. generally accepted accounting principles.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(RESTATED)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2020</w:t>
      </w:r>
    </w:p>
    <w:p>
      <w:pPr>
        <w:spacing w:after="0" w:line="2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Annual Report on Form 10-K does not include a report of management’s assessment regarding internal control over financial reporting or an attestation report of our registered public accounting firm due to a transition period established by rules of the SEC for newly public companies.</w:t>
      </w: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3"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 as the circumstances that led to the restatement of our financial statements described in this Annual Report on Form 10-K had not yet been identified. Management has implemented remediation steps to address the material weakness and to improve our internal control over financial reporting. Specifically, we expanded and improved our review process for complex securities and related accounting standards.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officers and directors are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3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6780" w:type="dxa"/>
            <w:vAlign w:val="bottom"/>
            <w:gridSpan w:val="3"/>
          </w:tcPr>
          <w:p>
            <w:pPr>
              <w:ind w:left="310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440" w:type="dxa"/>
            <w:vAlign w:val="bottom"/>
            <w:tcBorders>
              <w:bottom w:val="single" w:sz="8" w:color="CCEEFF"/>
            </w:tcBorders>
            <w:shd w:val="clear" w:color="auto" w:fill="000000"/>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shd w:val="clear" w:color="auto" w:fill="000000"/>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r>
      <w:tr>
        <w:trPr>
          <w:trHeight w:val="203"/>
        </w:trPr>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John Martin</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7"/>
                <w:szCs w:val="17"/>
                <w:color w:val="auto"/>
              </w:rPr>
            </w:pPr>
          </w:p>
        </w:tc>
        <w:tc>
          <w:tcPr>
            <w:tcW w:w="6780" w:type="dxa"/>
            <w:vAlign w:val="bottom"/>
            <w:gridSpan w:val="3"/>
            <w:shd w:val="clear" w:color="auto" w:fill="CCEEFF"/>
          </w:tcPr>
          <w:p>
            <w:pPr>
              <w:ind w:left="140"/>
              <w:spacing w:after="0" w:line="203" w:lineRule="exact"/>
              <w:rPr>
                <w:sz w:val="20"/>
                <w:szCs w:val="20"/>
                <w:color w:val="auto"/>
              </w:rPr>
            </w:pPr>
            <w:r>
              <w:rPr>
                <w:rFonts w:ascii="Arial" w:cs="Arial" w:eastAsia="Arial" w:hAnsi="Arial"/>
                <w:sz w:val="18"/>
                <w:szCs w:val="18"/>
                <w:color w:val="auto"/>
              </w:rPr>
              <w:t>Chairman and Chief Executive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President, Chief Operating Officer and Director</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Olibia Stamatoglou</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w:t>
            </w:r>
          </w:p>
        </w:tc>
        <w:tc>
          <w:tcPr>
            <w:tcW w:w="6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Chief Financial Officer</w:t>
            </w: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Kai Schmitz</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67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Kurt Summers</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678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r>
    </w:tbl>
    <w:p>
      <w:pPr>
        <w:spacing w:after="0" w:line="18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b w:val="1"/>
          <w:bCs w:val="1"/>
          <w:i w:val="1"/>
          <w:iCs w:val="1"/>
          <w:color w:val="auto"/>
        </w:rPr>
        <w:t>John Martin</w:t>
      </w:r>
      <w:r>
        <w:rPr>
          <w:rFonts w:ascii="Arial" w:cs="Arial" w:eastAsia="Arial" w:hAnsi="Arial"/>
          <w:sz w:val="16"/>
          <w:szCs w:val="16"/>
          <w:color w:val="auto"/>
        </w:rPr>
        <w:t>, our Chairman and Chief Executive Officer, maintains over thirty years of investment experience and is a Senior Partner at VPC.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Martin served as managing partner and co-CEO of Antares Capital, LP, a private debt credit manager, until May 2019. He was a founding partner of the original Antares Capital in 1996, a startup business that provided acquisition financing capital to the portfolio companies of private equity firms across North America. Over the course of nine years, Antares grew to become one of the largest providers of acquisition capital to private equity sponsors in the middle market. Following the firm’s acquisition by GE Capital in 2005, Martin became President and CEO of the newly branded GE Antares Capital and helped to direct the strategic vision of the business. In addition, he presided over numerous acquisitions and divestitures, including the sale of the firm to The Canada Pension Plan Investment Board (“CPPIB”) for $12 billion in August 2015. Subsequently, Antares went on to raise more than</w:t>
      </w:r>
    </w:p>
    <w:p>
      <w:pPr>
        <w:spacing w:after="0" w:line="2" w:lineRule="exact"/>
        <w:rPr>
          <w:sz w:val="20"/>
          <w:szCs w:val="20"/>
          <w:color w:val="auto"/>
        </w:rPr>
      </w:pPr>
    </w:p>
    <w:p>
      <w:pPr>
        <w:ind w:left="120" w:right="120"/>
        <w:spacing w:after="0" w:line="277" w:lineRule="auto"/>
        <w:rPr>
          <w:sz w:val="20"/>
          <w:szCs w:val="20"/>
          <w:color w:val="auto"/>
        </w:rPr>
      </w:pPr>
      <w:r>
        <w:rPr>
          <w:rFonts w:ascii="Arial" w:cs="Arial" w:eastAsia="Arial" w:hAnsi="Arial"/>
          <w:sz w:val="17"/>
          <w:szCs w:val="17"/>
          <w:color w:val="auto"/>
        </w:rPr>
        <w:t>$6.5 billion in the CLO market from a global investor base comprised of banks, pension funds, insurance companies and asset managers. Following the acquisition by CPPIB, Martin sat on the Antares Investment Committee throughout his tenure at the company and was a member of the board of directors. At the time of his retirement, the firm’s assets under management totaled more than $24 billion.</w:t>
      </w:r>
    </w:p>
    <w:p>
      <w:pPr>
        <w:spacing w:after="0" w:line="173"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b w:val="1"/>
          <w:bCs w:val="1"/>
          <w:i w:val="1"/>
          <w:iCs w:val="1"/>
          <w:color w:val="auto"/>
        </w:rPr>
        <w:t>Gordon Watson</w:t>
      </w:r>
      <w:r>
        <w:rPr>
          <w:rFonts w:ascii="Arial" w:cs="Arial" w:eastAsia="Arial" w:hAnsi="Arial"/>
          <w:sz w:val="17"/>
          <w:szCs w:val="17"/>
          <w:color w:val="auto"/>
        </w:rPr>
        <w:t>, our President and Chief Operating Officer, joined VPC in 2014 and is currently a Partner. Gordon is a member of VPC’s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committee and helps lead our Fintech investing team. Gordon is the Investment Manager for VPC Specialty Lending Investments PLC (LSE: VSL), a VPC managed UK publicly listed investment trust focused on opportunities in the Fintech market. Previously, Gordon was a portfolio manager focused on distressed debt at GLG Partners, a London-based 31 billion multi-strategy hedge fund that concentrates on a diverse range of alternative investments. He joined GLG when it purchased Ore Hill Partners, a credit focused hedge fund where Gordon was a partner.</w:t>
      </w:r>
    </w:p>
    <w:p>
      <w:pPr>
        <w:spacing w:after="0" w:line="176"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b w:val="1"/>
          <w:bCs w:val="1"/>
          <w:i w:val="1"/>
          <w:iCs w:val="1"/>
          <w:color w:val="auto"/>
        </w:rPr>
        <w:t>Olibia Stamatoglou</w:t>
      </w:r>
      <w:r>
        <w:rPr>
          <w:rFonts w:ascii="Arial" w:cs="Arial" w:eastAsia="Arial" w:hAnsi="Arial"/>
          <w:sz w:val="17"/>
          <w:szCs w:val="17"/>
          <w:color w:val="auto"/>
        </w:rPr>
        <w:t>, our Chief Financial Officer, is the Chief Financial Officer and Chief Compliance Officer of VPC. Previously, Olibia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vice president of finance at Valor Equity Partners where she managed firm and fund finance activities. Prior to Valor, she served as chief operating officer and chief financial officer of First National Assets, a specialty finance private equity group specializing in tax lien purchases and real estate owned ventures. She joined First National Assets from Aurora Investment Management where she progressed through several accounting roles. Mrs. Stamatoglou was recognized as one of Crain’s Notable Women in Finance for 2019.</w:t>
      </w:r>
    </w:p>
    <w:p>
      <w:pPr>
        <w:spacing w:after="0" w:line="17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Adrienne Harris</w:t>
      </w:r>
      <w:r>
        <w:rPr>
          <w:rFonts w:ascii="Arial" w:cs="Arial" w:eastAsia="Arial" w:hAnsi="Arial"/>
          <w:sz w:val="17"/>
          <w:szCs w:val="17"/>
          <w:color w:val="auto"/>
        </w:rPr>
        <w:t>, a director, is currently a Professor of the Practice and a Gates Foundation Senior Research Fellow with the Center for Finance,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Law and Policy at the University of Michigan. Ms. Harris advises fintech companies, incumbent financial institutions and large venture capital firms, and currently serves on the Board of Directors of Financial Health Network, Beneficial State Bank, and Homie, Inc. From 2017 to 2019, Ms. Harris served as Chief Business Officer and General Counsel at States Title, Inc., where she currently serves as Advisor. From 2015 to 2017, Ms. Harris served as Special Assistant to the President for Economic Policy at the National</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Economic Council, where she spearheaded the development of the administration’s fintech strategy, chairing both the Interagency Fintech Working Group and the Administration’s Distributed Ledger Technology Task Force. From 2013 to 2015, Ms. Harris served as Senior Advisor to the Deputy Secretary at the U.S. Department of the Treasury. From 2008 to 2013, Ms. Harris was an Associate at Sullivan &amp; Cromwell LLP. Ms. Harris received an M.B.A. from NYU Stern School of Business, a J.D. from Columbia University Law School, where she was a member of the Columbia Law Review, and a B.A. from Georgetown University, where she was a John Carrol Scholar and graduated with honors.</w:t>
      </w:r>
    </w:p>
    <w:p>
      <w:pPr>
        <w:spacing w:after="0" w:line="176"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b w:val="1"/>
          <w:bCs w:val="1"/>
          <w:i w:val="1"/>
          <w:iCs w:val="1"/>
          <w:color w:val="auto"/>
        </w:rPr>
        <w:t>Kai Schmitz</w:t>
      </w:r>
      <w:r>
        <w:rPr>
          <w:rFonts w:ascii="Arial" w:cs="Arial" w:eastAsia="Arial" w:hAnsi="Arial"/>
          <w:sz w:val="16"/>
          <w:szCs w:val="16"/>
          <w:color w:val="auto"/>
        </w:rPr>
        <w:t>, a director is currently a Partner at Amadeus Capital, where he focuses on growth stage investments in Emerging Markets,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secondaries and Fintech investments. Mr. Schmitz currently serves on the Board of Directors of Koin (online point of sale financing), Minka (financial services cloud), Movii (digital bank), and RS2 (SaaS payment platform). From 2012 to 2019, Mr. Schmitz was Investment Lead Fintech and Regional Head Latin America at IFC, the World Bank’s private sector investment bank, where he was instrumental in building the Fintech portfolio to</w:t>
      </w:r>
    </w:p>
    <w:p>
      <w:pPr>
        <w:spacing w:after="0" w:line="1" w:lineRule="exact"/>
        <w:rPr>
          <w:sz w:val="20"/>
          <w:szCs w:val="20"/>
          <w:color w:val="auto"/>
        </w:rPr>
      </w:pPr>
    </w:p>
    <w:p>
      <w:pPr>
        <w:ind w:left="120" w:right="100"/>
        <w:spacing w:after="0" w:line="253" w:lineRule="auto"/>
        <w:rPr>
          <w:sz w:val="20"/>
          <w:szCs w:val="20"/>
          <w:color w:val="auto"/>
        </w:rPr>
      </w:pPr>
      <w:r>
        <w:rPr>
          <w:rFonts w:ascii="Arial" w:cs="Arial" w:eastAsia="Arial" w:hAnsi="Arial"/>
          <w:sz w:val="18"/>
          <w:szCs w:val="18"/>
          <w:color w:val="auto"/>
        </w:rPr>
        <w:t>$600 million. From 2010 to 2012, Mr. Schmitz was a Senior Advisor at the World Bank’s Payment Systems Development Group, where he advised Central Banks and other government agencies on payment market infrastructure and regulation. Previously, Mr. Schmitz co-founded two companies, a remittance company in London and a financial services business with operations in the U.S. and Latin America. Mr. Schmitz has also worked at law firms in Hamburg and London. Mr. Schmitz received a J.D. equivalent from University of Hamburg and an MBA from Henley Management College in the UK.</w:t>
      </w:r>
    </w:p>
    <w:p>
      <w:pPr>
        <w:spacing w:after="0" w:line="191"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b w:val="1"/>
          <w:bCs w:val="1"/>
          <w:i w:val="1"/>
          <w:iCs w:val="1"/>
          <w:color w:val="auto"/>
        </w:rPr>
        <w:t>Kurt Summers</w:t>
      </w:r>
      <w:r>
        <w:rPr>
          <w:rFonts w:ascii="Arial" w:cs="Arial" w:eastAsia="Arial" w:hAnsi="Arial"/>
          <w:sz w:val="16"/>
          <w:szCs w:val="16"/>
          <w:color w:val="auto"/>
        </w:rPr>
        <w:t>, a director, has twenty years of experience in both private and public sector finance. Mr. Summers is currently a Senior Advisor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both Blackstone and Ullico, where he provides insight and strategic direction around various investment opportunities and existing holdings. From 2014 to 2019, Mr. Summers served as Treasurer of the City of Chicago, where he managed the city’s more than $8 billion investment portfolio and served as a trustee or fiduciary of five local pension boards with nearly $25 billion under management. As Treasurer of Chicago, Mr. Summers and his team more than tripled the returns on the city’s portfolio, which now generates more than $100 million of incremental revenue to Chicago’s taxpayers, bondholders and other stakeholders each year. From 2012 to 2014, Mr. Summers served as Senior Vice President at Grosvenor Capital Management where he helped lead the firm’s strategy and business development efforts and served as a member of the Office of the Chairman. From 2010 to 2012, Mr. Summers served as Chief of Staff to the Cook County Board President where he was the architect of a turnaround of the second largest county in the country. From 2009 to 2010, Mr. Summers served as Managing Director at Ryan Specialty Group, an international specialty insurance organization.</w:t>
      </w:r>
    </w:p>
    <w:p>
      <w:pPr>
        <w:spacing w:after="0" w:line="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Mr. Summers began his career at McKinsey &amp; Company, a preeminent global strategy-consulting firm, and also worked as an investment banker at Goldman Sachs. Mr. Summers received a BSBA in Finance and International Business with high honors from Washington University and an MBA from Harvard Business School.</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Our board of directors consists of five members and is divided into three classes with only one class of directors being appointed in each year, and with each class (except for those directors appointed prior to our first annual general meeting) serving a three-year term. In accordance with Nasdaq corporate governance requirements, we are not required to hold an annual general meeting until one year after our first fiscal year end following our listing on Nasdaq. The term of office of the first class of directors, consisting of Kai Schmitz, will expire at our first annual general meeting. The term of office of the second class of directors, consisting of Adrienne Harris and Kurt Summers, will expire at the second annual general meeting. The term of office of the third class of directors, consisting of John Martin and Gordon Watson, will expire at the third annual general meeting.</w:t>
      </w:r>
    </w:p>
    <w:p>
      <w:pPr>
        <w:spacing w:after="0" w:line="164"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officers as it deems appropriate pursuant to our amended and restated memorandum and articles of association.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rules of Nasdaq require that a majority of our board of directors be independent.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We have three “independent directors” as defined in the Nasdaq rules and applicable SEC rules. Our board of directors has determined that Adrienne Harris, Kai Schmitz and Kurt Summers are “independent directors” as defined in the Nasdaq listing standards and applicable SEC rules. Our independent directors have regularly scheduled meetings at which only independent directors are present.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Both our audit committee and our compensation committee are composed solely of independent directors. Subject to phase-in rules, the rules of Nasdaq and Rule 10A-3 of the Exchange Act require that the audit committee of a listed company be comprised solely of independent directors, and the rules of Nasdaq require that the compensation committee and the nominating and corporate governance committee of a listed company be comprised solely of independent directors. Each committee operates under a charter approved by our board and has the composition and responsibilities described below. The charter of each committee is available on our website following.</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We established an audit committee of the board of directors. Adrienne Harris, Kai Schmitz and Kurt Summers serve as the members of the audit committee, and Kai Schmitz will chair the audit committee. Under the Nasdaq listing standards and applicable SEC rules, we are required to have at least three members of the audit committee, all of whom must be independent. Each of Adrienne Harris, Kai Schmitz and Kurt Summers meet the independent director standard under Nasdaq listing standards and under Rule 10-A-3(b)(1) of the Exchange Act.</w:t>
      </w:r>
    </w:p>
    <w:p>
      <w:pPr>
        <w:spacing w:after="0" w:line="171" w:lineRule="exact"/>
        <w:rPr>
          <w:sz w:val="20"/>
          <w:szCs w:val="20"/>
          <w:color w:val="auto"/>
        </w:rPr>
      </w:pPr>
    </w:p>
    <w:p>
      <w:pPr>
        <w:ind w:left="120" w:right="800"/>
        <w:spacing w:after="0" w:line="308" w:lineRule="auto"/>
        <w:rPr>
          <w:sz w:val="20"/>
          <w:szCs w:val="20"/>
          <w:color w:val="auto"/>
        </w:rPr>
      </w:pPr>
      <w:r>
        <w:rPr>
          <w:rFonts w:ascii="Arial" w:cs="Arial" w:eastAsia="Arial" w:hAnsi="Arial"/>
          <w:sz w:val="17"/>
          <w:szCs w:val="17"/>
          <w:color w:val="auto"/>
        </w:rPr>
        <w:t>Each member of the audit committee is financially literate and our board of directors has determined that Kurt Summers qualifies as an “audit committee financial expert” as defined in applicable SEC rules and has accounting or related financial management expertise.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an audit committee charter, which details the principal functions of the audit committee, including:</w:t>
      </w:r>
    </w:p>
    <w:p>
      <w:pPr>
        <w:spacing w:after="0" w:line="131" w:lineRule="exact"/>
        <w:rPr>
          <w:sz w:val="20"/>
          <w:szCs w:val="20"/>
          <w:color w:val="auto"/>
        </w:rPr>
      </w:pPr>
    </w:p>
    <w:p>
      <w:pPr>
        <w:ind w:left="1080" w:right="40" w:hanging="424"/>
        <w:spacing w:after="0" w:line="30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assisting board oversight of (1) the integrity of our financial statements, (2) our compliance with legal and regulatory requirements, (3) our independent registered public accounting firm’s qualifications and independence, and (4) the performance of our internal audit function and independent registered public accounting firm; the appointment, compensation, retention, replacement, and oversight of the work of the independent registered public accounting firm and any other independent registered public accounting firm engaged by us;</w:t>
      </w:r>
    </w:p>
    <w:p>
      <w:pPr>
        <w:spacing w:after="0" w:line="62" w:lineRule="exact"/>
        <w:rPr>
          <w:rFonts w:ascii="Arial" w:cs="Arial" w:eastAsia="Arial" w:hAnsi="Arial"/>
          <w:sz w:val="16"/>
          <w:szCs w:val="16"/>
          <w:color w:val="auto"/>
        </w:rPr>
      </w:pPr>
    </w:p>
    <w:p>
      <w:pPr>
        <w:ind w:left="1080" w:right="120" w:hanging="424"/>
        <w:spacing w:after="0" w:line="31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pre-approving all audit and non-audit services to be provided by the independent registered public accounting firm or any other registered public accounting firm engaged by us, and establishing pre-approval policies and procedures; reviewing and discussing with the independent registered public accounting firm all relationships the firm has with us in order to evaluate their continued independence;</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setting clear policies for audit partner rotation in compliance with applicable laws and regulations; obtaining and reviewing a report, at least annually, from the independent registered public accounting firm describing (1) the independent auditor’s internal quality-control procedures and (2)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59"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meeting to review and discuss our annual audited financial statements and quarterly financial statements with management and the independent auditor, including reviewing our specific disclosures under “Management’s Discussion and Analysis of Financial Condition and Results of Operations”; reviewing and approving any related party transaction required to be disclosed pursuant to Item 404 of Regulation S-K promulgated by the SEC prior to us entering into such transaction; and</w:t>
      </w:r>
    </w:p>
    <w:p>
      <w:pPr>
        <w:spacing w:after="0" w:line="92" w:lineRule="exact"/>
        <w:rPr>
          <w:rFonts w:ascii="Arial" w:cs="Arial" w:eastAsia="Arial" w:hAnsi="Arial"/>
          <w:sz w:val="18"/>
          <w:szCs w:val="18"/>
          <w:color w:val="auto"/>
        </w:rPr>
      </w:pPr>
    </w:p>
    <w:p>
      <w:pPr>
        <w:ind w:left="1080" w:right="120" w:hanging="424"/>
        <w:spacing w:after="0" w:line="301"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established a compensation committee of the board of directors. Adrienne Harris and Kurt Summers serve as the members of the compensation committee, and Kurt Summers will chair the compensation committee. Under the Nasdaq listing standards and applicable SEC rules, we are required to have at least two members of the compensation committee, all of whom must be independent. All members of our compensation committee are independent of and unaffiliated with our sponsor and our underwriters.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adopted a compensation committee charter, which will detail the principal functions of the compensation committee, including:</w:t>
      </w:r>
    </w:p>
    <w:p>
      <w:pPr>
        <w:spacing w:after="0" w:line="131" w:lineRule="exact"/>
        <w:rPr>
          <w:sz w:val="20"/>
          <w:szCs w:val="20"/>
          <w:color w:val="auto"/>
        </w:rPr>
      </w:pPr>
    </w:p>
    <w:p>
      <w:pPr>
        <w:ind w:left="1080" w:right="6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officer’s based on such evaluation;</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the compensation, and any incentive compensation and equity based plans that are subject to board approval of all of our other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Notwithstanding the foregoing, as indicated above, other than the payment of customary fees we may elect to make to members of our board of directors for director service and payment to an affiliate of our sponsor of $10,000 per month, for up to 24 months, for office space, utilities and secretarial and administrative support and reimbursement of expenses, no compensation of any kind, including finders, consulting or other similar fees, will be paid to any of our existing shareholders, officers, directors or any of their respective affiliates, prior to, or for any services they render in order to effectuate the consummation of an initial business combination. Accordingly, it is likely that prior to the consummation of an initial business combination, the compensation committee will only be responsible for the review and recommendation of any compensation arrangements to be entered into in connection with such initial business combination.</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The charter also provides that the compensation committee may, in its sole discretion, retain or obtain the advice of a compensation consultant, independent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established a nominating and corporate governance committee of the board of directors. The initial members of our nominating and corporate governance are Adrienne Harris, Kai Schmitz and Kurt Summers. Adrienne Harris serves as chair of the nominating and corporate governance committee. Under the Nasdaq listing standards and applicable SEC rules, each member of the nominating and corporate governance committee must be independent. All members of our nominating and corporate governance committee are independent of and unaffiliated with our sponsor and our underwriters.</w:t>
      </w:r>
    </w:p>
    <w:p>
      <w:pPr>
        <w:spacing w:after="0" w:line="18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We adopted a nominating and corporate governance committee charter, which details the purpose and responsibilities of the nominating and corporate governance committee, including:</w:t>
      </w:r>
    </w:p>
    <w:p>
      <w:pPr>
        <w:spacing w:after="0" w:line="76" w:lineRule="exact"/>
        <w:rPr>
          <w:sz w:val="20"/>
          <w:szCs w:val="20"/>
          <w:color w:val="auto"/>
        </w:rPr>
      </w:pPr>
    </w:p>
    <w:p>
      <w:pPr>
        <w:ind w:left="1080" w:right="280" w:hanging="424"/>
        <w:spacing w:after="0" w:line="263"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identifying, screening and reviewing individuals qualified to serve as directors, consistent with criteria approved by the board, and recommending to the board of directors candidates for nomination for election at the annual general meeting or to fill vacancies on the board of directors;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developing and recommending to the board of directors and overseeing implementation of our corporate governance guidelines;</w:t>
      </w:r>
    </w:p>
    <w:p>
      <w:pPr>
        <w:spacing w:after="0" w:line="142" w:lineRule="exact"/>
        <w:rPr>
          <w:rFonts w:ascii="Arial" w:cs="Arial" w:eastAsia="Arial" w:hAnsi="Arial"/>
          <w:sz w:val="17"/>
          <w:szCs w:val="17"/>
          <w:color w:val="auto"/>
        </w:rPr>
      </w:pPr>
    </w:p>
    <w:p>
      <w:pPr>
        <w:ind w:left="1080" w:right="14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of directors, its committees, individual directors and management in the governance of the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reviewing on a regular basis our overall corporate governance and recommending improvements as and when necessary.</w:t>
      </w:r>
    </w:p>
    <w:p>
      <w:pPr>
        <w:spacing w:after="0" w:line="22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The charter also provides that the nominating and corporate governance committee may, in its sole discretion, retain or obtain the advice of, and terminate, any search firm to be used to identify director candidates, and will be directly responsible for approving the search firm’s fees and other retention terms.</w:t>
      </w:r>
    </w:p>
    <w:p>
      <w:pPr>
        <w:spacing w:after="0" w:line="18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shareholders. Prior to our initial business combination, holders of our public shares will not have the right to recommend director candidates for nomination to our board of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None of our officers currently serves, or in the past year has served, as a member of the compensation committee of any entity that has one or more officers serving on our board of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 xml:space="preserve">We adopted a Code of Business Conduct and Ethics applicable to our directors, officers and employees. We will file a copy of our Code of Business Conduct and Ethics as an exhibit to the registration statement of which this prospectus is a part. You will be able to review this document by accessing our public filings at the SEC’s web site at </w:t>
      </w:r>
      <w:r>
        <w:rPr>
          <w:rFonts w:ascii="Arial" w:cs="Arial" w:eastAsia="Arial" w:hAnsi="Arial"/>
          <w:sz w:val="16"/>
          <w:szCs w:val="16"/>
          <w:i w:val="1"/>
          <w:iCs w:val="1"/>
          <w:color w:val="auto"/>
        </w:rPr>
        <w:t>www.sec.gov</w:t>
      </w:r>
      <w:r>
        <w:rPr>
          <w:rFonts w:ascii="Arial" w:cs="Arial" w:eastAsia="Arial" w:hAnsi="Arial"/>
          <w:sz w:val="16"/>
          <w:szCs w:val="16"/>
          <w:color w:val="auto"/>
        </w:rPr>
        <w:t>. In addition, a copy of the Code of Business Conduct and Ethics and the charters of the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40"/>
          </w:cols>
          <w:pgMar w:left="320" w:top="459" w:right="5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4" w:lineRule="auto"/>
        <w:rPr>
          <w:sz w:val="20"/>
          <w:szCs w:val="20"/>
          <w:color w:val="auto"/>
        </w:rPr>
      </w:pPr>
      <w:r>
        <w:rPr>
          <w:rFonts w:ascii="Arial" w:cs="Arial" w:eastAsia="Arial" w:hAnsi="Arial"/>
          <w:sz w:val="17"/>
          <w:szCs w:val="17"/>
          <w:color w:val="auto"/>
        </w:rPr>
        <w:t>committees of our board of directors will be provided without charge upon request from us. See the section of this report entitled “Where You Can Find Additional Information.” If we make any amendments to our Code of Business Conduct and Ethics other than technical, administrative or</w:t>
      </w:r>
    </w:p>
    <w:p>
      <w:pPr>
        <w:ind w:left="120" w:right="20"/>
        <w:spacing w:after="0" w:line="253" w:lineRule="auto"/>
        <w:rPr>
          <w:sz w:val="20"/>
          <w:szCs w:val="20"/>
          <w:color w:val="auto"/>
        </w:rPr>
      </w:pPr>
      <w:r>
        <w:rPr>
          <w:rFonts w:ascii="Arial" w:cs="Arial" w:eastAsia="Arial" w:hAnsi="Arial"/>
          <w:sz w:val="18"/>
          <w:szCs w:val="18"/>
          <w:color w:val="auto"/>
        </w:rPr>
        <w:t>other non-substantive amendments, or grant any waiver, including any implicit waiver, from a provision of the Code of Business Conduct and Ethics applicable to our principal executive officer, principal financial officer principal accounting officer or controller or persons performing similar functions requiring disclosure under applicable SEC or Nasdaq rules, we will disclose the nature of such amendment or waiver on our website. The information included on our website is not incorporated by reference into this report or in any other report or document we file with the SEC, and any references to our website are intended to be inactive textual references only.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3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duty not to put themselves in a position in which there is a conflict between their duty to the company and their personal interests; and</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225"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165"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 xml:space="preserve">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there is full disclosure by the directors. This can be done by way of permission granted in the memorandum and articles of association or alternatively by shareholder approval at general meetings.</w:t>
      </w:r>
    </w:p>
    <w:p>
      <w:pPr>
        <w:spacing w:after="0" w:line="17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or contractual obligations to at least one other entity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 current fiduciary or contractual obligations, he or she will honor his or her fiduciary or contractual obligations to present such business combination opportunity to such entity, subject to their fiduciary duties under Cayman Islands law. Our amended and restated memorandum and articles of association provide that we renounce our interest in any corporate opportunity offered to any director or officer unless such opportunity is expressly offered to such person solely in his or her capacity as a director or officer of the company and it is an opportunity that we are able to complete on a reasonable basis. We do not believe, however, that the fiduciary duties or contractual obligations of our officers or directors will materially affect our ability to complete our initial business combination.</w:t>
      </w:r>
    </w:p>
    <w:p>
      <w:pPr>
        <w:spacing w:after="0" w:line="181"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80"/>
          </w:cols>
          <w:pgMar w:left="32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7" w:lineRule="auto"/>
        <w:rPr>
          <w:sz w:val="20"/>
          <w:szCs w:val="20"/>
          <w:color w:val="auto"/>
        </w:rPr>
      </w:pPr>
      <w:r>
        <w:rPr>
          <w:rFonts w:ascii="Arial" w:cs="Arial" w:eastAsia="Arial" w:hAnsi="Arial"/>
          <w:sz w:val="16"/>
          <w:szCs w:val="16"/>
          <w:color w:val="auto"/>
        </w:rPr>
        <w:t>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certain of our officers and directors are employed by Victory Park Capital which make investments in securities or other interests of or relating to companies in industries we may target for our initial business combination. Our directors and officers may also serve as officers or board members for other entities. Specifically, certain of our officers and directors are actively engaged in VPC II and VPC III, both which are special purpose acquisition companies that each completed their initial public offering on March 9, 2021, and will continue to serve as officers and directors of VPC II and VPC III until their initial business combinations are completed. VPC II and VPC III, like us, may pursue initial business combination targets in any business or industry and is expected to have a similar window as us in which it may complete its initial business combination. Any such companies, businesses or investments, including VPC II and VPC III, may present additional conflicts of interest in pursuing an initial business combination. However, we do not believe that any such potential conflicts would materially affect our ability to complete our initial business combination.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table summarizing the entities to which our officers and directors currently have fiduciary duties or contractual obligations: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84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4100" w:type="dxa"/>
            <w:vAlign w:val="bottom"/>
            <w:gridSpan w:val="3"/>
          </w:tcPr>
          <w:p>
            <w:pPr>
              <w:ind w:left="440"/>
              <w:spacing w:after="0"/>
              <w:rPr>
                <w:sz w:val="20"/>
                <w:szCs w:val="20"/>
                <w:color w:val="auto"/>
              </w:rPr>
            </w:pPr>
            <w:r>
              <w:rPr>
                <w:rFonts w:ascii="Arial" w:cs="Arial" w:eastAsia="Arial" w:hAnsi="Arial"/>
                <w:sz w:val="14"/>
                <w:szCs w:val="14"/>
                <w:b w:val="1"/>
                <w:bCs w:val="1"/>
                <w:color w:val="auto"/>
              </w:rPr>
              <w:t>ENTITY</w:t>
            </w:r>
          </w:p>
        </w:tc>
        <w:tc>
          <w:tcPr>
            <w:tcW w:w="2860" w:type="dxa"/>
            <w:vAlign w:val="bottom"/>
          </w:tcPr>
          <w:p>
            <w:pPr>
              <w:spacing w:after="0"/>
              <w:rPr>
                <w:sz w:val="20"/>
                <w:szCs w:val="20"/>
                <w:color w:val="auto"/>
              </w:rPr>
            </w:pPr>
            <w:r>
              <w:rPr>
                <w:rFonts w:ascii="Arial" w:cs="Arial" w:eastAsia="Arial" w:hAnsi="Arial"/>
                <w:sz w:val="14"/>
                <w:szCs w:val="14"/>
                <w:b w:val="1"/>
                <w:bCs w:val="1"/>
                <w:color w:val="auto"/>
              </w:rPr>
              <w:t>ENTITY’S BUSINESS</w:t>
            </w:r>
          </w:p>
        </w:tc>
        <w:tc>
          <w:tcPr>
            <w:tcW w:w="2220" w:type="dxa"/>
            <w:vAlign w:val="bottom"/>
            <w:gridSpan w:val="2"/>
          </w:tcPr>
          <w:p>
            <w:pPr>
              <w:ind w:left="100"/>
              <w:spacing w:after="0"/>
              <w:rPr>
                <w:sz w:val="20"/>
                <w:szCs w:val="20"/>
                <w:color w:val="auto"/>
              </w:rPr>
            </w:pPr>
            <w:r>
              <w:rPr>
                <w:rFonts w:ascii="Arial" w:cs="Arial" w:eastAsia="Arial" w:hAnsi="Arial"/>
                <w:sz w:val="14"/>
                <w:szCs w:val="14"/>
                <w:b w:val="1"/>
                <w:bCs w:val="1"/>
                <w:color w:val="auto"/>
              </w:rPr>
              <w:t>AFFILIATION</w:t>
            </w:r>
          </w:p>
        </w:tc>
      </w:tr>
      <w:tr>
        <w:trPr>
          <w:trHeight w:val="189"/>
        </w:trPr>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1"/>
              </w:rPr>
              <w:t>John Martin</w:t>
            </w:r>
          </w:p>
        </w:tc>
        <w:tc>
          <w:tcPr>
            <w:tcW w:w="9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5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Automotive Keys Investor LLC</w:t>
            </w:r>
          </w:p>
        </w:tc>
        <w:tc>
          <w:tcPr>
            <w:tcW w:w="100" w:type="dxa"/>
            <w:vAlign w:val="bottom"/>
          </w:tcPr>
          <w:p>
            <w:pPr>
              <w:spacing w:after="0"/>
              <w:rPr>
                <w:sz w:val="16"/>
                <w:szCs w:val="16"/>
                <w:color w:val="auto"/>
              </w:rPr>
            </w:pPr>
          </w:p>
        </w:tc>
        <w:tc>
          <w:tcPr>
            <w:tcW w:w="28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Consumer Products</w:t>
            </w:r>
          </w:p>
        </w:tc>
        <w:tc>
          <w:tcPr>
            <w:tcW w:w="100" w:type="dxa"/>
            <w:vAlign w:val="bottom"/>
          </w:tcPr>
          <w:p>
            <w:pPr>
              <w:spacing w:after="0"/>
              <w:rPr>
                <w:sz w:val="16"/>
                <w:szCs w:val="16"/>
                <w:color w:val="auto"/>
              </w:rPr>
            </w:pPr>
          </w:p>
        </w:tc>
        <w:tc>
          <w:tcPr>
            <w:tcW w:w="21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Advisor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0"/>
              </w:rPr>
              <w:t>Special Purposes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Chairman and Director</w:t>
            </w:r>
          </w:p>
        </w:tc>
      </w:tr>
      <w:tr>
        <w:trPr>
          <w:trHeight w:val="229"/>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III, Inc.</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Chairman and 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Olibia Stamatoglou</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Officer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Gordon Watson</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Borro Ltd</w:t>
            </w:r>
          </w:p>
        </w:tc>
        <w:tc>
          <w:tcPr>
            <w:tcW w:w="2860" w:type="dxa"/>
            <w:vAlign w:val="bottom"/>
          </w:tcPr>
          <w:p>
            <w:pPr>
              <w:spacing w:after="0"/>
              <w:rPr>
                <w:sz w:val="20"/>
                <w:szCs w:val="20"/>
                <w:color w:val="auto"/>
              </w:rPr>
            </w:pPr>
            <w:r>
              <w:rPr>
                <w:rFonts w:ascii="Arial" w:cs="Arial" w:eastAsia="Arial" w:hAnsi="Arial"/>
                <w:sz w:val="18"/>
                <w:szCs w:val="18"/>
                <w:color w:val="auto"/>
              </w:rPr>
              <w:t>Specialty Finance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Victory Park Capital Advisors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Partner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w w:val="94"/>
              </w:rPr>
              <w:t>Victory Park Specialty Lending Investments PLC</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9"/>
              </w:rPr>
              <w:t>Co-Chief Executive Officer</w:t>
            </w:r>
          </w:p>
        </w:tc>
      </w:tr>
      <w:tr>
        <w:trPr>
          <w:trHeight w:val="230"/>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III, Inc.</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w w:val="99"/>
              </w:rPr>
              <w:t>Co-Chief Executive Officer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Adrienne Harris</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Beneficial State Bank</w:t>
            </w:r>
          </w:p>
        </w:tc>
        <w:tc>
          <w:tcPr>
            <w:tcW w:w="2860" w:type="dxa"/>
            <w:vAlign w:val="bottom"/>
          </w:tcPr>
          <w:p>
            <w:pPr>
              <w:spacing w:after="0"/>
              <w:rPr>
                <w:sz w:val="20"/>
                <w:szCs w:val="20"/>
                <w:color w:val="auto"/>
              </w:rPr>
            </w:pPr>
            <w:r>
              <w:rPr>
                <w:rFonts w:ascii="Arial" w:cs="Arial" w:eastAsia="Arial" w:hAnsi="Arial"/>
                <w:sz w:val="18"/>
                <w:szCs w:val="18"/>
                <w:color w:val="auto"/>
              </w:rPr>
              <w:t>Banking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Financial Health Network</w:t>
            </w:r>
          </w:p>
        </w:tc>
        <w:tc>
          <w:tcPr>
            <w:tcW w:w="2860" w:type="dxa"/>
            <w:vAlign w:val="bottom"/>
          </w:tcPr>
          <w:p>
            <w:pPr>
              <w:spacing w:after="0"/>
              <w:rPr>
                <w:sz w:val="20"/>
                <w:szCs w:val="20"/>
                <w:color w:val="auto"/>
              </w:rPr>
            </w:pPr>
            <w:r>
              <w:rPr>
                <w:rFonts w:ascii="Arial" w:cs="Arial" w:eastAsia="Arial" w:hAnsi="Arial"/>
                <w:sz w:val="18"/>
                <w:szCs w:val="18"/>
                <w:color w:val="auto"/>
              </w:rPr>
              <w:t>Financial Consulting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Homie, Inc.</w:t>
            </w:r>
          </w:p>
        </w:tc>
        <w:tc>
          <w:tcPr>
            <w:tcW w:w="2860" w:type="dxa"/>
            <w:vAlign w:val="bottom"/>
          </w:tcPr>
          <w:p>
            <w:pPr>
              <w:spacing w:after="0"/>
              <w:rPr>
                <w:sz w:val="20"/>
                <w:szCs w:val="20"/>
                <w:color w:val="auto"/>
              </w:rPr>
            </w:pPr>
            <w:r>
              <w:rPr>
                <w:rFonts w:ascii="Arial" w:cs="Arial" w:eastAsia="Arial" w:hAnsi="Arial"/>
                <w:sz w:val="18"/>
                <w:szCs w:val="18"/>
                <w:color w:val="auto"/>
              </w:rPr>
              <w:t>Real Estate Brokerage</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States Title, Inc.</w:t>
            </w:r>
          </w:p>
        </w:tc>
        <w:tc>
          <w:tcPr>
            <w:tcW w:w="2860" w:type="dxa"/>
            <w:vAlign w:val="bottom"/>
          </w:tcPr>
          <w:p>
            <w:pPr>
              <w:spacing w:after="0"/>
              <w:rPr>
                <w:sz w:val="20"/>
                <w:szCs w:val="20"/>
                <w:color w:val="auto"/>
              </w:rPr>
            </w:pPr>
            <w:r>
              <w:rPr>
                <w:rFonts w:ascii="Arial" w:cs="Arial" w:eastAsia="Arial" w:hAnsi="Arial"/>
                <w:sz w:val="18"/>
                <w:szCs w:val="18"/>
                <w:color w:val="auto"/>
              </w:rPr>
              <w:t>Real Estate Settlement Services</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Advisor</w:t>
            </w:r>
          </w:p>
        </w:tc>
      </w:tr>
      <w:tr>
        <w:trPr>
          <w:trHeight w:val="230"/>
        </w:trPr>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color w:val="auto"/>
              </w:rPr>
              <w:t>Kai Schmitz</w:t>
            </w: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Amadeus Capital Partners</w:t>
            </w:r>
          </w:p>
        </w:tc>
        <w:tc>
          <w:tcPr>
            <w:tcW w:w="2860" w:type="dxa"/>
            <w:vAlign w:val="bottom"/>
          </w:tcPr>
          <w:p>
            <w:pPr>
              <w:spacing w:after="0"/>
              <w:rPr>
                <w:sz w:val="20"/>
                <w:szCs w:val="20"/>
                <w:color w:val="auto"/>
              </w:rPr>
            </w:pPr>
            <w:r>
              <w:rPr>
                <w:rFonts w:ascii="Arial" w:cs="Arial" w:eastAsia="Arial" w:hAnsi="Arial"/>
                <w:sz w:val="18"/>
                <w:szCs w:val="18"/>
                <w:color w:val="auto"/>
              </w:rPr>
              <w:t>Investment Advisor</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Partner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Koin Pagamentos S.A.</w:t>
            </w:r>
          </w:p>
        </w:tc>
        <w:tc>
          <w:tcPr>
            <w:tcW w:w="2860" w:type="dxa"/>
            <w:vAlign w:val="bottom"/>
          </w:tcPr>
          <w:p>
            <w:pPr>
              <w:spacing w:after="0"/>
              <w:rPr>
                <w:sz w:val="20"/>
                <w:szCs w:val="20"/>
                <w:color w:val="auto"/>
              </w:rPr>
            </w:pPr>
            <w:r>
              <w:rPr>
                <w:rFonts w:ascii="Arial" w:cs="Arial" w:eastAsia="Arial" w:hAnsi="Arial"/>
                <w:sz w:val="18"/>
                <w:szCs w:val="18"/>
                <w:color w:val="auto"/>
              </w:rPr>
              <w:t>Financing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Minka Ltd</w:t>
            </w:r>
          </w:p>
        </w:tc>
        <w:tc>
          <w:tcPr>
            <w:tcW w:w="2860" w:type="dxa"/>
            <w:vAlign w:val="bottom"/>
          </w:tcPr>
          <w:p>
            <w:pPr>
              <w:spacing w:after="0"/>
              <w:rPr>
                <w:sz w:val="20"/>
                <w:szCs w:val="20"/>
                <w:color w:val="auto"/>
              </w:rPr>
            </w:pPr>
            <w:r>
              <w:rPr>
                <w:rFonts w:ascii="Arial" w:cs="Arial" w:eastAsia="Arial" w:hAnsi="Arial"/>
                <w:sz w:val="18"/>
                <w:szCs w:val="18"/>
                <w:color w:val="auto"/>
              </w:rPr>
              <w:t>Technology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RS2 Software, Inc.</w:t>
            </w:r>
          </w:p>
        </w:tc>
        <w:tc>
          <w:tcPr>
            <w:tcW w:w="2860" w:type="dxa"/>
            <w:vAlign w:val="bottom"/>
          </w:tcPr>
          <w:p>
            <w:pPr>
              <w:spacing w:after="0"/>
              <w:rPr>
                <w:sz w:val="20"/>
                <w:szCs w:val="20"/>
                <w:color w:val="auto"/>
              </w:rPr>
            </w:pPr>
            <w:r>
              <w:rPr>
                <w:rFonts w:ascii="Arial" w:cs="Arial" w:eastAsia="Arial" w:hAnsi="Arial"/>
                <w:sz w:val="18"/>
                <w:szCs w:val="18"/>
                <w:color w:val="auto"/>
              </w:rPr>
              <w:t>Payments Platform</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Tranza Holding Ltd</w:t>
            </w:r>
          </w:p>
        </w:tc>
        <w:tc>
          <w:tcPr>
            <w:tcW w:w="2860" w:type="dxa"/>
            <w:vAlign w:val="bottom"/>
          </w:tcPr>
          <w:p>
            <w:pPr>
              <w:spacing w:after="0"/>
              <w:rPr>
                <w:sz w:val="20"/>
                <w:szCs w:val="20"/>
                <w:color w:val="auto"/>
              </w:rPr>
            </w:pPr>
            <w:r>
              <w:rPr>
                <w:rFonts w:ascii="Arial" w:cs="Arial" w:eastAsia="Arial" w:hAnsi="Arial"/>
                <w:sz w:val="18"/>
                <w:szCs w:val="18"/>
                <w:color w:val="auto"/>
              </w:rPr>
              <w:t>Digital Banking</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30"/>
        </w:trPr>
        <w:tc>
          <w:tcPr>
            <w:tcW w:w="8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100" w:type="dxa"/>
            <w:vAlign w:val="bottom"/>
            <w:gridSpan w:val="3"/>
          </w:tcPr>
          <w:p>
            <w:pPr>
              <w:ind w:left="440"/>
              <w:spacing w:after="0"/>
              <w:rPr>
                <w:sz w:val="20"/>
                <w:szCs w:val="20"/>
                <w:color w:val="auto"/>
              </w:rPr>
            </w:pPr>
            <w:r>
              <w:rPr>
                <w:rFonts w:ascii="Arial" w:cs="Arial" w:eastAsia="Arial" w:hAnsi="Arial"/>
                <w:sz w:val="18"/>
                <w:szCs w:val="18"/>
                <w:color w:val="auto"/>
              </w:rPr>
              <w:t>VPC Impact Acquisition Holdings II</w:t>
            </w:r>
          </w:p>
        </w:tc>
        <w:tc>
          <w:tcPr>
            <w:tcW w:w="2860" w:type="dxa"/>
            <w:vAlign w:val="bottom"/>
          </w:tcPr>
          <w:p>
            <w:pPr>
              <w:spacing w:after="0"/>
              <w:rPr>
                <w:sz w:val="20"/>
                <w:szCs w:val="20"/>
                <w:color w:val="auto"/>
              </w:rPr>
            </w:pPr>
            <w:r>
              <w:rPr>
                <w:rFonts w:ascii="Arial" w:cs="Arial" w:eastAsia="Arial" w:hAnsi="Arial"/>
                <w:sz w:val="18"/>
                <w:szCs w:val="18"/>
                <w:color w:val="auto"/>
                <w:w w:val="93"/>
              </w:rPr>
              <w:t>Special Purpose Acquisition Company</w:t>
            </w:r>
          </w:p>
        </w:tc>
        <w:tc>
          <w:tcPr>
            <w:tcW w:w="22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378"/>
        </w:trPr>
        <w:tc>
          <w:tcPr>
            <w:tcW w:w="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0" w:type="dxa"/>
            <w:vAlign w:val="bottom"/>
            <w:gridSpan w:val="2"/>
          </w:tcPr>
          <w:p>
            <w:pPr>
              <w:ind w:left="3580"/>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rPr>
              <w:t>INDIVIDUAL</w:t>
            </w:r>
          </w:p>
        </w:tc>
        <w:tc>
          <w:tcPr>
            <w:tcW w:w="3940" w:type="dxa"/>
            <w:vAlign w:val="bottom"/>
            <w:gridSpan w:val="2"/>
          </w:tcPr>
          <w:p>
            <w:pPr>
              <w:ind w:left="860"/>
              <w:spacing w:after="0"/>
              <w:rPr>
                <w:sz w:val="20"/>
                <w:szCs w:val="20"/>
                <w:color w:val="auto"/>
              </w:rPr>
            </w:pPr>
            <w:r>
              <w:rPr>
                <w:rFonts w:ascii="Arial" w:cs="Arial" w:eastAsia="Arial" w:hAnsi="Arial"/>
                <w:sz w:val="14"/>
                <w:szCs w:val="14"/>
                <w:b w:val="1"/>
                <w:bCs w:val="1"/>
                <w:color w:val="auto"/>
              </w:rPr>
              <w:t>ENTITY</w:t>
            </w:r>
          </w:p>
        </w:tc>
        <w:tc>
          <w:tcPr>
            <w:tcW w:w="3020" w:type="dxa"/>
            <w:vAlign w:val="bottom"/>
            <w:gridSpan w:val="3"/>
          </w:tcPr>
          <w:p>
            <w:pPr>
              <w:ind w:left="100"/>
              <w:spacing w:after="0"/>
              <w:rPr>
                <w:sz w:val="20"/>
                <w:szCs w:val="20"/>
                <w:color w:val="auto"/>
              </w:rPr>
            </w:pPr>
            <w:r>
              <w:rPr>
                <w:rFonts w:ascii="Arial" w:cs="Arial" w:eastAsia="Arial" w:hAnsi="Arial"/>
                <w:sz w:val="14"/>
                <w:szCs w:val="14"/>
                <w:b w:val="1"/>
                <w:bCs w:val="1"/>
                <w:color w:val="auto"/>
              </w:rPr>
              <w:t>ENTITY’S BUSINESS</w:t>
            </w:r>
          </w:p>
        </w:tc>
        <w:tc>
          <w:tcPr>
            <w:tcW w:w="2160" w:type="dxa"/>
            <w:vAlign w:val="bottom"/>
          </w:tcPr>
          <w:p>
            <w:pPr>
              <w:spacing w:after="0"/>
              <w:rPr>
                <w:sz w:val="20"/>
                <w:szCs w:val="20"/>
                <w:color w:val="auto"/>
              </w:rPr>
            </w:pPr>
            <w:r>
              <w:rPr>
                <w:rFonts w:ascii="Arial" w:cs="Arial" w:eastAsia="Arial" w:hAnsi="Arial"/>
                <w:sz w:val="14"/>
                <w:szCs w:val="14"/>
                <w:b w:val="1"/>
                <w:bCs w:val="1"/>
                <w:color w:val="auto"/>
              </w:rPr>
              <w:t>AFFILIATION</w:t>
            </w:r>
          </w:p>
        </w:tc>
      </w:tr>
      <w:tr>
        <w:trPr>
          <w:trHeight w:val="189"/>
        </w:trPr>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4"/>
              </w:rPr>
              <w:t>Kurt Summers</w:t>
            </w:r>
          </w:p>
        </w:tc>
        <w:tc>
          <w:tcPr>
            <w:tcW w:w="1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Blackstone</w:t>
            </w:r>
          </w:p>
        </w:tc>
        <w:tc>
          <w:tcPr>
            <w:tcW w:w="100" w:type="dxa"/>
            <w:vAlign w:val="bottom"/>
          </w:tcPr>
          <w:p>
            <w:pPr>
              <w:spacing w:after="0"/>
              <w:rPr>
                <w:sz w:val="16"/>
                <w:szCs w:val="16"/>
                <w:color w:val="auto"/>
              </w:rPr>
            </w:pPr>
          </w:p>
        </w:tc>
        <w:tc>
          <w:tcPr>
            <w:tcW w:w="2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Investment Management</w:t>
            </w:r>
          </w:p>
        </w:tc>
        <w:tc>
          <w:tcPr>
            <w:tcW w:w="120" w:type="dxa"/>
            <w:vAlign w:val="bottom"/>
          </w:tcPr>
          <w:p>
            <w:pPr>
              <w:spacing w:after="0"/>
              <w:rPr>
                <w:sz w:val="16"/>
                <w:szCs w:val="16"/>
                <w:color w:val="auto"/>
              </w:rPr>
            </w:pPr>
          </w:p>
        </w:tc>
        <w:tc>
          <w:tcPr>
            <w:tcW w:w="2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Senior Advisor</w:t>
            </w:r>
          </w:p>
        </w:tc>
      </w:tr>
      <w:tr>
        <w:trPr>
          <w:trHeight w:val="216"/>
        </w:trPr>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940" w:type="dxa"/>
            <w:vAlign w:val="bottom"/>
            <w:gridSpan w:val="2"/>
          </w:tcPr>
          <w:p>
            <w:pPr>
              <w:ind w:left="860"/>
              <w:spacing w:after="0"/>
              <w:rPr>
                <w:sz w:val="20"/>
                <w:szCs w:val="20"/>
                <w:color w:val="auto"/>
              </w:rPr>
            </w:pPr>
            <w:r>
              <w:rPr>
                <w:rFonts w:ascii="Arial" w:cs="Arial" w:eastAsia="Arial" w:hAnsi="Arial"/>
                <w:sz w:val="18"/>
                <w:szCs w:val="18"/>
                <w:color w:val="auto"/>
              </w:rPr>
              <w:t>Ullico</w:t>
            </w: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rPr>
              <w:t>Financial Services</w:t>
            </w:r>
          </w:p>
        </w:tc>
        <w:tc>
          <w:tcPr>
            <w:tcW w:w="2160" w:type="dxa"/>
            <w:vAlign w:val="bottom"/>
          </w:tcPr>
          <w:p>
            <w:pPr>
              <w:spacing w:after="0"/>
              <w:rPr>
                <w:sz w:val="20"/>
                <w:szCs w:val="20"/>
                <w:color w:val="auto"/>
              </w:rPr>
            </w:pPr>
            <w:r>
              <w:rPr>
                <w:rFonts w:ascii="Arial" w:cs="Arial" w:eastAsia="Arial" w:hAnsi="Arial"/>
                <w:sz w:val="18"/>
                <w:szCs w:val="18"/>
                <w:color w:val="auto"/>
              </w:rPr>
              <w:t>Senior Advisor</w:t>
            </w:r>
          </w:p>
        </w:tc>
      </w:tr>
      <w:tr>
        <w:trPr>
          <w:trHeight w:val="230"/>
        </w:trPr>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940" w:type="dxa"/>
            <w:vAlign w:val="bottom"/>
            <w:gridSpan w:val="2"/>
          </w:tcPr>
          <w:p>
            <w:pPr>
              <w:ind w:left="860"/>
              <w:spacing w:after="0"/>
              <w:rPr>
                <w:sz w:val="20"/>
                <w:szCs w:val="20"/>
                <w:color w:val="auto"/>
              </w:rPr>
            </w:pPr>
            <w:r>
              <w:rPr>
                <w:rFonts w:ascii="Arial" w:cs="Arial" w:eastAsia="Arial" w:hAnsi="Arial"/>
                <w:sz w:val="18"/>
                <w:szCs w:val="18"/>
                <w:color w:val="auto"/>
                <w:w w:val="94"/>
              </w:rPr>
              <w:t>VPC Impact Acquisition Holdings III, Inc.</w:t>
            </w:r>
          </w:p>
        </w:tc>
        <w:tc>
          <w:tcPr>
            <w:tcW w:w="3020" w:type="dxa"/>
            <w:vAlign w:val="bottom"/>
            <w:gridSpan w:val="3"/>
          </w:tcPr>
          <w:p>
            <w:pPr>
              <w:ind w:left="100"/>
              <w:spacing w:after="0"/>
              <w:rPr>
                <w:sz w:val="20"/>
                <w:szCs w:val="20"/>
                <w:color w:val="auto"/>
              </w:rPr>
            </w:pPr>
            <w:r>
              <w:rPr>
                <w:rFonts w:ascii="Arial" w:cs="Arial" w:eastAsia="Arial" w:hAnsi="Arial"/>
                <w:sz w:val="18"/>
                <w:szCs w:val="18"/>
                <w:color w:val="auto"/>
                <w:w w:val="95"/>
              </w:rPr>
              <w:t>Special Purpose Acquisition Company</w:t>
            </w:r>
          </w:p>
        </w:tc>
        <w:tc>
          <w:tcPr>
            <w:tcW w:w="2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1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In addition, our sponsor and our officers and directors may sponsor or form other special purpose acquisition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31" w:lineRule="exact"/>
        <w:rPr>
          <w:sz w:val="20"/>
          <w:szCs w:val="20"/>
          <w:color w:val="auto"/>
        </w:rPr>
      </w:pPr>
    </w:p>
    <w:p>
      <w:pPr>
        <w:ind w:left="1080" w:right="20" w:hanging="424"/>
        <w:spacing w:after="0" w:line="25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officers is engaged in several other business endeavors for which he may be entitled to substantial compensation, and our officers are not obligated to contribute any specific number of hours per week to our affairs.</w:t>
      </w:r>
    </w:p>
    <w:p>
      <w:pPr>
        <w:spacing w:after="0" w:line="93" w:lineRule="exact"/>
        <w:rPr>
          <w:rFonts w:ascii="Arial" w:cs="Arial" w:eastAsia="Arial" w:hAnsi="Arial"/>
          <w:sz w:val="18"/>
          <w:szCs w:val="18"/>
          <w:color w:val="auto"/>
        </w:rPr>
      </w:pPr>
    </w:p>
    <w:p>
      <w:pPr>
        <w:ind w:left="1080" w:right="20" w:hanging="424"/>
        <w:spacing w:after="0" w:line="267"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initial shareholders purchased founder shares prior to the date of this prospectus and purchased private placement warrants in a transaction that closed simultaneously with the closing of our initial public offering. Our sponsor, officers and directors have entered into a letter agreement with us, pursuant to which they have agreed to waive their redemption rights with respect to their founder shares and public shares in connection with the completion of our initial business combination. Additionally, our sponsor, officers and directors have agreed to waive their rights to liquidating distributions from the trust account with respect to their founder shares if we fail to complete our initial business combination within the prescribed time frame. If we do not complete our initial business combination within the prescribed time frame, the private placement warrants will expire worthless. Furthermore, 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 The private placement warrants (including the Class A ordinary shares issuable upon exercise of the private placement warrants) will not be transferable until 30 days following the completion of our initial business combination. Because each of our officers and directors own ordinary shares or warrants directly or indirectly, they may have a conflict of interest in determining whether a particular target business is an appropriate business with which to effectuate our initial business combination.</w:t>
      </w:r>
    </w:p>
    <w:p>
      <w:pPr>
        <w:spacing w:after="0" w:line="95" w:lineRule="exact"/>
        <w:rPr>
          <w:rFonts w:ascii="Arial" w:cs="Arial" w:eastAsia="Arial" w:hAnsi="Arial"/>
          <w:sz w:val="17"/>
          <w:szCs w:val="17"/>
          <w:color w:val="auto"/>
        </w:rPr>
      </w:pPr>
    </w:p>
    <w:p>
      <w:pPr>
        <w:ind w:left="1080" w:right="1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completing the business combination through a joint venture or other form of shared ownership with our sponsor, officers or directors. In the event we seek to complete our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initial business combination with a business combination target that is affiliated with our sponsor, officers or directors, we, or a committee of independent directors, would obtain an opinion from an independent investment banking which is a member of FINRA or a valuation or appraisal firm, that the consideration to be paid in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Nasdaq, we will also pay our sponsor $10,000 per month for office space, utilities, secretarial and administrative services provided to members of our management team.</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22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officers and directors have agreed to vote their founder shares, and they and the other members of our management team have agreed to vote their founder shares and any shares purchased during or after the offering in favor of our initial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Accordingly, any indemnification provided will only be able to be satisfied by us if (i) we have sufficient funds outside of the trust account or (ii) we consummate an initial business combination.</w:t>
      </w:r>
    </w:p>
    <w:p>
      <w:pPr>
        <w:spacing w:after="0" w:line="17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5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None of our officers or directors have received any cash compensation for services rendered to us. Commencing on the date that our securities are first listed on Nasdaq through the earlier of consummation of our initial business combination and our liquidation, we will pay our sponsor $10,000 per month for office space, utilities,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secretarial and administrative support services provided to members of our management team. We may elect to make payment of customary fees to members of our board of directors for director service. In addition, 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from funds held outside the trust account. Other than quarterly audit committee review of such reimbursements, we do not expect to have any additional controls in place governing our reimbursement payments to our directors and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officers and directors, or any of their respective affiliates, prior to completion of our initial business combination.</w:t>
      </w:r>
    </w:p>
    <w:p>
      <w:pPr>
        <w:spacing w:after="0" w:line="18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w:t>
      </w:r>
    </w:p>
    <w:p>
      <w:pPr>
        <w:spacing w:after="0" w:line="178"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146"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Shareholder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information regarding the beneficial ownership of our ordinary shares as of March 29, 2021 by:</w:t>
      </w:r>
    </w:p>
    <w:p>
      <w:pPr>
        <w:spacing w:after="0" w:line="131"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ordinary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of our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ordinary shares beneficially owned by them. The following table does not reflect record or beneficial ownership of the private placement warrants as these warrants are not exercisable within 60 days of the date of this Form 10-K.</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40"/>
          </w:cols>
          <w:pgMar w:left="320" w:top="459" w:right="5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beneficial ownership of our ordinary shares is based on 25,916,502 ordinary shares issued and outstanding as of March 29, 2021, consisting of 20,732,202 Class A ordinary shares and 5,184,300 Class B ordinary shares.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9"/>
              </w:rPr>
              <w:t>SHARES</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2"/>
                <w:szCs w:val="12"/>
                <w:b w:val="1"/>
                <w:bCs w:val="1"/>
                <w:color w:val="auto"/>
              </w:rPr>
              <w:t>(1)</w:t>
            </w:r>
          </w:p>
        </w:tc>
        <w:tc>
          <w:tcPr>
            <w:tcW w:w="1880" w:type="dxa"/>
            <w:vAlign w:val="bottom"/>
            <w:vMerge w:val="restart"/>
          </w:tcPr>
          <w:p>
            <w:pPr>
              <w:spacing w:after="0"/>
              <w:rPr>
                <w:sz w:val="12"/>
                <w:szCs w:val="12"/>
                <w:color w:val="auto"/>
              </w:rPr>
            </w:pPr>
          </w:p>
        </w:tc>
        <w:tc>
          <w:tcPr>
            <w:tcW w:w="1780" w:type="dxa"/>
            <w:vAlign w:val="bottom"/>
            <w:gridSpan w:val="4"/>
          </w:tcPr>
          <w:p>
            <w:pPr>
              <w:jc w:val="right"/>
              <w:ind w:right="80"/>
              <w:spacing w:after="0" w:line="149" w:lineRule="exact"/>
              <w:rPr>
                <w:sz w:val="20"/>
                <w:szCs w:val="20"/>
                <w:color w:val="auto"/>
              </w:rPr>
            </w:pPr>
            <w:r>
              <w:rPr>
                <w:rFonts w:ascii="Arial" w:cs="Arial" w:eastAsia="Arial" w:hAnsi="Arial"/>
                <w:sz w:val="14"/>
                <w:szCs w:val="14"/>
                <w:b w:val="1"/>
                <w:bCs w:val="1"/>
                <w:color w:val="auto"/>
              </w:rPr>
              <w:t>BENEFICIALLY</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3400" w:type="dxa"/>
            <w:vAlign w:val="bottom"/>
            <w:tcBorders>
              <w:bottom w:val="single" w:sz="8" w:color="auto"/>
            </w:tcBorders>
            <w:gridSpan w:val="2"/>
            <w:vMerge w:val="continue"/>
          </w:tcPr>
          <w:p>
            <w:pPr>
              <w:spacing w:after="0"/>
              <w:rPr>
                <w:sz w:val="15"/>
                <w:szCs w:val="15"/>
                <w:color w:val="auto"/>
              </w:rPr>
            </w:pPr>
          </w:p>
        </w:tc>
        <w:tc>
          <w:tcPr>
            <w:tcW w:w="1880" w:type="dxa"/>
            <w:vAlign w:val="bottom"/>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rPr>
              <w:t>OWNED</w:t>
            </w:r>
          </w:p>
        </w:tc>
        <w:tc>
          <w:tcPr>
            <w:tcW w:w="920" w:type="dxa"/>
            <w:vAlign w:val="bottom"/>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Directors, Executive Officers and Founders</w:t>
            </w:r>
          </w:p>
        </w:tc>
        <w:tc>
          <w:tcPr>
            <w:tcW w:w="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John Martin</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Gordon Watson</w:t>
            </w: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Olibia Stamatoglou</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Adrienne Harris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Kai Schmitz</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20,000</w:t>
            </w:r>
          </w:p>
        </w:tc>
        <w:tc>
          <w:tcPr>
            <w:tcW w:w="60" w:type="dxa"/>
            <w:vAlign w:val="bottom"/>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Kurt Summers</w:t>
            </w:r>
          </w:p>
        </w:tc>
        <w:tc>
          <w:tcPr>
            <w:tcW w:w="1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 w:type="dxa"/>
            <w:vAlign w:val="bottom"/>
            <w:shd w:val="clear" w:color="auto" w:fill="CCEEFF"/>
          </w:tcPr>
          <w:p>
            <w:pPr>
              <w:spacing w:after="0"/>
              <w:rPr>
                <w:sz w:val="18"/>
                <w:szCs w:val="18"/>
                <w:color w:val="auto"/>
              </w:rPr>
            </w:pP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gridSpan w:val="3"/>
          </w:tcPr>
          <w:p>
            <w:pPr>
              <w:spacing w:after="0"/>
              <w:rPr>
                <w:sz w:val="20"/>
                <w:szCs w:val="20"/>
                <w:color w:val="auto"/>
              </w:rPr>
            </w:pPr>
            <w:r>
              <w:rPr>
                <w:rFonts w:ascii="Arial" w:cs="Arial" w:eastAsia="Arial" w:hAnsi="Arial"/>
                <w:sz w:val="18"/>
                <w:szCs w:val="18"/>
                <w:b w:val="1"/>
                <w:bCs w:val="1"/>
                <w:color w:val="auto"/>
              </w:rPr>
              <w:t>All executive officers and directors as a group (6 individuals)</w:t>
            </w:r>
          </w:p>
        </w:tc>
        <w:tc>
          <w:tcPr>
            <w:tcW w:w="1720" w:type="dxa"/>
            <w:vAlign w:val="bottom"/>
            <w:gridSpan w:val="3"/>
          </w:tcPr>
          <w:p>
            <w:pPr>
              <w:jc w:val="right"/>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20"/>
                <w:szCs w:val="20"/>
                <w:color w:val="auto"/>
              </w:rPr>
            </w:pP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3"/>
          </w:tcPr>
          <w:p>
            <w:pPr>
              <w:jc w:val="center"/>
              <w:ind w:left="593"/>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SHARES</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328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000" w:type="dxa"/>
            <w:vAlign w:val="bottom"/>
            <w:gridSpan w:val="2"/>
            <w:vMerge w:val="restart"/>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rPr>
              <w:t>BENEFICIALLY</w:t>
            </w:r>
          </w:p>
        </w:tc>
        <w:tc>
          <w:tcPr>
            <w:tcW w:w="9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ORDINARY</w:t>
            </w:r>
          </w:p>
        </w:tc>
        <w:tc>
          <w:tcPr>
            <w:tcW w:w="0" w:type="dxa"/>
            <w:vAlign w:val="bottom"/>
          </w:tcPr>
          <w:p>
            <w:pPr>
              <w:spacing w:after="0"/>
              <w:rPr>
                <w:sz w:val="1"/>
                <w:szCs w:val="1"/>
                <w:color w:val="auto"/>
              </w:rPr>
            </w:pPr>
          </w:p>
        </w:tc>
      </w:tr>
      <w:tr>
        <w:trPr>
          <w:trHeight w:val="178"/>
        </w:trPr>
        <w:tc>
          <w:tcPr>
            <w:tcW w:w="3280" w:type="dxa"/>
            <w:vAlign w:val="bottom"/>
            <w:tcBorders>
              <w:bottom w:val="single" w:sz="8" w:color="auto"/>
            </w:tcBorders>
            <w:vMerge w:val="continue"/>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rPr>
              <w:t>OWNED</w:t>
            </w:r>
          </w:p>
        </w:tc>
        <w:tc>
          <w:tcPr>
            <w:tcW w:w="920" w:type="dxa"/>
            <w:vAlign w:val="bottom"/>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9"/>
              </w:rPr>
              <w:t>SHARES</w:t>
            </w:r>
          </w:p>
        </w:tc>
        <w:tc>
          <w:tcPr>
            <w:tcW w:w="0" w:type="dxa"/>
            <w:vAlign w:val="bottom"/>
          </w:tcPr>
          <w:p>
            <w:pPr>
              <w:spacing w:after="0"/>
              <w:rPr>
                <w:sz w:val="1"/>
                <w:szCs w:val="1"/>
                <w:color w:val="auto"/>
              </w:rPr>
            </w:pPr>
          </w:p>
        </w:tc>
      </w:tr>
      <w:tr>
        <w:trPr>
          <w:trHeight w:val="189"/>
        </w:trPr>
        <w:tc>
          <w:tcPr>
            <w:tcW w:w="528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Five Percent Holders</w:t>
            </w:r>
          </w:p>
        </w:tc>
        <w:tc>
          <w:tcPr>
            <w:tcW w:w="6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VPC Impact Acquisition Holdings Sponsor, LLC</w:t>
            </w:r>
            <w:r>
              <w:rPr>
                <w:rFonts w:ascii="Arial" w:cs="Arial" w:eastAsia="Arial" w:hAnsi="Arial"/>
                <w:sz w:val="15"/>
                <w:szCs w:val="15"/>
                <w:color w:val="auto"/>
              </w:rPr>
              <w:t>(1)(2)(3)</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5,124,300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Alpine Global Management, LLC</w:t>
            </w:r>
            <w:r>
              <w:rPr>
                <w:rFonts w:ascii="Arial" w:cs="Arial" w:eastAsia="Arial" w:hAnsi="Arial"/>
                <w:sz w:val="15"/>
                <w:szCs w:val="15"/>
                <w:color w:val="auto"/>
              </w:rPr>
              <w:t>(4)</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2,813,820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Invesco Ltd.</w:t>
            </w:r>
            <w:r>
              <w:rPr>
                <w:rFonts w:ascii="Arial" w:cs="Arial" w:eastAsia="Arial" w:hAnsi="Arial"/>
                <w:sz w:val="15"/>
                <w:szCs w:val="15"/>
                <w:color w:val="auto"/>
              </w:rPr>
              <w:t>(5)</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2,391,105</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Millennium Management LLC</w:t>
            </w:r>
            <w:r>
              <w:rPr>
                <w:rFonts w:ascii="Arial" w:cs="Arial" w:eastAsia="Arial" w:hAnsi="Arial"/>
                <w:sz w:val="15"/>
                <w:szCs w:val="15"/>
                <w:color w:val="auto"/>
              </w:rPr>
              <w:t>(6)</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1,600,000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Corbin Capital Partners Group, LLC</w:t>
            </w:r>
            <w:r>
              <w:rPr>
                <w:rFonts w:ascii="Arial" w:cs="Arial" w:eastAsia="Arial" w:hAnsi="Arial"/>
                <w:sz w:val="15"/>
                <w:szCs w:val="15"/>
                <w:color w:val="auto"/>
              </w:rPr>
              <w:t>(7)</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1,500,000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Sculptor Capital LP</w:t>
            </w:r>
            <w:r>
              <w:rPr>
                <w:rFonts w:ascii="Arial" w:cs="Arial" w:eastAsia="Arial" w:hAnsi="Arial"/>
                <w:sz w:val="15"/>
                <w:szCs w:val="15"/>
                <w:color w:val="auto"/>
              </w:rPr>
              <w:t>(8)</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1,404,800</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Empyrean Capital Overseas Master Fund, Ltd.</w:t>
            </w:r>
            <w:r>
              <w:rPr>
                <w:rFonts w:ascii="Arial" w:cs="Arial" w:eastAsia="Arial" w:hAnsi="Arial"/>
                <w:sz w:val="15"/>
                <w:szCs w:val="15"/>
                <w:color w:val="auto"/>
              </w:rPr>
              <w:t>(9)</w:t>
            </w:r>
          </w:p>
        </w:tc>
        <w:tc>
          <w:tcPr>
            <w:tcW w:w="1780" w:type="dxa"/>
            <w:vAlign w:val="bottom"/>
            <w:gridSpan w:val="4"/>
          </w:tcPr>
          <w:p>
            <w:pPr>
              <w:jc w:val="right"/>
              <w:ind w:right="20"/>
              <w:spacing w:after="0"/>
              <w:rPr>
                <w:sz w:val="20"/>
                <w:szCs w:val="20"/>
                <w:color w:val="auto"/>
              </w:rPr>
            </w:pPr>
            <w:r>
              <w:rPr>
                <w:rFonts w:ascii="Arial" w:cs="Arial" w:eastAsia="Arial" w:hAnsi="Arial"/>
                <w:sz w:val="18"/>
                <w:szCs w:val="18"/>
                <w:color w:val="auto"/>
              </w:rPr>
              <w:t>1,208,580</w:t>
            </w:r>
          </w:p>
        </w:tc>
        <w:tc>
          <w:tcPr>
            <w:tcW w:w="2200" w:type="dxa"/>
            <w:vAlign w:val="bottom"/>
            <w:gridSpan w:val="3"/>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Point72 Asset Management, L.P.</w:t>
            </w:r>
            <w:r>
              <w:rPr>
                <w:rFonts w:ascii="Arial" w:cs="Arial" w:eastAsia="Arial" w:hAnsi="Arial"/>
                <w:sz w:val="15"/>
                <w:szCs w:val="15"/>
                <w:color w:val="auto"/>
              </w:rPr>
              <w:t>(10)</w:t>
            </w:r>
          </w:p>
        </w:tc>
        <w:tc>
          <w:tcPr>
            <w:tcW w:w="1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1,159,546</w:t>
            </w:r>
          </w:p>
        </w:tc>
        <w:tc>
          <w:tcPr>
            <w:tcW w:w="22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Unless otherwise noted, the business address of each of the following is 150 North Riverside Plaza, Suite 5200, Chicago, IL 60606.</w:t>
      </w:r>
    </w:p>
    <w:p>
      <w:pPr>
        <w:spacing w:after="0" w:line="9"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Interests shown consist solely of founder shares, classified as Class B ordinary shares. Such shares will automatically convert into Class A ordinary shares concurrently with or immediately following the consummation of our initial business combination on a one-for-one basis, subject to adjustment, as described herein.</w:t>
      </w:r>
    </w:p>
    <w:p>
      <w:pPr>
        <w:spacing w:after="0" w:line="1" w:lineRule="exact"/>
        <w:rPr>
          <w:rFonts w:ascii="Arial" w:cs="Arial" w:eastAsia="Arial" w:hAnsi="Arial"/>
          <w:sz w:val="18"/>
          <w:szCs w:val="18"/>
          <w:color w:val="auto"/>
        </w:rPr>
      </w:pPr>
    </w:p>
    <w:p>
      <w:pPr>
        <w:ind w:left="540" w:right="160" w:hanging="424"/>
        <w:spacing w:after="0" w:line="265"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VPC Impact Acquisition Holdings Sponsor, LLC, our sponsor, is the record holder of such shares. Richard Levy, as Chief Executive Officer and Founder of Victory Park Capital Advisors, LLC, has voting and investment discretion over these shares and therefore may be deemed to beneficially own such shares. Richard Levy disclaims any beneficial ownership of the securities held by VPC Impact Acquisition Holdings Sponsor, LLC other than to the extent of any pecuniary interest he may have therein, directly or indirectly.</w:t>
      </w:r>
    </w:p>
    <w:p>
      <w:pPr>
        <w:ind w:left="540" w:right="60" w:hanging="424"/>
        <w:spacing w:after="0" w:line="250"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a Schedule 13G/A filed on February 24, 2021, Alpine Global Management, LLC is the holder of 2,813,820 Class A ordinary shares. The address of Alpine Global Management, LLC is 140 Broadway, 38th Floor, New York, NY 10005.</w:t>
      </w:r>
    </w:p>
    <w:p>
      <w:pPr>
        <w:ind w:left="540" w:hanging="424"/>
        <w:spacing w:after="0" w:line="255"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According to a Schedule 13G filed on March 10, 2021, Invesco Ltd. in its capacity as a parent holding company to its investment advisers, may be deemed to beneficially own 2,391,105 Class A ordinary shares which are held of record by clients of Invesco Ltd. The address of Invesco Ltd. is 1555 Peachtree Street NE, Suite 1800, Atlanta, GA 30309.</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hanging="424"/>
        <w:spacing w:after="0" w:line="282"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According to a Schedule 13G/A filed on February 1, 2021, (i) Millenium Management LLC, a Delaware limited liability company (“Millenium Management”), Millennium Group Management LLC, a Delaware limited liability company (“Millenium Group Management”), Millenium International Management LP, a Delaware limited partnership (“Millennium International Management”) and Israel A. Englander, a United States citizen share voting control and investment discretion over part or all of an aggregate of 800,000 units, each consisting of 1 Class A ordinary share and one-half of one redeemable warrant and 800,000 Class A ordinary shares, of which (i) 800,000 Class A ordinary shares are held by Integrated Core Strategies (US) LLC, a Delaware limited liability company (“Integrated Core Strategies”) and (ii) 800,000 units are held by ICS Opportunities, Ltd., an exempted company organized under the laws of the Cayman Islands (“ICS Opportunities”). Millenium International Management is the investment manager to ICS Opportunities and may be deemed to have shared voting control and investment discretion over securities owned by ICS Opportunities. Millenium Management is the general partner of the managing member of Integrated Core Strategies and may be deemed to have shared voting control and investment discretion over securities owned by Integrated Core Strategies. Millennium Management is also the general partner of the 100% owner of ICS Opportunities and may also be deemed to have shared voting control and investment discretion over securities owned by ICS Opportunities. Millenium Group Management is the managing member of Millennium Management and may also be deemed to have shared voting control and investment discretion over securities owned by Integrated Core Strategies. Millennium Group Management is also the general partner of Millennium International Management and may also be deemed to have shared voting control and investment discretion over securities owned by ICS Opportunities. The managing member of Millennium Group Management is a trust of which Mr. Englander, currently serves as the sole voting trustee. Therefore, Mr. Englander may also be deemed to have shared voting control and investment discretion over securities owned by Integrated Core Strategies and ICS Opportunities. The address of each entity and Mr. Englander is c/o Millennium International Management LP, 666 Fifth Avenue, New York, New York 10103.</w:t>
      </w:r>
    </w:p>
    <w:p>
      <w:pPr>
        <w:spacing w:after="0" w:line="1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According to a Schedule 13G filed on February 12, 2021, Corbin Capital Partners Group, LLC (“CCPG”) and Corbin Capital Partners, L.P. (“CCP”) may be deemed to be the beneficial owners of an aggregate of 1,500,00 Class A ordinary shares. The shares reported are held by Corbin ERISA Opportunity Fund, Ltd. (“CEOF”), a Cayman Islands exempted company, and Corbin Opportunity Fund, L.P. (“COF”), a Delaware limited partnership. CCPG is the general partner of CCP, which serves as investment advisor for both COF and CEOF. The address of the principal business office of each of CCPG and CCP is 590 Madison Avenue, 31st Floor, New York, NY 10022.</w:t>
      </w:r>
    </w:p>
    <w:p>
      <w:pPr>
        <w:ind w:left="540" w:right="20" w:hanging="424"/>
        <w:spacing w:after="0" w:line="281" w:lineRule="auto"/>
        <w:tabs>
          <w:tab w:leader="none" w:pos="5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According to a Schedule 13G/A filed on February 5, 2021, Sculptor Capital LP (“Sculptor”), a Delaware limited partnership, as the principal investment manager to a number of investment funds and discretionary accounts (collectively, the “Sculptor Accounts”) may be deemed to beneficially own 1,404,800 Class A ordinary shares which are held by the Sculptor Accounts. Sculptor Capital Holding Corporation (“SCHC”), a Delaware corporation, serves as the general partner of Sculptor As such, SCHC may be deemed to control Sculptor and, therefore, may be deemed to be the beneficial owner of the Class A ordinary shares owned by the Sculptor Accounts. Sculptor Capital Management, Inc. (“SCU”), a Delaware limited liability company, is a holding company that is the sole shareholder of SCHC. SCU is the sole shareholder of SCHC, and therefore may be deemed to be the beneficial owner of the Class A ordinary shares owned by the Sculptor Accounts. Sculptor Master Fund, Ltd. (“SCMF”), a Cayman Islands company and Sculptor Special Funding, LP (“NRMD”), a Cayman Islands exempted limited partnership, may also be deemed to share beneficial ownership over such Class A ordinary shares. The address of the principal business office of Sculptor, SCHC, and SCU is 9 West 57 Street, 39 Floor, New York, NY 10019. The address of the principal business office of SCMF and NRMD is c/o State Street (Cayman) Trust, Limited, P.O. Box 896, Suite 3307, Gardenia Court, 45 Market Street, Camana Bay, Grand Cayman, Cayman Islands KY1-1103.</w:t>
      </w:r>
    </w:p>
    <w:p>
      <w:pPr>
        <w:spacing w:after="0" w:line="6" w:lineRule="exact"/>
        <w:rPr>
          <w:rFonts w:ascii="Arial" w:cs="Arial" w:eastAsia="Arial" w:hAnsi="Arial"/>
          <w:sz w:val="16"/>
          <w:szCs w:val="16"/>
          <w:color w:val="auto"/>
        </w:rPr>
      </w:pPr>
    </w:p>
    <w:p>
      <w:pPr>
        <w:ind w:left="540" w:right="80" w:hanging="424"/>
        <w:spacing w:after="0" w:line="273" w:lineRule="auto"/>
        <w:tabs>
          <w:tab w:leader="none" w:pos="5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According to a Schedule 13G filed on December 18, 2020, Empyrean Capital Overseas Master Fund, Ltd. (“Empyrean Fund”) is the direct holder of 1,208,590 Class A ordinary shares. Empyrean Capital Partners, LP (“Empyrean Capital”), as the investment manager of Empyrean Fund, may be deemed to share voting and investment discretion over such securities. Mr. Meron, as the managing member of Empyrean Capital, LLC, the general partner of Empyrean Capital, may be deemed to share voting and investment discretion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00"/>
        <w:spacing w:after="0" w:line="258" w:lineRule="auto"/>
        <w:rPr>
          <w:sz w:val="20"/>
          <w:szCs w:val="20"/>
          <w:color w:val="auto"/>
        </w:rPr>
      </w:pPr>
      <w:r>
        <w:rPr>
          <w:rFonts w:ascii="Arial" w:cs="Arial" w:eastAsia="Arial" w:hAnsi="Arial"/>
          <w:sz w:val="18"/>
          <w:szCs w:val="18"/>
          <w:color w:val="auto"/>
        </w:rPr>
        <w:t>over such securities. The address of each is c/o Empyrean Capital Partners, LP, 10250 Constellation Boulevard, Suite 2950, Los Angeles, CA 90067.</w:t>
      </w:r>
    </w:p>
    <w:p>
      <w:pPr>
        <w:spacing w:after="0" w:line="1" w:lineRule="exact"/>
        <w:rPr>
          <w:sz w:val="20"/>
          <w:szCs w:val="20"/>
          <w:color w:val="auto"/>
        </w:rPr>
      </w:pPr>
    </w:p>
    <w:p>
      <w:pPr>
        <w:ind w:left="540" w:right="20" w:hanging="424"/>
        <w:spacing w:after="0" w:line="252"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According to a Schedule 13G filed on February 24, 2021, the reported shares are held by certain investment funds managed by Point72 Asset Management, L.P. (“Point72 Asset Management”). Point72 Capital Advisors, Inc. (“Point72 Capital Advisors Inc.”) may be deemed to share voting and dispositive power of the shares held by certain investment funds managed by Point72 Asset Management; and (iii) Steven A. Cohen (“Mr. Cohen”) may be deemed to share voting and dispositive power with respect to shares beneficially owned by Point72 Asset Management and Point72 Capital Advisors Inc. The address of the principal business office of Point72 Asset Management, Point72 Capital Advisors Inc., and Mr. Cohen is 72 Cummings Point Road, Stamford, CT 06902.</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on August 3, 2020, the Sponsor paid $25,000, or approximately $0.004 per share, to cover certain of the Company’s offering and formation costs in exchange for 5,750,000 Class B ordinary shares, par value $0.0001 per share (the “founder shares”). In September 2020, the Sponsor transferred an aggregate of 60,000 founder shares to members of the Company’s board of directors, resulting in the Sponsor holding 5,690,000 founder shares. The number of founder shares outstanding was determined based on the expectation that the total size of the Company’s initial public offering would be a maximum of 23,000,000 units if the underwriters’ over-allotment option was exercised in full, and therefore that such founder shares would represent 20% of the outstanding shares after the Public Offering. Up to 750,000 of the founder shares were subject to forfeiture for no consideration depending on the extent to which the underwriters’ over-allotment was exercised. In connection with the underwriters’ partial exercise of the over-allotment option and the forfeiture of the remaining over-allotment option on October 1, 2020, 565,700 founder shares were forfeited and 184,300 founder shares are no longer subject to forfeiture resulting in an aggregate of 5,184,300 founder shares outstanding at December 31, 2020.</w:t>
      </w:r>
    </w:p>
    <w:p>
      <w:pPr>
        <w:spacing w:after="0" w:line="166"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Our Sponsor, officers and directors have agreed not to transfer, assign or sell any of their founder shares and any Class A ordinary shares issuable upon conversion thereof until the earlier to occur of: (i) one year after the completion of our initial business combination or (ii) the date following the completion of our initial business combination on which we complete a liquidation, merger, share exchange or other similar transaction that results in all of our shareholders having the right to exchange their ordinary shares for cash, securities or other property.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Simultaneously with the closing of the Initial Public Offering, we consummated the sale of 6,000,000 warrants (the “Private Placement Warrants”) to the Sponsor at a price of $1.00 per Private Placement Warrant generating gross proceeds of $6,000,000.</w:t>
      </w:r>
    </w:p>
    <w:p>
      <w:pPr>
        <w:spacing w:after="0" w:line="170"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Each private placement warrant is exercisable for one whole Class A ordinary share at a price of $11.50 per share. A portion of the proceeds from the sale of the private placement warrants to the Sponsor was added to the proceeds from the initial public offering held in the trust account. If we do not complete a business combination by September 25, 2022, the private placement warrants will expire worthless. The private placement warrants will be non-redeemable for cash and exercisable on a cashless basis so long as they are held by the Sponsor or its permitted transferees.</w:t>
      </w:r>
    </w:p>
    <w:p>
      <w:pPr>
        <w:spacing w:after="0" w:line="15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Sponsor and our officers and directors has agreed, subject to limited exceptions, not to transfer, assign or sell any of their private placement warrants until 30 days after the completion of the initial business combination.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December 31, the Company had no outstanding borrowings under the Working Capital Loans.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Commencing on the date that our securities were first listed on the Nasdaq and continuing until the earlier of the consummation of a Business Combination or our liquidation, we agreed to pay the Sponsor a total of $10,000 per month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18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The Sponsor, officers and directors, or any of their respective affiliates will be reimbursed for any out-of-pocket expenses incurred in connection with activities performed on our behalf such as identifying potential target businesses and performing due diligence on suitable Business Combinations.</w:t>
      </w:r>
    </w:p>
    <w:p>
      <w:pPr>
        <w:spacing w:after="0" w:line="124"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color w:val="auto"/>
        </w:rPr>
        <w:t>We recognized an aggregate of $30,000 in expenses incurred in connection with the aforementioned arrangements with the related parties on our Statements of Operations for the period from July 31, 2020 (date of inception) through December 31, 2020, respectively.</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is a summary of fees paid to WithumSmith+Brown, PC, for services rendered.</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 Audit fees consist of fees billed for professional services rendered for the audit of our year-end financial statements, reviews of our quarterly</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services that are normally provided by our independent registered public accounting firm in connection with statutory and regulatory filings. The aggregate fees billed by WithumSmith+Brown, PC for audit fees, inclusive of required filings with the SEC for the period from July 31, 2020 (inception) through December 31, 2020, and of services rendered in connection with our initial public offering, totaled $81,000.</w:t>
      </w:r>
    </w:p>
    <w:p>
      <w:pPr>
        <w:spacing w:after="0" w:line="15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i w:val="1"/>
          <w:iCs w:val="1"/>
          <w:color w:val="auto"/>
        </w:rPr>
        <w:t>Audit-Related Fees</w:t>
      </w:r>
      <w:r>
        <w:rPr>
          <w:rFonts w:ascii="Arial" w:cs="Arial" w:eastAsia="Arial" w:hAnsi="Arial"/>
          <w:sz w:val="17"/>
          <w:szCs w:val="17"/>
          <w:color w:val="auto"/>
        </w:rPr>
        <w:t>. Audit-related fees consist of fees billed for assurance and related services that are reasonably related to performance of the audit or</w:t>
      </w:r>
      <w:r>
        <w:rPr>
          <w:rFonts w:ascii="Arial" w:cs="Arial" w:eastAsia="Arial" w:hAnsi="Arial"/>
          <w:sz w:val="17"/>
          <w:szCs w:val="17"/>
          <w:i w:val="1"/>
          <w:iCs w:val="1"/>
          <w:color w:val="auto"/>
        </w:rPr>
        <w:t xml:space="preserve"> </w:t>
      </w:r>
      <w:r>
        <w:rPr>
          <w:rFonts w:ascii="Arial" w:cs="Arial" w:eastAsia="Arial" w:hAnsi="Arial"/>
          <w:sz w:val="17"/>
          <w:szCs w:val="17"/>
          <w:color w:val="auto"/>
        </w:rPr>
        <w:t>review of our year-end financial statements and are not reported under “Audit Fees.” These services include attest services that are not required by statute or regulation and consultation concerning financial accounting and reporting standards. We did not pay WithumSmith+Brown, PC any audit-related fees during the period from July 31, 2020 (inception) through December 31, 2020.</w:t>
      </w:r>
    </w:p>
    <w:p>
      <w:pPr>
        <w:spacing w:after="0" w:line="171" w:lineRule="exact"/>
        <w:rPr>
          <w:sz w:val="20"/>
          <w:szCs w:val="20"/>
          <w:color w:val="auto"/>
        </w:rPr>
      </w:pPr>
    </w:p>
    <w:p>
      <w:pPr>
        <w:ind w:left="120" w:right="1160"/>
        <w:spacing w:after="0" w:line="308" w:lineRule="auto"/>
        <w:rPr>
          <w:sz w:val="20"/>
          <w:szCs w:val="20"/>
          <w:color w:val="auto"/>
        </w:rPr>
      </w:pPr>
      <w:r>
        <w:rPr>
          <w:rFonts w:ascii="Arial" w:cs="Arial" w:eastAsia="Arial" w:hAnsi="Arial"/>
          <w:sz w:val="17"/>
          <w:szCs w:val="17"/>
          <w:i w:val="1"/>
          <w:iCs w:val="1"/>
          <w:color w:val="auto"/>
        </w:rPr>
        <w:t>Tax Fees</w:t>
      </w:r>
      <w:r>
        <w:rPr>
          <w:rFonts w:ascii="Arial" w:cs="Arial" w:eastAsia="Arial" w:hAnsi="Arial"/>
          <w:sz w:val="17"/>
          <w:szCs w:val="17"/>
          <w:color w:val="auto"/>
        </w:rPr>
        <w:t>. Tax fees consist of fees billed for professional services relating to tax compliance, tax planning and tax advice. We did not pay</w:t>
      </w:r>
      <w:r>
        <w:rPr>
          <w:rFonts w:ascii="Arial" w:cs="Arial" w:eastAsia="Arial" w:hAnsi="Arial"/>
          <w:sz w:val="17"/>
          <w:szCs w:val="17"/>
          <w:i w:val="1"/>
          <w:iCs w:val="1"/>
          <w:color w:val="auto"/>
        </w:rPr>
        <w:t xml:space="preserve"> </w:t>
      </w:r>
      <w:r>
        <w:rPr>
          <w:rFonts w:ascii="Arial" w:cs="Arial" w:eastAsia="Arial" w:hAnsi="Arial"/>
          <w:sz w:val="17"/>
          <w:szCs w:val="17"/>
          <w:color w:val="auto"/>
        </w:rPr>
        <w:t>WithumSmith+Brown, PC any tax fees during the period from July 31, 2020 (inception) through December 31, 2020.</w:t>
      </w:r>
    </w:p>
    <w:p>
      <w:pPr>
        <w:spacing w:after="0" w:line="146"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All other fees consist of fees billed for all other services. We did not pay WithumSmith+Brown, PC any other fees during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31, 2020 (inception) through December 31,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59"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Policy</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audit committee was formed upon the consummation of our initial public offering. As a result, the audit committee did not pre-approve all of the foregoing services, although any services rendered prior to the formation of our audit committee were approved by our board of directors. 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9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860"/>
          </w:cols>
          <w:pgMar w:left="320" w:top="459" w:right="7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800" w:hanging="244"/>
        <w:spacing w:after="0"/>
        <w:tabs>
          <w:tab w:leader="none" w:pos="80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30"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Financial Statements: See “Index to Financial Statements” at “Item 8. Financial Statements and Supplementary Data” herein.</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for the reason that the information is included in the financial statements or the notes thereto or that they are not required or are not applicable.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Exhibits: The exhibits listed in the Exhibit Index below are filed or incorporated by reference as part of this Annual Report on Form 10-K.</w:t>
      </w:r>
    </w:p>
    <w:p>
      <w:pPr>
        <w:spacing w:after="0" w:line="200" w:lineRule="exact"/>
        <w:rPr>
          <w:sz w:val="20"/>
          <w:szCs w:val="20"/>
          <w:color w:val="auto"/>
        </w:rPr>
      </w:pPr>
    </w:p>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60" w:type="dxa"/>
            <w:vAlign w:val="bottom"/>
            <w:gridSpan w:val="16"/>
          </w:tcPr>
          <w:p>
            <w:pPr>
              <w:jc w:val="center"/>
              <w:ind w:right="4860"/>
              <w:spacing w:after="0"/>
              <w:rPr>
                <w:sz w:val="20"/>
                <w:szCs w:val="20"/>
                <w:color w:val="auto"/>
              </w:rPr>
            </w:pPr>
            <w:r>
              <w:rPr>
                <w:rFonts w:ascii="Arial" w:cs="Arial" w:eastAsia="Arial" w:hAnsi="Arial"/>
                <w:sz w:val="18"/>
                <w:szCs w:val="18"/>
                <w:b w:val="1"/>
                <w:bCs w:val="1"/>
                <w:color w:val="auto"/>
                <w:w w:val="94"/>
              </w:rPr>
              <w:t>Exhibit Index</w:t>
            </w:r>
          </w:p>
        </w:tc>
        <w:tc>
          <w:tcPr>
            <w:tcW w:w="0" w:type="dxa"/>
            <w:vAlign w:val="bottom"/>
          </w:tcPr>
          <w:p>
            <w:pPr>
              <w:spacing w:after="0"/>
              <w:rPr>
                <w:sz w:val="1"/>
                <w:szCs w:val="1"/>
                <w:color w:val="auto"/>
              </w:rPr>
            </w:pPr>
          </w:p>
        </w:tc>
      </w:tr>
      <w:tr>
        <w:trPr>
          <w:trHeight w:val="369"/>
        </w:trPr>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60" w:type="dxa"/>
            <w:vAlign w:val="bottom"/>
            <w:gridSpan w:val="16"/>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8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160" w:type="dxa"/>
            <w:vAlign w:val="bottom"/>
            <w:tcBorders>
              <w:bottom w:val="single" w:sz="8" w:color="auto"/>
            </w:tcBorders>
            <w:gridSpan w:val="1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880" w:type="dxa"/>
            <w:vAlign w:val="bottom"/>
          </w:tcPr>
          <w:p>
            <w:pPr>
              <w:spacing w:after="0"/>
              <w:rPr>
                <w:sz w:val="23"/>
                <w:szCs w:val="23"/>
                <w:color w:val="auto"/>
              </w:rPr>
            </w:pPr>
          </w:p>
        </w:tc>
        <w:tc>
          <w:tcPr>
            <w:tcW w:w="9340" w:type="dxa"/>
            <w:vAlign w:val="bottom"/>
            <w:tcBorders>
              <w:bottom w:val="single" w:sz="8" w:color="0000EE"/>
            </w:tcBorders>
            <w:gridSpan w:val="13"/>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Business Combination Agreement, dated as of January 11, 2021, by and among the Company, Pylon Merger Company LLC and</w:t>
              </w:r>
            </w:hyperlink>
          </w:p>
        </w:tc>
        <w:tc>
          <w:tcPr>
            <w:tcW w:w="300" w:type="dxa"/>
            <w:vAlign w:val="bottom"/>
            <w:gridSpan w:val="7"/>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0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Bakkt Holdings, LLC (incorporated by reference to Exhibit 2.1 to the Company’s Current Report on Form 8-K (File No. 001-39544),</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filed with the Securities and Exchange Commission on January 11,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8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w w:val="91"/>
              </w:rPr>
            </w:pPr>
            <w:hyperlink r:id="rId121">
              <w:r>
                <w:rPr>
                  <w:rFonts w:ascii="Arial" w:cs="Arial" w:eastAsia="Arial" w:hAnsi="Arial"/>
                  <w:sz w:val="18"/>
                  <w:szCs w:val="18"/>
                  <w:color w:val="0000EE"/>
                  <w:w w:val="91"/>
                </w:rPr>
                <w:t>Amended and Restated Memorandum and Articles of Association (incorporated by reference to Exhibit 3.1 to the Company’s Current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121">
              <w:r>
                <w:rPr>
                  <w:rFonts w:ascii="Arial" w:cs="Arial" w:eastAsia="Arial" w:hAnsi="Arial"/>
                  <w:sz w:val="18"/>
                  <w:szCs w:val="18"/>
                  <w:color w:val="0000EE"/>
                </w:rPr>
                <w:t>Report on Form 8-K (File No. 001-39544), filed with the Securities and Exchange Commission on September 28, 2020).</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9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8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w w:val="92"/>
              </w:rPr>
            </w:pPr>
            <w:hyperlink r:id="rId122">
              <w:r>
                <w:rPr>
                  <w:rFonts w:ascii="Arial" w:cs="Arial" w:eastAsia="Arial" w:hAnsi="Arial"/>
                  <w:sz w:val="18"/>
                  <w:szCs w:val="18"/>
                  <w:color w:val="0000EE"/>
                  <w:w w:val="92"/>
                </w:rPr>
                <w:t>Specimen Unit Certificate (incorporated by reference to Exhibit 4.1 to the Company’s Registration Statement on Amendment No. 1</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to the Form S-1 (File No. 333-248619), filed with the Securities and Exchange Commission on September 16, 2020).</w:t>
              </w:r>
            </w:hyperlink>
          </w:p>
        </w:tc>
        <w:tc>
          <w:tcPr>
            <w:tcW w:w="1060" w:type="dxa"/>
            <w:vAlign w:val="bottom"/>
            <w:tcBorders>
              <w:top w:val="single" w:sz="8" w:color="0000EE"/>
            </w:tcBorders>
            <w:gridSpan w:val="10"/>
          </w:tcPr>
          <w:p>
            <w:pPr>
              <w:spacing w:after="0"/>
              <w:rPr>
                <w:sz w:val="17"/>
                <w:szCs w:val="17"/>
                <w:color w:val="auto"/>
              </w:rPr>
            </w:pPr>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880" w:type="dxa"/>
            <w:vAlign w:val="bottom"/>
          </w:tcPr>
          <w:p>
            <w:pPr>
              <w:spacing w:after="0"/>
              <w:rPr>
                <w:sz w:val="24"/>
                <w:szCs w:val="24"/>
                <w:color w:val="auto"/>
              </w:rPr>
            </w:pPr>
          </w:p>
        </w:tc>
        <w:tc>
          <w:tcPr>
            <w:tcW w:w="9520" w:type="dxa"/>
            <w:vAlign w:val="bottom"/>
            <w:tcBorders>
              <w:bottom w:val="single" w:sz="8" w:color="0000EE"/>
            </w:tcBorders>
            <w:gridSpan w:val="17"/>
          </w:tcPr>
          <w:p>
            <w:pPr>
              <w:spacing w:after="0"/>
              <w:rPr>
                <w:rFonts w:ascii="Arial" w:cs="Arial" w:eastAsia="Arial" w:hAnsi="Arial"/>
                <w:sz w:val="18"/>
                <w:szCs w:val="18"/>
                <w:color w:val="0000EE"/>
                <w:w w:val="91"/>
              </w:rPr>
            </w:pPr>
            <w:hyperlink r:id="rId123">
              <w:r>
                <w:rPr>
                  <w:rFonts w:ascii="Arial" w:cs="Arial" w:eastAsia="Arial" w:hAnsi="Arial"/>
                  <w:sz w:val="18"/>
                  <w:szCs w:val="18"/>
                  <w:color w:val="0000EE"/>
                  <w:w w:val="91"/>
                </w:rPr>
                <w:t>Specimen Class A Ordinary Share Certificate (incorporated by reference to Exhibit 4.2 to the Company’s Registration Statement on</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Amendment No. 1 to the Form S-1 (File No. 333-248619), filed with the Securities and Exchange Commission on September 16,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340" w:type="dxa"/>
            <w:vAlign w:val="bottom"/>
            <w:gridSpan w:val="2"/>
          </w:tcPr>
          <w:p>
            <w:pPr>
              <w:ind w:left="880"/>
              <w:spacing w:after="0" w:line="196" w:lineRule="exact"/>
              <w:rPr>
                <w:rFonts w:ascii="Arial" w:cs="Arial" w:eastAsia="Arial" w:hAnsi="Arial"/>
                <w:sz w:val="18"/>
                <w:szCs w:val="18"/>
                <w:color w:val="0000EE"/>
                <w:w w:val="86"/>
              </w:rPr>
            </w:pPr>
            <w:hyperlink r:id="rId123">
              <w:r>
                <w:rPr>
                  <w:rFonts w:ascii="Arial" w:cs="Arial" w:eastAsia="Arial" w:hAnsi="Arial"/>
                  <w:sz w:val="18"/>
                  <w:szCs w:val="18"/>
                  <w:color w:val="0000EE"/>
                  <w:w w:val="86"/>
                </w:rPr>
                <w:t>2020).</w:t>
              </w:r>
            </w:hyperlink>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880" w:type="dxa"/>
            <w:vAlign w:val="bottom"/>
          </w:tcPr>
          <w:p>
            <w:pPr>
              <w:spacing w:after="0"/>
              <w:rPr>
                <w:sz w:val="24"/>
                <w:szCs w:val="24"/>
                <w:color w:val="auto"/>
              </w:rPr>
            </w:pPr>
          </w:p>
        </w:tc>
        <w:tc>
          <w:tcPr>
            <w:tcW w:w="9620" w:type="dxa"/>
            <w:vAlign w:val="bottom"/>
            <w:tcBorders>
              <w:bottom w:val="single" w:sz="8" w:color="0000EE"/>
            </w:tcBorders>
            <w:gridSpan w:val="19"/>
          </w:tcPr>
          <w:p>
            <w:pPr>
              <w:spacing w:after="0"/>
              <w:rPr>
                <w:rFonts w:ascii="Arial" w:cs="Arial" w:eastAsia="Arial" w:hAnsi="Arial"/>
                <w:sz w:val="18"/>
                <w:szCs w:val="18"/>
                <w:color w:val="0000EE"/>
                <w:w w:val="91"/>
              </w:rPr>
            </w:pPr>
            <w:hyperlink r:id="rId124">
              <w:r>
                <w:rPr>
                  <w:rFonts w:ascii="Arial" w:cs="Arial" w:eastAsia="Arial" w:hAnsi="Arial"/>
                  <w:sz w:val="18"/>
                  <w:szCs w:val="18"/>
                  <w:color w:val="0000EE"/>
                  <w:w w:val="91"/>
                </w:rPr>
                <w:t>Specimen Warrant Certificate (incorporated by reference to Exhibit 4.3 to the Company’s Registration Statement on Amendment 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r:id="rId124">
              <w:r>
                <w:rPr>
                  <w:rFonts w:ascii="Arial" w:cs="Arial" w:eastAsia="Arial" w:hAnsi="Arial"/>
                  <w:sz w:val="18"/>
                  <w:szCs w:val="18"/>
                  <w:color w:val="0000EE"/>
                </w:rPr>
                <w:t>1 to the Form S-1 (File No. 333-248619), filed with the Securities and Exchange Commission on September 16,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080" w:type="dxa"/>
            <w:vAlign w:val="bottom"/>
            <w:gridSpan w:val="3"/>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4.4</w:t>
            </w:r>
          </w:p>
        </w:tc>
        <w:tc>
          <w:tcPr>
            <w:tcW w:w="880" w:type="dxa"/>
            <w:vAlign w:val="bottom"/>
          </w:tcPr>
          <w:p>
            <w:pPr>
              <w:spacing w:after="0"/>
              <w:rPr>
                <w:sz w:val="24"/>
                <w:szCs w:val="24"/>
                <w:color w:val="auto"/>
              </w:rPr>
            </w:pPr>
          </w:p>
        </w:tc>
        <w:tc>
          <w:tcPr>
            <w:tcW w:w="9420" w:type="dxa"/>
            <w:vAlign w:val="bottom"/>
            <w:tcBorders>
              <w:bottom w:val="single" w:sz="8" w:color="0000EE"/>
            </w:tcBorders>
            <w:gridSpan w:val="14"/>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Warrant Agreement by and between the Company and Continental Stock Transfer &amp; Trust Company (incorporated by reference to</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Exhibit 4.1 to the Company’s Current Report on Form 8-K (File No. 001-39544), filed with the Securities and Exchange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7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Commission on September 28, 2020).</w:t>
              </w:r>
            </w:hyperlink>
          </w:p>
        </w:tc>
        <w:tc>
          <w:tcPr>
            <w:tcW w:w="9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880" w:type="dxa"/>
            <w:vAlign w:val="bottom"/>
          </w:tcPr>
          <w:p>
            <w:pPr>
              <w:spacing w:after="0"/>
              <w:rPr>
                <w:sz w:val="24"/>
                <w:szCs w:val="24"/>
                <w:color w:val="auto"/>
              </w:rPr>
            </w:pPr>
          </w:p>
        </w:tc>
        <w:tc>
          <w:tcPr>
            <w:tcW w:w="2720" w:type="dxa"/>
            <w:vAlign w:val="bottom"/>
            <w:tcBorders>
              <w:top w:val="single" w:sz="8" w:color="0000EE"/>
            </w:tcBorders>
            <w:gridSpan w:val="3"/>
          </w:tcPr>
          <w:p>
            <w:pPr>
              <w:spacing w:after="0"/>
              <w:rPr>
                <w:rFonts w:ascii="Arial" w:cs="Arial" w:eastAsia="Arial" w:hAnsi="Arial"/>
                <w:sz w:val="18"/>
                <w:szCs w:val="18"/>
                <w:color w:val="0000EE"/>
              </w:rPr>
            </w:pPr>
            <w:hyperlink r:id="rId126">
              <w:r>
                <w:rPr>
                  <w:rFonts w:ascii="Arial" w:cs="Arial" w:eastAsia="Arial" w:hAnsi="Arial"/>
                  <w:sz w:val="18"/>
                  <w:szCs w:val="18"/>
                  <w:color w:val="0000EE"/>
                </w:rPr>
                <w:t>Description of Securities.</w:t>
              </w:r>
            </w:hyperlink>
          </w:p>
        </w:tc>
        <w:tc>
          <w:tcPr>
            <w:tcW w:w="69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10.1</w:t>
            </w:r>
          </w:p>
        </w:tc>
        <w:tc>
          <w:tcPr>
            <w:tcW w:w="8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w w:val="92"/>
              </w:rPr>
            </w:pPr>
            <w:hyperlink r:id="rId127">
              <w:r>
                <w:rPr>
                  <w:rFonts w:ascii="Arial" w:cs="Arial" w:eastAsia="Arial" w:hAnsi="Arial"/>
                  <w:sz w:val="18"/>
                  <w:szCs w:val="18"/>
                  <w:color w:val="0000EE"/>
                  <w:w w:val="92"/>
                </w:rPr>
                <w:t>Letter Agreement among the Company, its officers, certain directors, dated as of September 22, 2020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2"/>
              </w:rPr>
            </w:pPr>
            <w:hyperlink r:id="rId127">
              <w:r>
                <w:rPr>
                  <w:rFonts w:ascii="Arial" w:cs="Arial" w:eastAsia="Arial" w:hAnsi="Arial"/>
                  <w:sz w:val="18"/>
                  <w:szCs w:val="18"/>
                  <w:color w:val="0000EE"/>
                  <w:w w:val="92"/>
                </w:rPr>
                <w:t>Exhibit 10.1 to the Company’s Current Report on Form 8-K (File No. 001-39544), filed with the Securities and Exchange</w:t>
              </w:r>
            </w:hyperlink>
          </w:p>
        </w:tc>
        <w:tc>
          <w:tcPr>
            <w:tcW w:w="640" w:type="dxa"/>
            <w:vAlign w:val="bottom"/>
            <w:tcBorders>
              <w:top w:val="single" w:sz="8" w:color="0000EE"/>
            </w:tcBorders>
            <w:gridSpan w:val="5"/>
          </w:tcPr>
          <w:p>
            <w:pPr>
              <w:spacing w:after="0"/>
              <w:rPr>
                <w:sz w:val="17"/>
                <w:szCs w:val="17"/>
                <w:color w:val="auto"/>
              </w:rPr>
            </w:pPr>
          </w:p>
        </w:tc>
        <w:tc>
          <w:tcPr>
            <w:tcW w:w="2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rPr>
            </w:pPr>
            <w:hyperlink r:id="rId127">
              <w:r>
                <w:rPr>
                  <w:rFonts w:ascii="Arial" w:cs="Arial" w:eastAsia="Arial" w:hAnsi="Arial"/>
                  <w:sz w:val="18"/>
                  <w:szCs w:val="18"/>
                  <w:color w:val="0000EE"/>
                </w:rPr>
                <w:t>Commission on September 28, 2020).</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10.2</w:t>
            </w:r>
          </w:p>
        </w:tc>
        <w:tc>
          <w:tcPr>
            <w:tcW w:w="880" w:type="dxa"/>
            <w:vAlign w:val="bottom"/>
          </w:tcPr>
          <w:p>
            <w:pPr>
              <w:spacing w:after="0"/>
              <w:rPr>
                <w:sz w:val="24"/>
                <w:szCs w:val="24"/>
                <w:color w:val="auto"/>
              </w:rPr>
            </w:pPr>
          </w:p>
        </w:tc>
        <w:tc>
          <w:tcPr>
            <w:tcW w:w="9000" w:type="dxa"/>
            <w:vAlign w:val="bottom"/>
            <w:tcBorders>
              <w:bottom w:val="single" w:sz="8" w:color="0000EE"/>
            </w:tcBorders>
            <w:gridSpan w:val="11"/>
          </w:tcPr>
          <w:p>
            <w:pPr>
              <w:spacing w:after="0"/>
              <w:rPr>
                <w:rFonts w:ascii="Arial" w:cs="Arial" w:eastAsia="Arial" w:hAnsi="Arial"/>
                <w:sz w:val="18"/>
                <w:szCs w:val="18"/>
                <w:color w:val="0000EE"/>
                <w:w w:val="91"/>
              </w:rPr>
            </w:pPr>
            <w:hyperlink r:id="rId128">
              <w:r>
                <w:rPr>
                  <w:rFonts w:ascii="Arial" w:cs="Arial" w:eastAsia="Arial" w:hAnsi="Arial"/>
                  <w:sz w:val="18"/>
                  <w:szCs w:val="18"/>
                  <w:color w:val="0000EE"/>
                  <w:w w:val="91"/>
                </w:rPr>
                <w:t>Promissory Note issued to VPC Impact Acquisition Holdings Sponsor, LLC (incorporated by reference to Exhibit 10.6 to the</w:t>
              </w:r>
            </w:hyperlink>
          </w:p>
        </w:tc>
        <w:tc>
          <w:tcPr>
            <w:tcW w:w="6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640" w:type="dxa"/>
            <w:vAlign w:val="bottom"/>
            <w:gridSpan w:val="20"/>
          </w:tcPr>
          <w:p>
            <w:pPr>
              <w:spacing w:after="0" w:line="196" w:lineRule="exact"/>
              <w:rPr>
                <w:rFonts w:ascii="Arial" w:cs="Arial" w:eastAsia="Arial" w:hAnsi="Arial"/>
                <w:sz w:val="18"/>
                <w:szCs w:val="18"/>
                <w:color w:val="0000EE"/>
                <w:w w:val="96"/>
              </w:rPr>
            </w:pPr>
            <w:hyperlink r:id="rId128">
              <w:r>
                <w:rPr>
                  <w:rFonts w:ascii="Arial" w:cs="Arial" w:eastAsia="Arial" w:hAnsi="Arial"/>
                  <w:sz w:val="18"/>
                  <w:szCs w:val="18"/>
                  <w:color w:val="0000EE"/>
                  <w:w w:val="96"/>
                </w:rPr>
                <w:t>Company’s Registration Statement on Amendment No. 1 to the Form S-1 (File No. 333-248619), filed with the Securities and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r:id="rId128">
              <w:r>
                <w:rPr>
                  <w:rFonts w:ascii="Arial" w:cs="Arial" w:eastAsia="Arial" w:hAnsi="Arial"/>
                  <w:sz w:val="18"/>
                  <w:szCs w:val="18"/>
                  <w:color w:val="0000EE"/>
                  <w:w w:val="89"/>
                </w:rPr>
                <w:t>Exchange Commission on September 16, 2020).</w:t>
              </w:r>
            </w:hyperlink>
          </w:p>
        </w:tc>
        <w:tc>
          <w:tcPr>
            <w:tcW w:w="5580" w:type="dxa"/>
            <w:vAlign w:val="bottom"/>
            <w:tcBorders>
              <w:top w:val="single" w:sz="8" w:color="0000EE"/>
            </w:tcBorders>
            <w:gridSpan w:val="8"/>
          </w:tcPr>
          <w:p>
            <w:pPr>
              <w:spacing w:after="0"/>
              <w:rPr>
                <w:sz w:val="17"/>
                <w:szCs w:val="17"/>
                <w:color w:val="auto"/>
              </w:rPr>
            </w:pPr>
          </w:p>
        </w:tc>
        <w:tc>
          <w:tcPr>
            <w:tcW w:w="58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6200" w:type="dxa"/>
            <w:vAlign w:val="bottom"/>
            <w:gridSpan w:val="6"/>
          </w:tcPr>
          <w:p>
            <w:pPr>
              <w:jc w:val="right"/>
              <w:ind w:right="979"/>
              <w:spacing w:after="0"/>
              <w:rPr>
                <w:sz w:val="20"/>
                <w:szCs w:val="20"/>
                <w:color w:val="auto"/>
              </w:rPr>
            </w:pPr>
            <w:r>
              <w:rPr>
                <w:rFonts w:ascii="Arial" w:cs="Arial" w:eastAsia="Arial" w:hAnsi="Arial"/>
                <w:sz w:val="18"/>
                <w:szCs w:val="18"/>
                <w:color w:val="auto"/>
              </w:rPr>
              <w:t>107</w:t>
            </w: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8"/>
              </w:rPr>
              <w:t>Exhibit</w:t>
            </w:r>
          </w:p>
        </w:tc>
        <w:tc>
          <w:tcPr>
            <w:tcW w:w="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200" w:type="dxa"/>
            <w:vAlign w:val="bottom"/>
            <w:gridSpan w:val="25"/>
            <w:vMerge w:val="restart"/>
          </w:tcPr>
          <w:p>
            <w:pPr>
              <w:ind w:left="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220" w:type="dxa"/>
            <w:vAlign w:val="bottom"/>
          </w:tcPr>
          <w:p>
            <w:pPr>
              <w:spacing w:after="0"/>
              <w:rPr>
                <w:sz w:val="15"/>
                <w:szCs w:val="15"/>
                <w:color w:val="auto"/>
              </w:rPr>
            </w:pPr>
          </w:p>
        </w:tc>
        <w:tc>
          <w:tcPr>
            <w:tcW w:w="11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4"/>
              </w:rPr>
              <w:t>Number</w:t>
            </w:r>
          </w:p>
        </w:tc>
        <w:tc>
          <w:tcPr>
            <w:tcW w:w="46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720" w:type="dxa"/>
            <w:vAlign w:val="bottom"/>
            <w:gridSpan w:val="2"/>
          </w:tcPr>
          <w:p>
            <w:pPr>
              <w:spacing w:after="0"/>
              <w:rPr>
                <w:sz w:val="20"/>
                <w:szCs w:val="20"/>
                <w:color w:val="auto"/>
              </w:rPr>
            </w:pPr>
            <w:r>
              <w:rPr>
                <w:rFonts w:ascii="Arial" w:cs="Arial" w:eastAsia="Arial" w:hAnsi="Arial"/>
                <w:sz w:val="18"/>
                <w:szCs w:val="18"/>
                <w:color w:val="auto"/>
              </w:rPr>
              <w:t>10.3</w:t>
            </w:r>
          </w:p>
        </w:tc>
        <w:tc>
          <w:tcPr>
            <w:tcW w:w="640" w:type="dxa"/>
            <w:vAlign w:val="bottom"/>
          </w:tcPr>
          <w:p>
            <w:pPr>
              <w:spacing w:after="0"/>
              <w:rPr>
                <w:sz w:val="23"/>
                <w:szCs w:val="23"/>
                <w:color w:val="auto"/>
              </w:rPr>
            </w:pPr>
          </w:p>
        </w:tc>
        <w:tc>
          <w:tcPr>
            <w:tcW w:w="9660" w:type="dxa"/>
            <w:vAlign w:val="bottom"/>
            <w:gridSpan w:val="29"/>
          </w:tcPr>
          <w:p>
            <w:pPr>
              <w:spacing w:after="0"/>
              <w:rPr>
                <w:rFonts w:ascii="Arial" w:cs="Arial" w:eastAsia="Arial" w:hAnsi="Arial"/>
                <w:sz w:val="18"/>
                <w:szCs w:val="18"/>
                <w:color w:val="0000EE"/>
                <w:w w:val="91"/>
              </w:rPr>
            </w:pPr>
            <w:hyperlink r:id="rId130">
              <w:r>
                <w:rPr>
                  <w:rFonts w:ascii="Arial" w:cs="Arial" w:eastAsia="Arial" w:hAnsi="Arial"/>
                  <w:sz w:val="18"/>
                  <w:szCs w:val="18"/>
                  <w:color w:val="0000EE"/>
                  <w:w w:val="91"/>
                </w:rPr>
                <w:t>Registration Rights Agreement, dated September 22, 2020, by and among the Company, VPC Impact Acquisition Holdings Sponsor,</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00" w:type="dxa"/>
            <w:vAlign w:val="bottom"/>
            <w:tcBorders>
              <w:top w:val="single" w:sz="8" w:color="0000EE"/>
            </w:tcBorders>
            <w:gridSpan w:val="27"/>
          </w:tcPr>
          <w:p>
            <w:pPr>
              <w:spacing w:after="0" w:line="196" w:lineRule="exact"/>
              <w:rPr>
                <w:rFonts w:ascii="Arial" w:cs="Arial" w:eastAsia="Arial" w:hAnsi="Arial"/>
                <w:sz w:val="18"/>
                <w:szCs w:val="18"/>
                <w:color w:val="0000EE"/>
                <w:w w:val="94"/>
              </w:rPr>
            </w:pPr>
            <w:hyperlink r:id="rId130">
              <w:r>
                <w:rPr>
                  <w:rFonts w:ascii="Arial" w:cs="Arial" w:eastAsia="Arial" w:hAnsi="Arial"/>
                  <w:sz w:val="18"/>
                  <w:szCs w:val="18"/>
                  <w:color w:val="0000EE"/>
                  <w:w w:val="94"/>
                </w:rPr>
                <w:t>LLC and the holders party thereto (incorporated by reference to Exhibit 10.3 to the Company’s Current Report on Form 8-K (File</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0"/>
              </w:rPr>
            </w:pPr>
            <w:hyperlink r:id="rId130">
              <w:r>
                <w:rPr>
                  <w:rFonts w:ascii="Arial" w:cs="Arial" w:eastAsia="Arial" w:hAnsi="Arial"/>
                  <w:sz w:val="18"/>
                  <w:szCs w:val="18"/>
                  <w:color w:val="0000EE"/>
                  <w:w w:val="90"/>
                </w:rPr>
                <w:t>No. 001-39544), filed with the Securities and Exchange Commission on September 28, 2020).</w:t>
              </w:r>
            </w:hyperlink>
          </w:p>
        </w:tc>
        <w:tc>
          <w:tcPr>
            <w:tcW w:w="2520" w:type="dxa"/>
            <w:vAlign w:val="bottom"/>
            <w:tcBorders>
              <w:top w:val="single" w:sz="8" w:color="0000EE"/>
            </w:tcBorders>
            <w:gridSpan w:val="10"/>
          </w:tcPr>
          <w:p>
            <w:pPr>
              <w:spacing w:after="0"/>
              <w:rPr>
                <w:sz w:val="17"/>
                <w:szCs w:val="17"/>
                <w:color w:val="auto"/>
              </w:rPr>
            </w:pPr>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w w:val="94"/>
              </w:rPr>
            </w:pPr>
            <w:hyperlink r:id="rId131">
              <w:r>
                <w:rPr>
                  <w:rFonts w:ascii="Arial" w:cs="Arial" w:eastAsia="Arial" w:hAnsi="Arial"/>
                  <w:sz w:val="18"/>
                  <w:szCs w:val="18"/>
                  <w:color w:val="0000EE"/>
                  <w:w w:val="94"/>
                </w:rPr>
                <w:t>Administrative Service Agreement, dated as of September 22, 2020, by and between the Company and VPC Impact Acquisition</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tcBorders>
              <w:top w:val="single" w:sz="8" w:color="0000EE"/>
            </w:tcBorders>
            <w:gridSpan w:val="18"/>
          </w:tcPr>
          <w:p>
            <w:pPr>
              <w:spacing w:after="0" w:line="196" w:lineRule="exact"/>
              <w:rPr>
                <w:rFonts w:ascii="Arial" w:cs="Arial" w:eastAsia="Arial" w:hAnsi="Arial"/>
                <w:sz w:val="18"/>
                <w:szCs w:val="18"/>
                <w:color w:val="0000EE"/>
                <w:w w:val="98"/>
              </w:rPr>
            </w:pPr>
            <w:hyperlink r:id="rId131">
              <w:r>
                <w:rPr>
                  <w:rFonts w:ascii="Arial" w:cs="Arial" w:eastAsia="Arial" w:hAnsi="Arial"/>
                  <w:sz w:val="18"/>
                  <w:szCs w:val="18"/>
                  <w:color w:val="0000EE"/>
                  <w:w w:val="98"/>
                </w:rPr>
                <w:t>Holdings Sponsor, LLC (incorporated by reference to Exhibit 10.5 to the Company’s Current Report on Form 8-K (File</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6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31">
              <w:r>
                <w:rPr>
                  <w:rFonts w:ascii="Arial" w:cs="Arial" w:eastAsia="Arial" w:hAnsi="Arial"/>
                  <w:sz w:val="18"/>
                  <w:szCs w:val="18"/>
                  <w:color w:val="0000EE"/>
                </w:rPr>
                <w:t>No. 001-39544), filed with the Securities and Exchange Commission on September 28, 2020).</w:t>
              </w:r>
            </w:hyperlink>
          </w:p>
        </w:tc>
        <w:tc>
          <w:tcPr>
            <w:tcW w:w="106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10.5</w:t>
            </w:r>
          </w:p>
        </w:tc>
        <w:tc>
          <w:tcPr>
            <w:tcW w:w="64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Arial" w:cs="Arial" w:eastAsia="Arial" w:hAnsi="Arial"/>
                <w:sz w:val="18"/>
                <w:szCs w:val="18"/>
                <w:color w:val="0000EE"/>
                <w:w w:val="90"/>
              </w:rPr>
            </w:pPr>
            <w:hyperlink r:id="rId132">
              <w:r>
                <w:rPr>
                  <w:rFonts w:ascii="Arial" w:cs="Arial" w:eastAsia="Arial" w:hAnsi="Arial"/>
                  <w:sz w:val="18"/>
                  <w:szCs w:val="18"/>
                  <w:color w:val="0000EE"/>
                  <w:w w:val="90"/>
                </w:rPr>
                <w:t>Securities Subscription Agreement, dated as of August 3, 2020, by and between the Company and VPC Impact Acquisition Holding</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8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r:id="rId132">
              <w:r>
                <w:rPr>
                  <w:rFonts w:ascii="Arial" w:cs="Arial" w:eastAsia="Arial" w:hAnsi="Arial"/>
                  <w:sz w:val="18"/>
                  <w:szCs w:val="18"/>
                  <w:color w:val="0000EE"/>
                  <w:w w:val="91"/>
                </w:rPr>
                <w:t>Sponsor, LLC (incorporated by reference to Exhibit 10.7 to the Company’s Registration Statement on Amendment No. 1 to the Form</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5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S-1 (File No. 333-248619), filed with the Securities and Exchange Commission on September 16, 2020).</w:t>
              </w:r>
            </w:hyperlink>
          </w:p>
        </w:tc>
        <w:tc>
          <w:tcPr>
            <w:tcW w:w="21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w w:val="93"/>
              </w:rPr>
            </w:pPr>
            <w:hyperlink r:id="rId133">
              <w:r>
                <w:rPr>
                  <w:rFonts w:ascii="Arial" w:cs="Arial" w:eastAsia="Arial" w:hAnsi="Arial"/>
                  <w:sz w:val="18"/>
                  <w:szCs w:val="18"/>
                  <w:color w:val="0000EE"/>
                  <w:w w:val="93"/>
                </w:rPr>
                <w:t>Form of Indemnity Agreement (incorporated by reference to Exhibit 10.5 to the Company’s Registration Statement on Amendment</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40" w:type="dxa"/>
            <w:vAlign w:val="bottom"/>
            <w:tcBorders>
              <w:top w:val="single" w:sz="8" w:color="0000EE"/>
            </w:tcBorders>
            <w:gridSpan w:val="22"/>
          </w:tcPr>
          <w:p>
            <w:pPr>
              <w:spacing w:after="0" w:line="196" w:lineRule="exact"/>
              <w:rPr>
                <w:rFonts w:ascii="Arial" w:cs="Arial" w:eastAsia="Arial" w:hAnsi="Arial"/>
                <w:sz w:val="18"/>
                <w:szCs w:val="18"/>
                <w:color w:val="0000EE"/>
                <w:w w:val="96"/>
              </w:rPr>
            </w:pPr>
            <w:hyperlink r:id="rId133">
              <w:r>
                <w:rPr>
                  <w:rFonts w:ascii="Arial" w:cs="Arial" w:eastAsia="Arial" w:hAnsi="Arial"/>
                  <w:sz w:val="18"/>
                  <w:szCs w:val="18"/>
                  <w:color w:val="0000EE"/>
                  <w:w w:val="96"/>
                </w:rPr>
                <w:t>No. 1 to the Form S-1 (File No. 333-248619), filed with the Securities and Exchange Commission on September 16, 2020).</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w w:val="91"/>
              </w:rPr>
            </w:pPr>
            <w:hyperlink r:id="rId134">
              <w:r>
                <w:rPr>
                  <w:rFonts w:ascii="Arial" w:cs="Arial" w:eastAsia="Arial" w:hAnsi="Arial"/>
                  <w:sz w:val="18"/>
                  <w:szCs w:val="18"/>
                  <w:color w:val="0000EE"/>
                  <w:w w:val="91"/>
                </w:rPr>
                <w:t>Amendment to the Letter Agreement, dated as of January 11, 2021, by and among the Registrant, its executive officers, its directors,</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6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VPC Impact Acquisition Holdings Sponsor, LLC, and Bakkt Holdings, Inc. (incorporated by reference to Exhibit 10.3 to the</w:t>
              </w:r>
            </w:hyperlink>
          </w:p>
        </w:tc>
        <w:tc>
          <w:tcPr>
            <w:tcW w:w="600" w:type="dxa"/>
            <w:vAlign w:val="bottom"/>
            <w:tcBorders>
              <w:top w:val="single" w:sz="8" w:color="0000EE"/>
            </w:tcBorders>
            <w:gridSpan w:val="8"/>
          </w:tcPr>
          <w:p>
            <w:pPr>
              <w:spacing w:after="0"/>
              <w:rPr>
                <w:sz w:val="17"/>
                <w:szCs w:val="17"/>
                <w:color w:val="auto"/>
              </w:rPr>
            </w:pPr>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gridSpan w:val="29"/>
          </w:tcPr>
          <w:p>
            <w:pPr>
              <w:spacing w:after="0" w:line="196" w:lineRule="exact"/>
              <w:rPr>
                <w:rFonts w:ascii="Arial" w:cs="Arial" w:eastAsia="Arial" w:hAnsi="Arial"/>
                <w:sz w:val="18"/>
                <w:szCs w:val="18"/>
                <w:color w:val="0000EE"/>
                <w:w w:val="93"/>
              </w:rPr>
            </w:pPr>
            <w:hyperlink r:id="rId134">
              <w:r>
                <w:rPr>
                  <w:rFonts w:ascii="Arial" w:cs="Arial" w:eastAsia="Arial" w:hAnsi="Arial"/>
                  <w:sz w:val="18"/>
                  <w:szCs w:val="18"/>
                  <w:color w:val="0000EE"/>
                  <w:w w:val="93"/>
                </w:rPr>
                <w:t>Company’s Current Report on Form 8-K (File No. 001-39544), filed with the Securities and Exchange Commission on January 11,</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134">
              <w:r>
                <w:rPr>
                  <w:rFonts w:ascii="Arial" w:cs="Arial" w:eastAsia="Arial" w:hAnsi="Arial"/>
                  <w:sz w:val="18"/>
                  <w:szCs w:val="18"/>
                  <w:color w:val="0000EE"/>
                  <w:w w:val="86"/>
                </w:rPr>
                <w:t>2021).</w:t>
              </w:r>
            </w:hyperlink>
          </w:p>
        </w:tc>
        <w:tc>
          <w:tcPr>
            <w:tcW w:w="23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5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9300" w:type="dxa"/>
            <w:vAlign w:val="bottom"/>
            <w:tcBorders>
              <w:bottom w:val="single" w:sz="8" w:color="0000EE"/>
            </w:tcBorders>
            <w:gridSpan w:val="19"/>
          </w:tcPr>
          <w:p>
            <w:pPr>
              <w:spacing w:after="0"/>
              <w:rPr>
                <w:rFonts w:ascii="Arial" w:cs="Arial" w:eastAsia="Arial" w:hAnsi="Arial"/>
                <w:sz w:val="18"/>
                <w:szCs w:val="18"/>
                <w:color w:val="0000EE"/>
                <w:w w:val="89"/>
              </w:rPr>
            </w:pPr>
            <w:hyperlink r:id="rId135">
              <w:r>
                <w:rPr>
                  <w:rFonts w:ascii="Arial" w:cs="Arial" w:eastAsia="Arial" w:hAnsi="Arial"/>
                  <w:sz w:val="18"/>
                  <w:szCs w:val="18"/>
                  <w:color w:val="0000EE"/>
                  <w:w w:val="89"/>
                </w:rPr>
                <w:t>Support Agreement, dated as of January 11, 2021, by and among the Company and the subscribers party thereto (incorporated by</w:t>
              </w:r>
            </w:hyperlink>
          </w:p>
        </w:tc>
        <w:tc>
          <w:tcPr>
            <w:tcW w:w="3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60" w:type="dxa"/>
            <w:vAlign w:val="bottom"/>
            <w:gridSpan w:val="29"/>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reference to Exhibit 10.2 to the Company’s Current Report on Form 8-K (File No. 001-39544), filed with the Securities and</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Exchange Commission on January 11, 2021).</w:t>
              </w:r>
            </w:hyperlink>
          </w:p>
        </w:tc>
        <w:tc>
          <w:tcPr>
            <w:tcW w:w="7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28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w w:val="91"/>
              </w:rPr>
            </w:pPr>
            <w:hyperlink r:id="rId135">
              <w:r>
                <w:rPr>
                  <w:rFonts w:ascii="Arial" w:cs="Arial" w:eastAsia="Arial" w:hAnsi="Arial"/>
                  <w:sz w:val="18"/>
                  <w:szCs w:val="18"/>
                  <w:color w:val="0000EE"/>
                  <w:w w:val="91"/>
                </w:rPr>
                <w:t>Support Agreement, dated as of January 11, 2021, by and among the Registrant, Intercontinental Exchange Holdings, Inc. and Bakkt</w:t>
              </w:r>
            </w:hyperlink>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60" w:type="dxa"/>
            <w:vAlign w:val="bottom"/>
            <w:gridSpan w:val="5"/>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640" w:type="dxa"/>
            <w:vAlign w:val="bottom"/>
            <w:tcBorders>
              <w:bottom w:val="single" w:sz="8" w:color="0000EE"/>
            </w:tcBorders>
            <w:gridSpan w:val="28"/>
          </w:tcPr>
          <w:p>
            <w:pPr>
              <w:spacing w:after="0" w:line="196" w:lineRule="exact"/>
              <w:rPr>
                <w:rFonts w:ascii="Arial" w:cs="Arial" w:eastAsia="Arial" w:hAnsi="Arial"/>
                <w:sz w:val="18"/>
                <w:szCs w:val="18"/>
                <w:color w:val="0000EE"/>
                <w:w w:val="92"/>
              </w:rPr>
            </w:pPr>
            <w:hyperlink r:id="rId135">
              <w:r>
                <w:rPr>
                  <w:rFonts w:ascii="Arial" w:cs="Arial" w:eastAsia="Arial" w:hAnsi="Arial"/>
                  <w:sz w:val="18"/>
                  <w:szCs w:val="18"/>
                  <w:color w:val="0000EE"/>
                  <w:w w:val="92"/>
                </w:rPr>
                <w:t>Holdings, LLC. (incorporated by reference to Exhibit 10.2 to the Company’s Current Report on Form 8-K (File No. 001-39544), filed</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with the Securities and Exchange Commission on January 11, 2021).</w:t>
              </w:r>
            </w:hyperlink>
          </w:p>
        </w:tc>
        <w:tc>
          <w:tcPr>
            <w:tcW w:w="470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w w:val="95"/>
              </w:rPr>
            </w:pPr>
            <w:hyperlink r:id="rId135">
              <w:r>
                <w:rPr>
                  <w:rFonts w:ascii="Arial" w:cs="Arial" w:eastAsia="Arial" w:hAnsi="Arial"/>
                  <w:sz w:val="18"/>
                  <w:szCs w:val="18"/>
                  <w:color w:val="0000EE"/>
                  <w:w w:val="95"/>
                </w:rPr>
                <w:t>Form of Subscription Agreement (incorporated by reference to Exhibit 10.1 to the Company’s Current Report on Form 8-K (File</w:t>
              </w:r>
            </w:hyperlink>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2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No. 001-39544), filed with the Securities and Exchange Commission on January 11, 2021).</w:t>
              </w:r>
            </w:hyperlink>
          </w:p>
        </w:tc>
        <w:tc>
          <w:tcPr>
            <w:tcW w:w="40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14**</w:t>
            </w:r>
          </w:p>
        </w:tc>
        <w:tc>
          <w:tcPr>
            <w:tcW w:w="640" w:type="dxa"/>
            <w:vAlign w:val="bottom"/>
          </w:tcPr>
          <w:p>
            <w:pPr>
              <w:spacing w:after="0"/>
              <w:rPr>
                <w:sz w:val="24"/>
                <w:szCs w:val="24"/>
                <w:color w:val="auto"/>
              </w:rPr>
            </w:pPr>
          </w:p>
        </w:tc>
        <w:tc>
          <w:tcPr>
            <w:tcW w:w="2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r:id="rId136">
              <w:r>
                <w:rPr>
                  <w:rFonts w:ascii="Arial" w:cs="Arial" w:eastAsia="Arial" w:hAnsi="Arial"/>
                  <w:sz w:val="18"/>
                  <w:szCs w:val="18"/>
                  <w:color w:val="0000EE"/>
                  <w:w w:val="89"/>
                </w:rPr>
                <w:t>Code of Business Conduct and Ethics.</w:t>
              </w:r>
            </w:hyperlink>
          </w:p>
        </w:tc>
        <w:tc>
          <w:tcPr>
            <w:tcW w:w="3800" w:type="dxa"/>
            <w:vAlign w:val="bottom"/>
            <w:tcBorders>
              <w:top w:val="single" w:sz="8" w:color="0000EE"/>
            </w:tcBorders>
            <w:gridSpan w:val="6"/>
          </w:tcPr>
          <w:p>
            <w:pPr>
              <w:spacing w:after="0"/>
              <w:rPr>
                <w:sz w:val="24"/>
                <w:szCs w:val="24"/>
                <w:color w:val="auto"/>
              </w:rPr>
            </w:pPr>
          </w:p>
        </w:tc>
        <w:tc>
          <w:tcPr>
            <w:tcW w:w="3100" w:type="dxa"/>
            <w:vAlign w:val="bottom"/>
            <w:gridSpan w:val="2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24*</w:t>
            </w:r>
          </w:p>
        </w:tc>
        <w:tc>
          <w:tcPr>
            <w:tcW w:w="640" w:type="dxa"/>
            <w:vAlign w:val="bottom"/>
          </w:tcPr>
          <w:p>
            <w:pPr>
              <w:spacing w:after="0"/>
              <w:rPr>
                <w:sz w:val="24"/>
                <w:szCs w:val="24"/>
                <w:color w:val="auto"/>
              </w:rPr>
            </w:pPr>
          </w:p>
        </w:tc>
        <w:tc>
          <w:tcPr>
            <w:tcW w:w="446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110">
              <w:r>
                <w:rPr>
                  <w:rFonts w:ascii="Arial" w:cs="Arial" w:eastAsia="Arial" w:hAnsi="Arial"/>
                  <w:sz w:val="18"/>
                  <w:szCs w:val="18"/>
                  <w:color w:val="0000EE"/>
                  <w:w w:val="91"/>
                </w:rPr>
                <w:t>Power of Attorney (included on signature page of this report).</w:t>
              </w:r>
            </w:hyperlink>
          </w:p>
        </w:tc>
        <w:tc>
          <w:tcPr>
            <w:tcW w:w="5200" w:type="dxa"/>
            <w:vAlign w:val="bottom"/>
            <w:gridSpan w:val="2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31.1*</w:t>
            </w:r>
          </w:p>
        </w:tc>
        <w:tc>
          <w:tcPr>
            <w:tcW w:w="640" w:type="dxa"/>
            <w:vAlign w:val="bottom"/>
          </w:tcPr>
          <w:p>
            <w:pPr>
              <w:spacing w:after="0"/>
              <w:rPr>
                <w:sz w:val="24"/>
                <w:szCs w:val="24"/>
                <w:color w:val="auto"/>
              </w:rPr>
            </w:pPr>
          </w:p>
        </w:tc>
        <w:tc>
          <w:tcPr>
            <w:tcW w:w="652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Certification of the Chief Executive Officer required by Rule 13a-14(a) or Rule 15d-14(a).</w:t>
              </w:r>
            </w:hyperlink>
          </w:p>
        </w:tc>
        <w:tc>
          <w:tcPr>
            <w:tcW w:w="314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31.2*</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rPr>
            </w:pPr>
            <w:hyperlink w:anchor="page112">
              <w:r>
                <w:rPr>
                  <w:rFonts w:ascii="Arial" w:cs="Arial" w:eastAsia="Arial" w:hAnsi="Arial"/>
                  <w:sz w:val="18"/>
                  <w:szCs w:val="18"/>
                  <w:color w:val="0000EE"/>
                </w:rPr>
                <w:t>Certification of the Chief Financial Officer required by Rule 13a-14(a) or Rule 15d-14(a).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60" w:type="dxa"/>
            <w:vAlign w:val="bottom"/>
            <w:gridSpan w:val="6"/>
            <w:shd w:val="clear" w:color="auto" w:fill="0000EE"/>
          </w:tcPr>
          <w:p>
            <w:pPr>
              <w:spacing w:after="0" w:line="20" w:lineRule="exact"/>
              <w:rPr>
                <w:sz w:val="1"/>
                <w:szCs w:val="1"/>
                <w:color w:val="auto"/>
              </w:rPr>
            </w:pPr>
          </w:p>
        </w:tc>
        <w:tc>
          <w:tcPr>
            <w:tcW w:w="15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32.1*</w:t>
            </w:r>
          </w:p>
        </w:tc>
        <w:tc>
          <w:tcPr>
            <w:tcW w:w="640" w:type="dxa"/>
            <w:vAlign w:val="bottom"/>
          </w:tcPr>
          <w:p>
            <w:pPr>
              <w:spacing w:after="0"/>
              <w:rPr>
                <w:sz w:val="24"/>
                <w:szCs w:val="24"/>
                <w:color w:val="auto"/>
              </w:rPr>
            </w:pPr>
          </w:p>
        </w:tc>
        <w:tc>
          <w:tcPr>
            <w:tcW w:w="9660" w:type="dxa"/>
            <w:vAlign w:val="bottom"/>
            <w:gridSpan w:val="2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Certification of the Chief Executive Officer required by Rule 13a-14(b) or Rule 15d-14(b) and 18 U.S.C. 1350.</w:t>
              </w:r>
            </w:hyperlink>
          </w:p>
        </w:tc>
        <w:tc>
          <w:tcPr>
            <w:tcW w:w="0" w:type="dxa"/>
            <w:vAlign w:val="bottom"/>
          </w:tcPr>
          <w:p>
            <w:pPr>
              <w:spacing w:after="0"/>
              <w:rPr>
                <w:sz w:val="1"/>
                <w:szCs w:val="1"/>
                <w:color w:val="auto"/>
              </w:rPr>
            </w:pPr>
          </w:p>
        </w:tc>
      </w:tr>
      <w:tr>
        <w:trPr>
          <w:trHeight w:val="304"/>
        </w:trPr>
        <w:tc>
          <w:tcPr>
            <w:tcW w:w="720" w:type="dxa"/>
            <w:vAlign w:val="bottom"/>
            <w:gridSpan w:val="2"/>
          </w:tcPr>
          <w:p>
            <w:pPr>
              <w:spacing w:after="0"/>
              <w:rPr>
                <w:sz w:val="20"/>
                <w:szCs w:val="20"/>
                <w:color w:val="auto"/>
              </w:rPr>
            </w:pPr>
            <w:r>
              <w:rPr>
                <w:rFonts w:ascii="Arial" w:cs="Arial" w:eastAsia="Arial" w:hAnsi="Arial"/>
                <w:sz w:val="18"/>
                <w:szCs w:val="18"/>
                <w:color w:val="auto"/>
              </w:rPr>
              <w:t>32.2*</w:t>
            </w:r>
          </w:p>
        </w:tc>
        <w:tc>
          <w:tcPr>
            <w:tcW w:w="640" w:type="dxa"/>
            <w:vAlign w:val="bottom"/>
          </w:tcPr>
          <w:p>
            <w:pPr>
              <w:spacing w:after="0"/>
              <w:rPr>
                <w:sz w:val="24"/>
                <w:szCs w:val="24"/>
                <w:color w:val="auto"/>
              </w:rPr>
            </w:pPr>
          </w:p>
        </w:tc>
        <w:tc>
          <w:tcPr>
            <w:tcW w:w="79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114">
              <w:r>
                <w:rPr>
                  <w:rFonts w:ascii="Arial" w:cs="Arial" w:eastAsia="Arial" w:hAnsi="Arial"/>
                  <w:sz w:val="18"/>
                  <w:szCs w:val="18"/>
                  <w:color w:val="0000EE"/>
                  <w:w w:val="92"/>
                </w:rPr>
                <w:t>Certification of the Chief Financial Officer required by Rule 13a-14(b) or Rule 15d-14(b) and 18 U.S.C. 1350.</w:t>
              </w:r>
            </w:hyperlink>
          </w:p>
        </w:tc>
        <w:tc>
          <w:tcPr>
            <w:tcW w:w="40" w:type="dxa"/>
            <w:vAlign w:val="bottom"/>
            <w:tcBorders>
              <w:top w:val="single" w:sz="8" w:color="0000EE"/>
            </w:tcBorders>
          </w:tcPr>
          <w:p>
            <w:pPr>
              <w:spacing w:after="0"/>
              <w:rPr>
                <w:sz w:val="24"/>
                <w:szCs w:val="24"/>
                <w:color w:val="auto"/>
              </w:rPr>
            </w:pPr>
          </w:p>
        </w:tc>
        <w:tc>
          <w:tcPr>
            <w:tcW w:w="16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360" w:type="dxa"/>
            <w:vAlign w:val="bottom"/>
            <w:gridSpan w:val="3"/>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29"/>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1360" w:type="dxa"/>
            <w:vAlign w:val="bottom"/>
            <w:gridSpan w:val="3"/>
          </w:tcPr>
          <w:p>
            <w:pPr>
              <w:jc w:val="center"/>
              <w:ind w:right="420"/>
              <w:spacing w:after="0"/>
              <w:rPr>
                <w:sz w:val="20"/>
                <w:szCs w:val="20"/>
                <w:color w:val="auto"/>
              </w:rPr>
            </w:pPr>
            <w:r>
              <w:rPr>
                <w:rFonts w:ascii="Arial" w:cs="Arial" w:eastAsia="Arial" w:hAnsi="Arial"/>
                <w:sz w:val="18"/>
                <w:szCs w:val="18"/>
                <w:color w:val="auto"/>
                <w:w w:val="99"/>
              </w:rPr>
              <w:t>101.SCH***</w:t>
            </w:r>
          </w:p>
        </w:tc>
        <w:tc>
          <w:tcPr>
            <w:tcW w:w="9660" w:type="dxa"/>
            <w:vAlign w:val="bottom"/>
            <w:gridSpan w:val="29"/>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360" w:type="dxa"/>
            <w:vAlign w:val="bottom"/>
            <w:gridSpan w:val="3"/>
          </w:tcPr>
          <w:p>
            <w:pPr>
              <w:jc w:val="center"/>
              <w:ind w:right="420"/>
              <w:spacing w:after="0"/>
              <w:rPr>
                <w:sz w:val="20"/>
                <w:szCs w:val="20"/>
                <w:color w:val="auto"/>
              </w:rPr>
            </w:pPr>
            <w:r>
              <w:rPr>
                <w:rFonts w:ascii="Arial" w:cs="Arial" w:eastAsia="Arial" w:hAnsi="Arial"/>
                <w:sz w:val="18"/>
                <w:szCs w:val="18"/>
                <w:color w:val="auto"/>
              </w:rPr>
              <w:t>101.CAL***</w:t>
            </w:r>
          </w:p>
        </w:tc>
        <w:tc>
          <w:tcPr>
            <w:tcW w:w="9660" w:type="dxa"/>
            <w:vAlign w:val="bottom"/>
            <w:gridSpan w:val="29"/>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360" w:type="dxa"/>
            <w:vAlign w:val="bottom"/>
            <w:gridSpan w:val="3"/>
          </w:tcPr>
          <w:p>
            <w:pPr>
              <w:jc w:val="center"/>
              <w:ind w:right="440"/>
              <w:spacing w:after="0"/>
              <w:rPr>
                <w:sz w:val="20"/>
                <w:szCs w:val="20"/>
                <w:color w:val="auto"/>
              </w:rPr>
            </w:pPr>
            <w:r>
              <w:rPr>
                <w:rFonts w:ascii="Arial" w:cs="Arial" w:eastAsia="Arial" w:hAnsi="Arial"/>
                <w:sz w:val="18"/>
                <w:szCs w:val="18"/>
                <w:color w:val="auto"/>
                <w:w w:val="99"/>
              </w:rPr>
              <w:t>101.DEF***</w:t>
            </w:r>
          </w:p>
        </w:tc>
        <w:tc>
          <w:tcPr>
            <w:tcW w:w="9660" w:type="dxa"/>
            <w:vAlign w:val="bottom"/>
            <w:gridSpan w:val="29"/>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64"/>
        </w:trPr>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4"/>
          </w:tcPr>
          <w:p>
            <w:pPr>
              <w:ind w:left="4000"/>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 w:type="dxa"/>
            <w:vAlign w:val="bottom"/>
          </w:tcPr>
          <w:p>
            <w:pPr>
              <w:spacing w:after="0"/>
              <w:rPr>
                <w:sz w:val="14"/>
                <w:szCs w:val="14"/>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Exhibit</w:t>
            </w:r>
          </w:p>
        </w:tc>
        <w:tc>
          <w:tcPr>
            <w:tcW w:w="200" w:type="dxa"/>
            <w:vAlign w:val="bottom"/>
          </w:tcPr>
          <w:p>
            <w:pPr>
              <w:spacing w:after="0"/>
              <w:rPr>
                <w:sz w:val="14"/>
                <w:szCs w:val="14"/>
                <w:color w:val="auto"/>
              </w:rPr>
            </w:pPr>
          </w:p>
        </w:tc>
        <w:tc>
          <w:tcPr>
            <w:tcW w:w="9660" w:type="dxa"/>
            <w:vAlign w:val="bottom"/>
            <w:vMerge w:val="restart"/>
          </w:tcPr>
          <w:p>
            <w:pPr>
              <w:ind w:left="4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9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Number</w:t>
            </w:r>
          </w:p>
        </w:tc>
        <w:tc>
          <w:tcPr>
            <w:tcW w:w="200" w:type="dxa"/>
            <w:vAlign w:val="bottom"/>
          </w:tcPr>
          <w:p>
            <w:pPr>
              <w:spacing w:after="0"/>
              <w:rPr>
                <w:sz w:val="15"/>
                <w:szCs w:val="15"/>
                <w:color w:val="auto"/>
              </w:rPr>
            </w:pPr>
          </w:p>
        </w:tc>
        <w:tc>
          <w:tcPr>
            <w:tcW w:w="96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1160" w:type="dxa"/>
            <w:vAlign w:val="bottom"/>
            <w:gridSpan w:val="3"/>
          </w:tcPr>
          <w:p>
            <w:pPr>
              <w:jc w:val="center"/>
              <w:ind w:right="220"/>
              <w:spacing w:after="0"/>
              <w:rPr>
                <w:sz w:val="20"/>
                <w:szCs w:val="20"/>
                <w:color w:val="auto"/>
              </w:rPr>
            </w:pPr>
            <w:r>
              <w:rPr>
                <w:rFonts w:ascii="Arial" w:cs="Arial" w:eastAsia="Arial" w:hAnsi="Arial"/>
                <w:sz w:val="18"/>
                <w:szCs w:val="18"/>
                <w:color w:val="auto"/>
              </w:rPr>
              <w:t>101.LAB***</w:t>
            </w:r>
          </w:p>
        </w:tc>
        <w:tc>
          <w:tcPr>
            <w:tcW w:w="98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16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101.PRE***</w:t>
            </w:r>
          </w:p>
        </w:tc>
        <w:tc>
          <w:tcPr>
            <w:tcW w:w="9860" w:type="dxa"/>
            <w:vAlign w:val="bottom"/>
            <w:gridSpan w:val="2"/>
          </w:tcPr>
          <w:p>
            <w:pPr>
              <w:ind w:left="20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80" w:hanging="424"/>
        <w:spacing w:after="0" w:line="258"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Incorporated by reference to the Original 10-K, filed with the SEC on March 31, 2021.</w:t>
      </w:r>
    </w:p>
    <w:p>
      <w:pPr>
        <w:spacing w:after="0" w:line="9"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r>
              <w:rPr>
                <w:rFonts w:ascii="Arial" w:cs="Arial" w:eastAsia="Arial" w:hAnsi="Arial"/>
                <w:sz w:val="18"/>
                <w:szCs w:val="18"/>
                <w:color w:val="auto"/>
              </w:rPr>
              <w:t>Date: May 21, 2021</w:t>
            </w:r>
          </w:p>
        </w:tc>
        <w:tc>
          <w:tcPr>
            <w:tcW w:w="7720" w:type="dxa"/>
            <w:vAlign w:val="bottom"/>
            <w:gridSpan w:val="2"/>
          </w:tcPr>
          <w:p>
            <w:pPr>
              <w:ind w:left="1860"/>
              <w:spacing w:after="0"/>
              <w:rPr>
                <w:sz w:val="20"/>
                <w:szCs w:val="20"/>
                <w:color w:val="auto"/>
              </w:rPr>
            </w:pPr>
            <w:r>
              <w:rPr>
                <w:rFonts w:ascii="Arial" w:cs="Arial" w:eastAsia="Arial" w:hAnsi="Arial"/>
                <w:sz w:val="18"/>
                <w:szCs w:val="18"/>
                <w:b w:val="1"/>
                <w:bCs w:val="1"/>
                <w:color w:val="auto"/>
              </w:rPr>
              <w:t>VPC Impact Acquisition Holdings</w:t>
            </w:r>
          </w:p>
        </w:tc>
      </w:tr>
      <w:tr>
        <w:trPr>
          <w:trHeight w:val="432"/>
        </w:trPr>
        <w:tc>
          <w:tcPr>
            <w:tcW w:w="3300" w:type="dxa"/>
            <w:vAlign w:val="bottom"/>
          </w:tcPr>
          <w:p>
            <w:pPr>
              <w:spacing w:after="0"/>
              <w:rPr>
                <w:sz w:val="24"/>
                <w:szCs w:val="24"/>
                <w:color w:val="auto"/>
              </w:rPr>
            </w:pPr>
          </w:p>
        </w:tc>
        <w:tc>
          <w:tcPr>
            <w:tcW w:w="2540" w:type="dxa"/>
            <w:vAlign w:val="bottom"/>
          </w:tcPr>
          <w:p>
            <w:pPr>
              <w:ind w:left="186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r>
      <w:tr>
        <w:trPr>
          <w:trHeight w:val="209"/>
        </w:trPr>
        <w:tc>
          <w:tcPr>
            <w:tcW w:w="33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Name: John Martin</w:t>
            </w:r>
          </w:p>
        </w:tc>
      </w:tr>
      <w:tr>
        <w:trPr>
          <w:trHeight w:val="230"/>
        </w:trPr>
        <w:tc>
          <w:tcPr>
            <w:tcW w:w="3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 Chief Executive Officer and Chairman</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John Martin, Gordon Watson and Olibia Stamatoglou, and each or any one of them,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United States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substitutes or substitute, may lawfully do or cause to be done by virtue hereof.</w:t>
      </w:r>
    </w:p>
    <w:p>
      <w:pPr>
        <w:spacing w:after="0" w:line="1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Martin</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Executive Officer and Chairman</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John Martin</w:t>
            </w:r>
          </w:p>
        </w:tc>
        <w:tc>
          <w:tcPr>
            <w:tcW w:w="388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16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Gordon Watson</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Operating Officer and President</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Gordon Watson</w:t>
            </w:r>
          </w:p>
        </w:tc>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Olibia Stamatoglou</w:t>
            </w:r>
          </w:p>
        </w:tc>
        <w:tc>
          <w:tcPr>
            <w:tcW w:w="3880" w:type="dxa"/>
            <w:vAlign w:val="bottom"/>
          </w:tcPr>
          <w:p>
            <w:pPr>
              <w:ind w:left="120"/>
              <w:spacing w:after="0"/>
              <w:rPr>
                <w:sz w:val="20"/>
                <w:szCs w:val="20"/>
                <w:color w:val="auto"/>
              </w:rPr>
            </w:pPr>
            <w:r>
              <w:rPr>
                <w:rFonts w:ascii="Arial" w:cs="Arial" w:eastAsia="Arial" w:hAnsi="Arial"/>
                <w:sz w:val="18"/>
                <w:szCs w:val="18"/>
                <w:color w:val="auto"/>
              </w:rPr>
              <w:t>Chief Financial Officer</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Olibia Stamatoglou</w:t>
            </w:r>
          </w:p>
        </w:tc>
        <w:tc>
          <w:tcPr>
            <w:tcW w:w="3880" w:type="dxa"/>
            <w:vAlign w:val="bottom"/>
          </w:tcPr>
          <w:p>
            <w:pPr>
              <w:ind w:left="120"/>
              <w:spacing w:after="0"/>
              <w:rPr>
                <w:sz w:val="20"/>
                <w:szCs w:val="20"/>
                <w:color w:val="auto"/>
              </w:rPr>
            </w:pPr>
            <w:r>
              <w:rPr>
                <w:rFonts w:ascii="Arial" w:cs="Arial" w:eastAsia="Arial" w:hAnsi="Arial"/>
                <w:sz w:val="18"/>
                <w:szCs w:val="18"/>
                <w:color w:val="auto"/>
              </w:rPr>
              <w:t>(principal financial and accounting officer)</w:t>
            </w:r>
          </w:p>
        </w:tc>
        <w:tc>
          <w:tcPr>
            <w:tcW w:w="16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Adrienne Harris</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Adrienne Harris</w:t>
            </w:r>
          </w:p>
        </w:tc>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Kai Schmitz</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Kai Schmitz</w:t>
            </w:r>
          </w:p>
        </w:tc>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431"/>
        </w:trPr>
        <w:tc>
          <w:tcPr>
            <w:tcW w:w="4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Kurt Summers</w:t>
            </w:r>
          </w:p>
        </w:tc>
        <w:tc>
          <w:tcPr>
            <w:tcW w:w="3880" w:type="dxa"/>
            <w:vAlign w:val="bottom"/>
          </w:tcPr>
          <w:p>
            <w:pPr>
              <w:ind w:left="120"/>
              <w:spacing w:after="0"/>
              <w:rPr>
                <w:sz w:val="20"/>
                <w:szCs w:val="20"/>
                <w:color w:val="auto"/>
              </w:rPr>
            </w:pPr>
            <w:r>
              <w:rPr>
                <w:rFonts w:ascii="Arial" w:cs="Arial" w:eastAsia="Arial" w:hAnsi="Arial"/>
                <w:sz w:val="18"/>
                <w:szCs w:val="18"/>
                <w:color w:val="auto"/>
              </w:rPr>
              <w:t>Director</w:t>
            </w:r>
          </w:p>
        </w:tc>
        <w:tc>
          <w:tcPr>
            <w:tcW w:w="1660" w:type="dxa"/>
            <w:vAlign w:val="bottom"/>
          </w:tcPr>
          <w:p>
            <w:pPr>
              <w:ind w:left="640"/>
              <w:spacing w:after="0"/>
              <w:rPr>
                <w:sz w:val="20"/>
                <w:szCs w:val="20"/>
                <w:color w:val="auto"/>
              </w:rPr>
            </w:pPr>
            <w:r>
              <w:rPr>
                <w:rFonts w:ascii="Arial" w:cs="Arial" w:eastAsia="Arial" w:hAnsi="Arial"/>
                <w:sz w:val="18"/>
                <w:szCs w:val="18"/>
                <w:color w:val="auto"/>
                <w:w w:val="91"/>
              </w:rPr>
              <w:t>May 21, 2021</w:t>
            </w:r>
          </w:p>
        </w:tc>
      </w:tr>
      <w:tr>
        <w:trPr>
          <w:trHeight w:val="224"/>
        </w:trPr>
        <w:tc>
          <w:tcPr>
            <w:tcW w:w="4620" w:type="dxa"/>
            <w:vAlign w:val="bottom"/>
          </w:tcPr>
          <w:p>
            <w:pPr>
              <w:spacing w:after="0"/>
              <w:rPr>
                <w:sz w:val="20"/>
                <w:szCs w:val="20"/>
                <w:color w:val="auto"/>
              </w:rPr>
            </w:pPr>
            <w:r>
              <w:rPr>
                <w:rFonts w:ascii="Arial" w:cs="Arial" w:eastAsia="Arial" w:hAnsi="Arial"/>
                <w:sz w:val="18"/>
                <w:szCs w:val="18"/>
                <w:color w:val="auto"/>
              </w:rPr>
              <w:t>Kurt Summers</w:t>
            </w:r>
          </w:p>
        </w:tc>
        <w:tc>
          <w:tcPr>
            <w:tcW w:w="38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364"/>
        </w:trPr>
        <w:tc>
          <w:tcPr>
            <w:tcW w:w="4620" w:type="dxa"/>
            <w:vAlign w:val="bottom"/>
          </w:tcPr>
          <w:p>
            <w:pPr>
              <w:spacing w:after="0"/>
              <w:rPr>
                <w:sz w:val="24"/>
                <w:szCs w:val="24"/>
                <w:color w:val="auto"/>
              </w:rPr>
            </w:pPr>
          </w:p>
        </w:tc>
        <w:tc>
          <w:tcPr>
            <w:tcW w:w="3880" w:type="dxa"/>
            <w:vAlign w:val="bottom"/>
          </w:tcPr>
          <w:p>
            <w:pPr>
              <w:ind w:left="760"/>
              <w:spacing w:after="0"/>
              <w:rPr>
                <w:sz w:val="20"/>
                <w:szCs w:val="20"/>
                <w:color w:val="auto"/>
              </w:rPr>
            </w:pPr>
            <w:r>
              <w:rPr>
                <w:rFonts w:ascii="Arial" w:cs="Arial" w:eastAsia="Arial" w:hAnsi="Arial"/>
                <w:sz w:val="18"/>
                <w:szCs w:val="18"/>
                <w:color w:val="auto"/>
              </w:rPr>
              <w:t>110</w:t>
            </w:r>
          </w:p>
        </w:tc>
        <w:tc>
          <w:tcPr>
            <w:tcW w:w="16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Martin, certify that:</w:t>
      </w:r>
    </w:p>
    <w:p>
      <w:pPr>
        <w:spacing w:after="0" w:line="131" w:lineRule="exact"/>
        <w:rPr>
          <w:sz w:val="20"/>
          <w:szCs w:val="20"/>
          <w:color w:val="auto"/>
        </w:rPr>
      </w:pPr>
    </w:p>
    <w:p>
      <w:pPr>
        <w:ind w:left="960" w:hanging="532"/>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4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960" w:hanging="532"/>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020"/>
          </w:cols>
          <w:pgMar w:left="440" w:top="121" w:right="4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In connection with the Annual Report of VPC Impact Acquisition Holdings (the “Company”) on Form 10-K/A for the year ended December 30, 2020,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Martin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20"/>
          </w:cols>
          <w:pgMar w:left="440" w:top="121" w:right="4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In connection with the Annual Report of VPC Impact Acquisition Holdings (the “Company”) on Form 10-K/A for the year ended December 31, 2020,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May 21,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Olibia Stamatoglou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Olibia Stamatoglou</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Roman"/>
      <w:start w:val="3"/>
    </w:lvl>
  </w:abstractNum>
  <w:abstractNum w:abstractNumId="4">
    <w:nsid w:val="54E49EB4"/>
    <w:multiLevelType w:val="hybridMultilevel"/>
    <w:lvl w:ilvl="0">
      <w:lvlJc w:val="left"/>
      <w:lvlText w:val="(%1)"/>
      <w:numFmt w:val="lowerRoman"/>
      <w:start w:val="1"/>
    </w:lvl>
  </w:abstractNum>
  <w:abstractNum w:abstractNumId="5">
    <w:nsid w:val="71F32454"/>
    <w:multiLevelType w:val="hybridMultilevel"/>
    <w:lvl w:ilvl="0">
      <w:lvlJc w:val="left"/>
      <w:lvlText w:val="(%1)"/>
      <w:numFmt w:val="lowerRoman"/>
      <w:start w:val="3"/>
    </w:lvl>
  </w:abstractNum>
  <w:abstractNum w:abstractNumId="6">
    <w:nsid w:val="2CA88611"/>
    <w:multiLevelType w:val="hybridMultilevel"/>
    <w:lvl w:ilvl="0">
      <w:lvlJc w:val="left"/>
      <w:lvlText w:val="%1"/>
      <w:numFmt w:val="upperLetter"/>
      <w:start w:val="35"/>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
      <w:numFmt w:val="bullet"/>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lowerRoman"/>
      <w:start w:val="2"/>
    </w:lvl>
  </w:abstractNum>
  <w:abstractNum w:abstractNumId="11">
    <w:nsid w:val="1E7FF521"/>
    <w:multiLevelType w:val="hybridMultilevel"/>
    <w:lvl w:ilvl="0">
      <w:lvlJc w:val="left"/>
      <w:lvlText w:val="•"/>
      <w:numFmt w:val="bullet"/>
      <w:start w:val="1"/>
    </w:lvl>
    <w:lvl w:ilvl="1">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
      <w:numFmt w:val="bullet"/>
      <w:start w:val="1"/>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1)"/>
      <w:numFmt w:val="lowerRoman"/>
      <w:start w:val="3"/>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1)"/>
      <w:numFmt w:val="lowerRoman"/>
      <w:start w:val="1"/>
    </w:lvl>
  </w:abstractNum>
  <w:abstractNum w:abstractNumId="21">
    <w:nsid w:val="440BADFC"/>
    <w:multiLevelType w:val="hybridMultilevel"/>
    <w:lvl w:ilvl="0">
      <w:lvlJc w:val="left"/>
      <w:lvlText w:val="(%1)"/>
      <w:numFmt w:val="lowerRoman"/>
      <w:start w:val="2"/>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1)"/>
      <w:numFmt w:val="lowerRoman"/>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1)"/>
      <w:numFmt w:val="decimal"/>
      <w:start w:val="1"/>
    </w:lvl>
  </w:abstractNum>
  <w:abstractNum w:abstractNumId="35">
    <w:nsid w:val="6A2342EC"/>
    <w:multiLevelType w:val="hybridMultilevel"/>
    <w:lvl w:ilvl="0">
      <w:lvlJc w:val="left"/>
      <w:lvlText w:val="(%1)"/>
      <w:numFmt w:val="decimal"/>
      <w:start w:val="6"/>
    </w:lvl>
  </w:abstractNum>
  <w:abstractNum w:abstractNumId="36">
    <w:nsid w:val="2A487CB0"/>
    <w:multiLevelType w:val="hybridMultilevel"/>
    <w:lvl w:ilvl="0">
      <w:lvlJc w:val="left"/>
      <w:lvlText w:val="(%1)"/>
      <w:numFmt w:val="decimal"/>
      <w:start w:val="10"/>
    </w:lvl>
  </w:abstractNum>
  <w:abstractNum w:abstractNumId="37">
    <w:nsid w:val="1D4ED43B"/>
    <w:multiLevelType w:val="hybridMultilevel"/>
    <w:lvl w:ilvl="0">
      <w:lvlJc w:val="left"/>
      <w:lvlText w:val="%1"/>
      <w:numFmt w:val="decimal"/>
      <w:start w:val="1"/>
    </w:lvl>
    <w:lvl w:ilvl="1">
      <w:lvlJc w:val="left"/>
      <w:lvlText w:val="(%2)"/>
      <w:numFmt w:val="lowerLetter"/>
      <w:start w:val="1"/>
    </w:lvl>
  </w:abstractNum>
  <w:abstractNum w:abstractNumId="38">
    <w:nsid w:val="725A06FB"/>
    <w:multiLevelType w:val="hybridMultilevel"/>
    <w:lvl w:ilvl="0">
      <w:lvlJc w:val="left"/>
      <w:lvlText w:val="%1."/>
      <w:numFmt w:val="decimal"/>
      <w:start w:val="1"/>
    </w:lvl>
    <w:lvl w:ilvl="1">
      <w:lvlJc w:val="left"/>
      <w:lvlText w:val="(%2)"/>
      <w:numFmt w:val="lowerLetter"/>
      <w:start w:val="2"/>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decimal"/>
      <w:start w:val="1"/>
    </w:lvl>
    <w:lvl w:ilvl="1">
      <w:lvlJc w:val="left"/>
      <w:lvlText w:val="%2)"/>
      <w:numFmt w:val="lowerLetter"/>
      <w:start w:val="1"/>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9"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20" Type="http://schemas.openxmlformats.org/officeDocument/2006/relationships/hyperlink" Target="http://www.sec.gov/Archives/edgar/data/0001820302/000119312521005832/d913171dex21.htm" TargetMode="External"/><Relationship Id="rId121" Type="http://schemas.openxmlformats.org/officeDocument/2006/relationships/hyperlink" Target="http://www.sec.gov/Archives/edgar/data/0001820302/000119312520256308/d38926dex31.htm" TargetMode="External"/><Relationship Id="rId122" Type="http://schemas.openxmlformats.org/officeDocument/2006/relationships/hyperlink" Target="http://www.sec.gov/Archives/edgar/data/0001820302/000119312520247281/d10733dex41.htm" TargetMode="External"/><Relationship Id="rId123" Type="http://schemas.openxmlformats.org/officeDocument/2006/relationships/hyperlink" Target="http://www.sec.gov/Archives/edgar/data/0001820302/000119312520247281/d10733dex42.htm" TargetMode="External"/><Relationship Id="rId124" Type="http://schemas.openxmlformats.org/officeDocument/2006/relationships/hyperlink" Target="http://www.sec.gov/Archives/edgar/data/0001820302/000119312520247281/d10733dex43.htm" TargetMode="External"/><Relationship Id="rId125" Type="http://schemas.openxmlformats.org/officeDocument/2006/relationships/hyperlink" Target="http://www.sec.gov/Archives/edgar/data/0001820302/000119312520256308/d38926dex41.htm" TargetMode="External"/><Relationship Id="rId126" Type="http://schemas.openxmlformats.org/officeDocument/2006/relationships/hyperlink" Target="http://www.sec.gov/Archives/edgar/data/1820302/000119312521100874/d25798dex45.htm" TargetMode="External"/><Relationship Id="rId127" Type="http://schemas.openxmlformats.org/officeDocument/2006/relationships/hyperlink" Target="http://www.sec.gov/Archives/edgar/data/1820302/000119312520256308/d38926dex101.htm" TargetMode="External"/><Relationship Id="rId128" Type="http://schemas.openxmlformats.org/officeDocument/2006/relationships/hyperlink" Target="http://www.sec.gov/Archives/edgar/data/0001820302/000119312520247281/d10733dex106.htm" TargetMode="External"/><Relationship Id="rId130" Type="http://schemas.openxmlformats.org/officeDocument/2006/relationships/hyperlink" Target="http://www.sec.gov/Archives/edgar/data/0001820302/000119312520256308/d38926dex103.htm" TargetMode="External"/><Relationship Id="rId131" Type="http://schemas.openxmlformats.org/officeDocument/2006/relationships/hyperlink" Target="http://www.sec.gov/Archives/edgar/data/0001820302/000119312520256308/d38926dex105.htm" TargetMode="External"/><Relationship Id="rId132" Type="http://schemas.openxmlformats.org/officeDocument/2006/relationships/hyperlink" Target="http://www.sec.gov/Archives/edgar/data/0001820302/000119312520247281/d10733dex107.htm" TargetMode="External"/><Relationship Id="rId133" Type="http://schemas.openxmlformats.org/officeDocument/2006/relationships/hyperlink" Target="http://www.sec.gov/Archives/edgar/data/0001820302/000119312520247281/d10733dex105.htm" TargetMode="External"/><Relationship Id="rId134" Type="http://schemas.openxmlformats.org/officeDocument/2006/relationships/hyperlink" Target="http://www.sec.gov/Archives/edgar/data/0001820302/000119312521005832/d913171dex103.htm" TargetMode="External"/><Relationship Id="rId135" Type="http://schemas.openxmlformats.org/officeDocument/2006/relationships/hyperlink" Target="http://www.sec.gov/Archives/edgar/data/0001820302/000119312521005832/d913171dex102.htm" TargetMode="External"/><Relationship Id="rId136" Type="http://schemas.openxmlformats.org/officeDocument/2006/relationships/hyperlink" Target="http://www.sec.gov/Archives/edgar/data/1820302/000119312521100874/d25798dex1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2021-05-24T05:20:25Z</dcterms:created>
  <dcterms:modified xsi:type="dcterms:W3CDTF">2021-05-24T05:20:25Z</dcterms:modified>
</cp:coreProperties>
</file>