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90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01/06/2023</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ectPr>
          <w:pgSz w:w="11900" w:h="16907" w:orient="portrait"/>
          <w:cols w:equalWidth="0" w:num="2">
            <w:col w:w="3540" w:space="300"/>
            <w:col w:w="7240"/>
          </w:cols>
          <w:pgMar w:left="460" w:top="219" w:right="359" w:bottom="0" w:gutter="0" w:footer="0" w:header="0"/>
          <w:type w:val="continuous"/>
        </w:sectPr>
      </w:pPr>
    </w:p>
    <w:p>
      <w:pPr>
        <w:spacing w:after="0" w:line="1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$0.0001</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01/06/2023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349,510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7,723,540</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7"/>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distributed for no consideration to equityholders of one of its members an aggregate of 349,510 shares of Class A common stock of the Issuer, in accordance with the provisions of the limited liability company agreement of VIH Sponsor.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VIH Sponsor is the record holder of the securities reported herein. Richard N. Levy, as Chief Executive Officer and Founder of Victory Park Capital Advisors, LLC, has voting and investment</w:t>
      </w:r>
    </w:p>
    <w:p>
      <w:pPr>
        <w:sectPr>
          <w:pgSz w:w="11900" w:h="16907" w:orient="portrait"/>
          <w:cols w:equalWidth="0" w:num="1">
            <w:col w:w="11080"/>
          </w:cols>
          <w:pgMar w:left="460" w:top="219" w:right="359" w:bottom="0" w:gutter="0" w:footer="0" w:header="0"/>
          <w:type w:val="continuous"/>
        </w:sectPr>
      </w:pPr>
    </w:p>
    <w:bookmarkStart w:id="1" w:name="page2"/>
    <w:bookmarkEnd w:id="1"/>
    <w:p>
      <w:pPr>
        <w:ind w:right="20"/>
        <w:spacing w:after="0" w:line="272" w:lineRule="auto"/>
        <w:rPr>
          <w:sz w:val="20"/>
          <w:szCs w:val="20"/>
          <w:color w:val="auto"/>
        </w:rPr>
      </w:pPr>
      <w:r>
        <w:rPr>
          <w:rFonts w:ascii="Times New Roman" w:cs="Times New Roman" w:eastAsia="Times New Roman" w:hAnsi="Times New Roman"/>
          <w:sz w:val="13"/>
          <w:szCs w:val="13"/>
          <w:color w:val="008000"/>
        </w:rPr>
        <w:t>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500"/>
          </w:cols>
          <w:pgMar w:left="500" w:top="127" w:right="8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1760"/>
          </w:cols>
          <w:pgMar w:left="500" w:top="127" w:right="8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500"/>
          </w:cols>
          <w:pgMar w:left="500" w:top="127" w:right="89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679"/>
        <w:spacing w:after="0" w:line="373" w:lineRule="auto"/>
        <w:rPr>
          <w:sz w:val="20"/>
          <w:szCs w:val="20"/>
          <w:color w:val="auto"/>
        </w:rPr>
      </w:pPr>
      <w:r>
        <w:rPr>
          <w:rFonts w:ascii="Courier New" w:cs="Courier New" w:eastAsia="Courier New" w:hAnsi="Courier New"/>
          <w:sz w:val="17"/>
          <w:szCs w:val="17"/>
          <w:color w:val="auto"/>
        </w:rPr>
        <w:t>VPC Impact Acquisition Holdings Sponsor , LLC</w:t>
      </w:r>
    </w:p>
    <w:p>
      <w:pPr>
        <w:spacing w:after="0" w:line="201"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01/06/2023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01/06/2023</w:t>
      </w:r>
    </w:p>
    <w:sectPr>
      <w:pgSz w:w="11900" w:h="16838" w:orient="portrait"/>
      <w:cols w:equalWidth="0" w:num="2">
        <w:col w:w="3960" w:space="300"/>
        <w:col w:w="57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2023-01-13T15:14:31Z</dcterms:created>
  <dcterms:modified xsi:type="dcterms:W3CDTF">2023-01-13T15:14:31Z</dcterms:modified>
</cp:coreProperties>
</file>